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0" w:lineRule="exact"/>
        <w:rPr>
          <w:sz w:val="20"/>
          <w:szCs w:val="20"/>
          <w:color w:val="auto"/>
        </w:rPr>
      </w:pP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2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16"/>
        </w:trPr>
        <w:tc>
          <w:tcPr>
            <w:tcW w:w="522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(State or other jurisdiction</w:t>
            </w:r>
          </w:p>
        </w:tc>
        <w:tc>
          <w:tcPr>
            <w:tcW w:w="320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2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of incorporation or organization)</w:t>
            </w:r>
          </w:p>
        </w:tc>
        <w:tc>
          <w:tcPr>
            <w:tcW w:w="320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2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7"/>
              </w:rPr>
              <w:t>4601 COLLEGE BOULEVARD, SUITE 300</w:t>
            </w:r>
          </w:p>
        </w:tc>
        <w:tc>
          <w:tcPr>
            <w:tcW w:w="3200" w:type="dxa"/>
            <w:vAlign w:val="bottom"/>
          </w:tcPr>
          <w:p>
            <w:pPr>
              <w:spacing w:after="0"/>
              <w:rPr>
                <w:sz w:val="24"/>
                <w:szCs w:val="24"/>
                <w:color w:val="auto"/>
              </w:rPr>
            </w:pPr>
          </w:p>
        </w:tc>
      </w:tr>
      <w:tr>
        <w:trPr>
          <w:trHeight w:val="216"/>
        </w:trPr>
        <w:tc>
          <w:tcPr>
            <w:tcW w:w="52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7"/>
              </w:rPr>
              <w:t>LEAWOOD, KANSAS</w:t>
            </w:r>
          </w:p>
        </w:tc>
        <w:tc>
          <w:tcPr>
            <w:tcW w:w="3200" w:type="dxa"/>
            <w:vAlign w:val="bottom"/>
          </w:tcPr>
          <w:p>
            <w:pPr>
              <w:jc w:val="right"/>
              <w:ind w:right="410"/>
              <w:spacing w:after="0"/>
              <w:rPr>
                <w:sz w:val="20"/>
                <w:szCs w:val="20"/>
                <w:color w:val="auto"/>
              </w:rPr>
            </w:pPr>
            <w:r>
              <w:rPr>
                <w:rFonts w:ascii="Arial" w:cs="Arial" w:eastAsia="Arial" w:hAnsi="Arial"/>
                <w:sz w:val="18"/>
                <w:szCs w:val="18"/>
                <w:b w:val="1"/>
                <w:bCs w:val="1"/>
                <w:color w:val="auto"/>
              </w:rPr>
              <w:t>66211</w:t>
            </w:r>
          </w:p>
        </w:tc>
      </w:tr>
      <w:tr>
        <w:trPr>
          <w:trHeight w:val="234"/>
        </w:trPr>
        <w:tc>
          <w:tcPr>
            <w:tcW w:w="5220" w:type="dxa"/>
            <w:vAlign w:val="bottom"/>
          </w:tcPr>
          <w:p>
            <w:pPr>
              <w:jc w:val="center"/>
              <w:ind w:right="17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14"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60" w:space="720"/>
            <w:col w:w="1400" w:space="720"/>
            <w:col w:w="3340" w:space="500"/>
            <w:col w:w="2240"/>
          </w:cols>
          <w:pgMar w:left="240" w:top="122" w:right="27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issuer’s common stock, $0.02 par value, outstanding as of July 31, 2009 was 50,650,787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6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20"/>
                <w:szCs w:val="20"/>
                <w:color w:val="auto"/>
              </w:rPr>
            </w:pPr>
          </w:p>
        </w:tc>
      </w:tr>
      <w:tr>
        <w:trPr>
          <w:trHeight w:val="392"/>
        </w:trPr>
        <w:tc>
          <w:tcPr>
            <w:tcW w:w="10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840" w:type="dxa"/>
            <w:vAlign w:val="bottom"/>
            <w:gridSpan w:val="14"/>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 MANAGEMENT’S DISCUSSION AND ANALYSIS OF FINANCIAL CONDITION AND RESULTS OF</w:t>
              </w:r>
            </w:hyperlink>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Arial" w:cs="Arial" w:eastAsia="Arial" w:hAnsi="Arial"/>
                <w:sz w:val="18"/>
                <w:szCs w:val="18"/>
                <w:b w:val="1"/>
                <w:bCs w:val="1"/>
                <w:color w:val="0000EE"/>
                <w:w w:val="97"/>
              </w:rPr>
            </w:pPr>
            <w:hyperlink w:anchor="page19">
              <w:r>
                <w:rPr>
                  <w:rFonts w:ascii="Arial" w:cs="Arial" w:eastAsia="Arial" w:hAnsi="Arial"/>
                  <w:sz w:val="18"/>
                  <w:szCs w:val="18"/>
                  <w:b w:val="1"/>
                  <w:bCs w:val="1"/>
                  <w:color w:val="0000EE"/>
                  <w:w w:val="97"/>
                </w:rPr>
                <w:t>OPERATIONS</w:t>
              </w:r>
            </w:hyperlink>
          </w:p>
        </w:tc>
        <w:tc>
          <w:tcPr>
            <w:tcW w:w="8460" w:type="dxa"/>
            <w:vAlign w:val="bottom"/>
            <w:gridSpan w:val="1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20" w:type="dxa"/>
            <w:vAlign w:val="bottom"/>
          </w:tcPr>
          <w:p>
            <w:pPr>
              <w:spacing w:after="0"/>
              <w:rPr>
                <w:sz w:val="17"/>
                <w:szCs w:val="17"/>
                <w:color w:val="auto"/>
              </w:rPr>
            </w:pPr>
          </w:p>
        </w:tc>
        <w:tc>
          <w:tcPr>
            <w:tcW w:w="71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3. QUANTITATIVE AND QUALITATIVE DISCLOSURES ABOUT MARKET RISK</w:t>
              </w:r>
            </w:hyperlink>
          </w:p>
        </w:tc>
        <w:tc>
          <w:tcPr>
            <w:tcW w:w="268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9840" w:type="dxa"/>
            <w:vAlign w:val="bottom"/>
            <w:gridSpan w:val="14"/>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4. CONTROLS AND PROCEDURES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2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PART II—OTHER INFORMATION</w:t>
              </w:r>
            </w:hyperlink>
          </w:p>
        </w:tc>
        <w:tc>
          <w:tcPr>
            <w:tcW w:w="7380" w:type="dxa"/>
            <w:vAlign w:val="bottom"/>
            <w:gridSpan w:val="9"/>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20" w:type="dxa"/>
            <w:vAlign w:val="bottom"/>
          </w:tcPr>
          <w:p>
            <w:pPr>
              <w:spacing w:after="0"/>
              <w:rPr>
                <w:sz w:val="17"/>
                <w:szCs w:val="17"/>
                <w:color w:val="auto"/>
              </w:rPr>
            </w:pPr>
          </w:p>
        </w:tc>
        <w:tc>
          <w:tcPr>
            <w:tcW w:w="27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1. LEGAL PROCEEDINGS</w:t>
              </w:r>
            </w:hyperlink>
          </w:p>
        </w:tc>
        <w:tc>
          <w:tcPr>
            <w:tcW w:w="714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2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ITEM 1A. RISK FACTORS</w:t>
              </w:r>
            </w:hyperlink>
          </w:p>
        </w:tc>
        <w:tc>
          <w:tcPr>
            <w:tcW w:w="7680" w:type="dxa"/>
            <w:vAlign w:val="bottom"/>
            <w:gridSpan w:val="10"/>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20" w:type="dxa"/>
            <w:vAlign w:val="bottom"/>
          </w:tcPr>
          <w:p>
            <w:pPr>
              <w:spacing w:after="0"/>
              <w:rPr>
                <w:sz w:val="17"/>
                <w:szCs w:val="17"/>
                <w:color w:val="auto"/>
              </w:rPr>
            </w:pPr>
          </w:p>
        </w:tc>
        <w:tc>
          <w:tcPr>
            <w:tcW w:w="9840" w:type="dxa"/>
            <w:vAlign w:val="bottom"/>
            <w:gridSpan w:val="14"/>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2. UNREGISTERED SALES OF EQUITY SECURITIES AND USE OF PROCEEDS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20" w:type="dxa"/>
            <w:vAlign w:val="bottom"/>
          </w:tcPr>
          <w:p>
            <w:pPr>
              <w:spacing w:after="0"/>
              <w:rPr>
                <w:sz w:val="17"/>
                <w:szCs w:val="17"/>
                <w:color w:val="auto"/>
              </w:rPr>
            </w:pPr>
          </w:p>
        </w:tc>
        <w:tc>
          <w:tcPr>
            <w:tcW w:w="708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4. SUBMISSION OF MATTERS TO A VOTE OF SECURITY HOLDERS</w:t>
              </w:r>
            </w:hyperlink>
          </w:p>
        </w:tc>
        <w:tc>
          <w:tcPr>
            <w:tcW w:w="27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5. OTHER INFORMATION</w:t>
              </w:r>
            </w:hyperlink>
          </w:p>
        </w:tc>
        <w:tc>
          <w:tcPr>
            <w:tcW w:w="3500" w:type="dxa"/>
            <w:vAlign w:val="bottom"/>
            <w:tcBorders>
              <w:top w:val="single" w:sz="8" w:color="0000EE"/>
            </w:tcBorders>
            <w:gridSpan w:val="3"/>
          </w:tcPr>
          <w:p>
            <w:pPr>
              <w:spacing w:after="0"/>
              <w:rPr>
                <w:sz w:val="17"/>
                <w:szCs w:val="17"/>
                <w:color w:val="auto"/>
              </w:rPr>
            </w:pPr>
          </w:p>
        </w:tc>
        <w:tc>
          <w:tcPr>
            <w:tcW w:w="3580" w:type="dxa"/>
            <w:vAlign w:val="bottom"/>
            <w:gridSpan w:val="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20" w:type="dxa"/>
            <w:vAlign w:val="bottom"/>
          </w:tcPr>
          <w:p>
            <w:pPr>
              <w:spacing w:after="0"/>
              <w:rPr>
                <w:sz w:val="17"/>
                <w:szCs w:val="17"/>
                <w:color w:val="auto"/>
              </w:rPr>
            </w:pPr>
          </w:p>
        </w:tc>
        <w:tc>
          <w:tcPr>
            <w:tcW w:w="9840" w:type="dxa"/>
            <w:vAlign w:val="bottom"/>
            <w:gridSpan w:val="14"/>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6. EXHIBITS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2009</w:t>
            </w:r>
          </w:p>
        </w:tc>
        <w:tc>
          <w:tcPr>
            <w:tcW w:w="52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112,577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 PINs and other</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tcPr>
          <w:p>
            <w:pPr>
              <w:ind w:left="200"/>
              <w:spacing w:after="0" w:line="201" w:lineRule="exact"/>
              <w:rPr>
                <w:sz w:val="20"/>
                <w:szCs w:val="20"/>
                <w:color w:val="auto"/>
              </w:rPr>
            </w:pPr>
            <w:r>
              <w:rPr>
                <w:rFonts w:ascii="Arial" w:cs="Arial" w:eastAsia="Arial" w:hAnsi="Arial"/>
                <w:sz w:val="18"/>
                <w:szCs w:val="18"/>
                <w:color w:val="auto"/>
                <w:w w:val="98"/>
              </w:rPr>
              <w:t>Trade accounts receivable, net of allowances for doubtful accounts of $10,046 at June 30, 2009 and $9,445 at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December 31, 2008</w:t>
            </w: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243,075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39,205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620,548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$139,220 at June 30, 2009 and $125,258 at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2008</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94,730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492,448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488,305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$75,906 at June 30, 2009 and $62,920 at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2008</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120,871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38,273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w w:val="99"/>
              </w:rPr>
              <w:t>Other assets, net of accumulated amortization of $17,835 at June 30, 2009 and $15,785 at December 31, 2008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1,408,695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1,450,645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218,323</w:t>
            </w:r>
          </w:p>
        </w:tc>
        <w:tc>
          <w:tcPr>
            <w:tcW w:w="100" w:type="dxa"/>
            <w:vAlign w:val="bottom"/>
          </w:tcPr>
          <w:p>
            <w:pPr>
              <w:spacing w:after="0"/>
              <w:rPr>
                <w:sz w:val="18"/>
                <w:szCs w:val="18"/>
                <w:color w:val="auto"/>
              </w:rPr>
            </w:pP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221,371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20,791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12,789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liabilities of 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531,210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583,200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 of current portion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283,823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885,404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954,735</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Euronet Worldwide, Inc. stockholders’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1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Common Stock, $0.02 par value. 90,000,000 shares authorized; 50,868,508 issued at June 30, 2009 and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50,605,909 issued at December 31, 2008</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735,245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at cost, 242,649 shares at June 30, 2009 and 225,072 shares at December 31, 2008</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(230,210)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reserve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523,291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1,408,695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1,450,645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340"/>
          </w:cols>
          <w:pgMar w:left="240" w:top="419" w:right="319" w:bottom="516" w:gutter="0" w:footer="0" w:header="0"/>
        </w:sectPr>
      </w:pP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516"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45,592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52,361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91,798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Processing Segment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145,253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152,633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279,776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Money Transfer Segment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57,769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59,456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110,737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111,788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248,614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264,450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482,311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509,243</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165,053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179,425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31,085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33,064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59,681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39,979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Goodwill and acquired intagible assets impairment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26,444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230,590</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247,152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454,589</w:t>
            </w:r>
          </w:p>
        </w:tc>
        <w:tc>
          <w:tcPr>
            <w:tcW w:w="6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478,714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18,024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27,722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30,529</w:t>
            </w:r>
          </w:p>
        </w:tc>
        <w:tc>
          <w:tcPr>
            <w:tcW w:w="0" w:type="dxa"/>
            <w:vAlign w:val="bottom"/>
          </w:tcPr>
          <w:p>
            <w:pPr>
              <w:spacing w:after="0"/>
              <w:rPr>
                <w:sz w:val="1"/>
                <w:szCs w:val="1"/>
                <w:color w:val="auto"/>
              </w:rPr>
            </w:pPr>
          </w:p>
        </w:tc>
      </w:tr>
      <w:tr>
        <w:trPr>
          <w:trHeight w:val="439"/>
        </w:trPr>
        <w:tc>
          <w:tcPr>
            <w:tcW w:w="52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(9,138)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(13,720)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Impairment loss on investment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early retirement of debt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9,650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22,272</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8,763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15,696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(6,397)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15,875</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16,021</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Net income attributable to noncontrolling interests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Net income (loss) attributable to Euronet Worldwide, Inc.</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per share attributable to Euronet Worldwide, Inc.</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 basic:</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50,425,261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48,916,432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50,358,983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48,862,196</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Euronet Worldwide, Inc.</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stockholders — diluted: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51,240,221</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50,575,414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50,821,373</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48,862,196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20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16,021</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r>
      <w:tr>
        <w:trPr>
          <w:trHeight w:val="432"/>
        </w:trPr>
        <w:tc>
          <w:tcPr>
            <w:tcW w:w="65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39,736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3,419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18,123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35,906</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Unrealized gain (loss) on interest rate swaps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r>
      <w:tr>
        <w:trPr>
          <w:trHeight w:val="223"/>
        </w:trPr>
        <w:tc>
          <w:tcPr>
            <w:tcW w:w="654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56,913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10,748</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24,050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33,826</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Comprehensive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(1,972)</w:t>
            </w:r>
          </w:p>
        </w:tc>
      </w:tr>
      <w:tr>
        <w:trPr>
          <w:trHeight w:val="223"/>
        </w:trPr>
        <w:tc>
          <w:tcPr>
            <w:tcW w:w="6540" w:type="dxa"/>
            <w:vAlign w:val="bottom"/>
          </w:tcPr>
          <w:p>
            <w:pPr>
              <w:ind w:left="420"/>
              <w:spacing w:after="0"/>
              <w:rPr>
                <w:sz w:val="20"/>
                <w:szCs w:val="20"/>
                <w:color w:val="auto"/>
              </w:rPr>
            </w:pPr>
            <w:r>
              <w:rPr>
                <w:rFonts w:ascii="Arial" w:cs="Arial" w:eastAsia="Arial" w:hAnsi="Arial"/>
                <w:sz w:val="18"/>
                <w:szCs w:val="18"/>
                <w:color w:val="auto"/>
              </w:rPr>
              <w:t>Comprehensive income attributable to Euronet Worldwide, Inc.</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56,088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10,104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23,125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31,854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Non-cash impairment of goodwill and acquired intangible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9,884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impairment of investment securities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Deferred income tax expense (benefit)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(2,679)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5,855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Income taxes payable,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3,472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Inventory — PINs and 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8,857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receivable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(2,684)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payable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Changes in noncurrent assets and liabilities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(9,284)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(16,783)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other long-term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Acquisition escrow</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(28,429)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Proceeds from issuance of shares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repayments of short-term debt obligations and revolving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credit agreements classified as 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285,400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(297,219)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 to noncontrolling interests stockholders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(74,278)</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Effect of exchange differences on cash</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 cash and cash equivalents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(11,684)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3"/>
              </w:rPr>
              <w:t>Cash and cash equivalents at beginning of period (includes cash of discontinued operations of $552 in 2009 and $722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 2008)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181,893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267,591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Cash and cash equivalents at end of period (includes cash of discontinued operations of $1,086 in 2009 and $300 in</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161,602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255,907</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7,162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Euronet Worldwide, Inc. and its subsidiaries (the “Company” or “Euronet”) is an industry leader in processing secure electronic financial transactions in three principal business segments. Euronet’s Prepaid Processing Segment is one of the world’s largest providers of “top-up” services for prepaid products, primarily prepaid mobile airtime, distributing these products in Europe, the Middle East, Asia Pacific and North America. The EFT Processing Segment provides end-to-end solutions relating to operations of automated teller machine (“ATM”) and point-of-sale (“POS”) networks, and debit and credit card processing in Europe, the Middle East and Asia Pacific. The Money Transfer Segment, comprised primarily of the Company’s RIA Envia, Inc. (“RIA”) subsidiary and its operating subsidiaries, is the third-largest global money transfer company based upon revenues and volumes, and provides services through a sending network of agents and Company-owned stores primarily in North America and Europe, disbursing money transfers through a worldwide payer network.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June 30, 2009, and the results of its operations for the three- and six-month periods ended June 30, 2009 and 2008 and its cash flows for the six-month periods ended June 30, 2009 and 2008.</w:t>
      </w:r>
    </w:p>
    <w:p>
      <w:pPr>
        <w:spacing w:after="0" w:line="6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2008, including the notes thereto, set forth in the Company’s 2008 Annual Report on Form 10-K.</w:t>
      </w:r>
    </w:p>
    <w:p>
      <w:pPr>
        <w:spacing w:after="0" w:line="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 The results of operations for the three- and six-month periods ended June 30, 2009 are not necessarily indicative of the results to be expected for the full year ending December 31, 2009. Certain amounts in prior years have been reclassified to conform to current period presentation.</w:t>
      </w:r>
    </w:p>
    <w:p>
      <w:pPr>
        <w:spacing w:after="0" w:line="183"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Convertible debentures</w:t>
      </w:r>
    </w:p>
    <w:p>
      <w:pPr>
        <w:ind w:right="140"/>
        <w:spacing w:after="0" w:line="272" w:lineRule="auto"/>
        <w:rPr>
          <w:sz w:val="20"/>
          <w:szCs w:val="20"/>
          <w:color w:val="auto"/>
        </w:rPr>
      </w:pPr>
      <w:r>
        <w:rPr>
          <w:rFonts w:ascii="Arial" w:cs="Arial" w:eastAsia="Arial" w:hAnsi="Arial"/>
          <w:sz w:val="17"/>
          <w:szCs w:val="17"/>
          <w:color w:val="auto"/>
        </w:rPr>
        <w:t>Effective January 1, 2009, the Company adopted the provisions of Financial Accounting Standards Board (“FASB”) Staff Position (“FSP”) APB 14-1, “Accounting for Convertible Debt Instruments That May Be Settled in Cash upon Conversion (Including Partial Cash Settlement).” FSP APB 14-1 requires the proceeds from the issuance of such convertible debt instruments to be allocated between debt and equity components so that debt is discounted to reflect the Company’s nonconvertible debt borrowing rate. The debt discount is amortized over the period the convertible debt is expected to be outstanding as additional non-cash interest expense. This treatment impacts the accounting associated with the Company’s convertible debentures. The Company’s Unaudited Consolidated Balance Sheets, Statements of Operations, Statements of Comprehensive Income and Statements of Cash Flows have been adjusted to reflect the retrospective application of the provisions to prior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Effective January 1, 2009, the Company adopted the provision of FASB Statement of Financial Accounting Standards (“SFAS”) No. 160, “Noncontrolling Interests in Consolidated Financial Statements.” SFAS No. 160 requires noncontrolling interests (previously referred to as minority interests) to be reported as a component of equity, which changes the accounting for transactions with noncontrolling interest holders. The presentation of the Company’s Unaudited Consolidated Balance Sheets, Statements of Operations, Statements of Comprehensive Income and Statements of Cash Flows has been adjusted to reflect the retrospective application of the provisions to prior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Effective January 1, 2009, the Company adopted the provision of SFAS No. 141(R), “Business Combinations,” which is a revision of SFAS No. 141, “Business Combinations.” SFAS No. 141(R) applies to all business combinations and requires most identifiable assets,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liabilities, noncontrolling interests and goodwill acquired in a business combination to be recorded at “full fair value” at the acquisition date. SFAS</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No. 141(R) also requires transaction-related costs to be expensed in the period incurred, rather than capitalizing these costs as a component of the respective purchase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instruments and hedging activities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accounts for derivative instruments and hedging activities in accordance with SFAS No. 133, “Accounting for Derivative Instruments and Hedging Activities,” as amended, which requires that all derivative instruments be recognized as either assets or liabilities on the balance sheet at fair value. During the second quarter 2007, the Company entered into derivative instruments to manage exposure to interest rate risk that are considered cash flow hedges under the provisions of SFAS No. 133. To qualify for hedge accounting under SFAS No. 133,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stockholders’ equity and the Unaudited Consolidated Statements of Comprehensive Income as a component of other comprehensive income and then recognized as an adjustment to interest expense over the term of the hedging instrument.</w:t>
      </w:r>
    </w:p>
    <w:p>
      <w:pPr>
        <w:spacing w:after="0" w:line="7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Money Transfer Segment, the Company enters into foreign currency forward contracts to offset foreign currency exposure related to the notional value of money transfer transactions collected in currencies other than the U.S. dollar. These forward contracts are considered derivative instruments under the provisions of SFAS No. 133, however, the Company does not designate such instruments as hedges. Accordingly, changes in the value of these contracts are recognized immediately as a component of foreign currency exchange gain (loss), net in the Unaudited Consolidated Statements of Operations. The impact of changes in value of these forward contracts, together with the impact of the change in value of the related foreign currency denominated receivable, on the Company’s Unaudited Consolidated Statements of Operations is not significant.</w:t>
      </w:r>
    </w:p>
    <w:p>
      <w:pPr>
        <w:spacing w:after="0" w:line="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Cash flows resulting from derivative instruments are classified as cash flows from operating activities in the Company’s Unaudited Consolidated Statements of Cash Flows. The Company enters into derivative instruments with financial institutions it believes to be highly credit-worthy and does not use derivative instruments for trading or speculative purposes.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effective January 1, 2009, the Company adopted the provisions of SFAS No. 161, “Disclosures about Derivative Instruments and Hedging Activities,” which requires an entity to provide enhanced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See Note 7, Derivative Instruments and Hedging Activities, for these disclosures and a further discussion of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January 1, 2008, the Company adopted the provisions of SFAS No. 157, “Fair Value Measurements,” for financial assets and liabilities.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Additionally, FSP No. 157-2, “Effective Date of FASB Statement No. 157,” delayed the effective date of SFAS No. 157 to fiscal years beginning after November 15, 2008 for certain nonfinancial assets and liabilities. Beginning January 1, 2009, the Company adopted the provisions for those nonfinancial assets and liabilities, which include those measured at fair value in goodwill impairment testing, indefinite-lived intangible assets measured at fair value for impairment assessment, nonfinancial long-lived assets measured at fair value for impairment assessment and investments in unconsolidated subsidiaries.</w:t>
      </w:r>
    </w:p>
    <w:p>
      <w:pPr>
        <w:spacing w:after="0" w:line="8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Effective for the quarterly reporting period ended June 30, 2009, the Company adopted the provisions of FSP FAS 107-1 and APB 28-1, “Interim Disclosures about Fair Value of Financial Instruments,” which requires the annual fair value disclosures about financial instruments within the scope of SFAS No. 107 to also be made in interim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required 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Euronet to money transfer recipients. As of June 30, 2009, the Company’s money transfer settlement obligations were $31.9 million.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MoneyGram International, Inc.</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investment in MoneyGram International, Inc. (“MoneyGram”) was classified as available-for-sale as of December 31, 2007 and was recorded in other assets on the Company’s Consolidated Balance Sheet. During the first quarter 2008, the Company decided not to pursue the acquisition of MoneyGram. Also, during the six months ended June 30, 2008, the value of the Company’s investment in MoneyGram declined and the Company determined the decline to be other than temporary. Accordingly, the Company recognized impairment losses associated with the investment of $1.3 million in the second quarter 2008 and $18.8 million during the six months ended June 30, 2008 and reversed the $0.6 million gain recorded as of December 31, 2007 in accumulated other comprehensive income. The investment was included in other current assets on the Company’s Unaudited Consolidated Balance Sheets as of June 30, 2009 and December 31, 2008. During the first quarter 2008, the Company also recorded acquisition-related expenses totaling $3.0 million, which are included in selling, general and administrative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May 2009, the FASB issued SFAS No. 165, “Subsequent Events.” This standard incorporates into authoritative accounting literature certain guidance that already existed within generally accepted auditing standards, but the rules concerning recognition and disclosure of subsequent events will remain essentially unchanged. SFAS No. 165 provides general standards of accounting for and disclosure of events that occur after the balance sheet date but before financial statements are issued or are available to be issued. The Company adopted the provisions of SFAS No. 165 for the quarter ended June 30, 2009. The adoption of these provisions did not have a material effect on the Consolidated Financial Statements. The Company has evaluated subsequent events through August 10, 2009, the date the financial statements were issued. Events occurring after this date have not been evaluated.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June 2009, the FASB issued SFAS No. 168, “The FASB Accounting Standards Codification™ and the Hierarchy of Generally Accepted Accounting Principles.” SFAS No. 168 authorizes the </w:t>
      </w:r>
      <w:r>
        <w:rPr>
          <w:rFonts w:ascii="Arial" w:cs="Arial" w:eastAsia="Arial" w:hAnsi="Arial"/>
          <w:sz w:val="17"/>
          <w:szCs w:val="17"/>
          <w:i w:val="1"/>
          <w:iCs w:val="1"/>
          <w:color w:val="auto"/>
        </w:rPr>
        <w:t>FASB Accounting Standards Codification</w:t>
      </w:r>
      <w:r>
        <w:rPr>
          <w:rFonts w:ascii="Arial" w:cs="Arial" w:eastAsia="Arial" w:hAnsi="Arial"/>
          <w:sz w:val="17"/>
          <w:szCs w:val="17"/>
          <w:color w:val="auto"/>
        </w:rPr>
        <w:t>™ (“Codification”) to become the source of authoritative U.S. GAAP recognized by the FASB to be applied by nongovernmental entities. Rules and interpretive releases of the SEC under authority of federal securities laws remain sources of authoritative GAAP for SEC registrants. On the effective date of SFAS No. 168, the Codification will supersede all then-existing non-SEC accounting and reporting standards. All other nongrandfathered non-SEC accounting literature not included in the Codification will become nonauthoritative. All guidance contained in the Codification carries an equal level of authority. Certain accounting treatments that entities have followed, and continue to follow, which are not part of the Codification are grandfathered because they were adopted before a certain date or certain accounting standards have allowed for the continued application of superseded accounting standards. SFAS No. 168 is effective for financial statements issued for interim and annual periods ending after September 15, 2009. The Company’s adoption of SFAS No. 168 is not expected to have a material impact on the Consolidated Financial Statements. However, all references to U.S. GAAP recognized by the FASB will use Codification citations except for those to grandfathered accounting literature.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shares issuable in connection with acquisition obligations, restricted stock and options to purchase the Company’s common stock. The following table provides the computation of diluted weighted average number of common shares outstanding: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2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560" w:type="dxa"/>
            <w:vAlign w:val="bottom"/>
            <w:gridSpan w:val="4"/>
          </w:tcPr>
          <w:p>
            <w:pPr>
              <w:ind w:left="3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50,425,261</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48,916,432</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50,358,983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48,862,196</w:t>
            </w:r>
          </w:p>
        </w:tc>
      </w:tr>
      <w:tr>
        <w:trPr>
          <w:trHeight w:val="202"/>
        </w:trPr>
        <w:tc>
          <w:tcPr>
            <w:tcW w:w="5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Incremental shares from assumed conversion of stock options and</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stock</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814,960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572,266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462,390</w:t>
            </w:r>
          </w:p>
        </w:tc>
        <w:tc>
          <w:tcPr>
            <w:tcW w:w="6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320" w:type="dxa"/>
            <w:vAlign w:val="bottom"/>
          </w:tcPr>
          <w:p>
            <w:pPr>
              <w:ind w:left="220"/>
              <w:spacing w:after="0" w:line="201" w:lineRule="exact"/>
              <w:rPr>
                <w:sz w:val="20"/>
                <w:szCs w:val="20"/>
                <w:color w:val="auto"/>
              </w:rPr>
            </w:pPr>
            <w:r>
              <w:rPr>
                <w:rFonts w:ascii="Arial" w:cs="Arial" w:eastAsia="Arial" w:hAnsi="Arial"/>
                <w:sz w:val="18"/>
                <w:szCs w:val="18"/>
                <w:color w:val="auto"/>
                <w:w w:val="98"/>
              </w:rPr>
              <w:t>Weighted average shares issuable in connection with acquisition</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ind w:left="420"/>
              <w:spacing w:after="0"/>
              <w:rPr>
                <w:sz w:val="20"/>
                <w:szCs w:val="20"/>
                <w:color w:val="auto"/>
              </w:rPr>
            </w:pPr>
            <w:r>
              <w:rPr>
                <w:rFonts w:ascii="Arial" w:cs="Arial" w:eastAsia="Arial" w:hAnsi="Arial"/>
                <w:sz w:val="18"/>
                <w:szCs w:val="18"/>
                <w:color w:val="auto"/>
              </w:rPr>
              <w:t>obligations</w:t>
            </w:r>
          </w:p>
        </w:tc>
        <w:tc>
          <w:tcPr>
            <w:tcW w:w="42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1,086,716</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51,240,221</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50,575,414</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50,821,373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48,862,196</w:t>
            </w:r>
          </w:p>
        </w:tc>
      </w:tr>
      <w:tr>
        <w:trPr>
          <w:trHeight w:val="20"/>
        </w:trPr>
        <w:tc>
          <w:tcPr>
            <w:tcW w:w="5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5320" w:type="dxa"/>
            <w:vAlign w:val="bottom"/>
          </w:tcPr>
          <w:p>
            <w:pPr>
              <w:spacing w:after="0"/>
              <w:rPr>
                <w:sz w:val="24"/>
                <w:szCs w:val="24"/>
                <w:color w:val="auto"/>
              </w:rPr>
            </w:pPr>
          </w:p>
        </w:tc>
        <w:tc>
          <w:tcPr>
            <w:tcW w:w="1340" w:type="dxa"/>
            <w:vAlign w:val="bottom"/>
            <w:gridSpan w:val="2"/>
          </w:tcPr>
          <w:p>
            <w:pPr>
              <w:jc w:val="right"/>
              <w:ind w:right="819"/>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5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table includes all stock options and restricted stock that are dilutive to Euronet’s weighted average common shares outstanding during the period. For the six months ended June 30, 2008, the Company incurred a net loss; therefore, diluted loss per share is the same as basic loss per share for the period. The calculation of diluted earnings per share excludes stock options or shares of restricted stock that are anti-dilutive to the Company’s weighted average common shares outstanding for the three- and six-month periods ended June 30, 2009 of approximately 1,989,000 and 3,868,000, respectively. The calculation of diluted earnings per share excludes stock options or shares of restricted stock that are anti-dilutive to the Company’s weighted average common shares outstanding for the three- and six-month periods ended June 30, 2008 of approximately 1,632,000 and 2,959,000, respectively. Additionally, for the six months ended June 30, 2008, the calculation of diluted loss per share excludes approximately 1,087,000 shares issuable in connection with acquisition obligations that are anti-dilutive to the Company’s weighted average common shares outstanding.</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$44.2 million principal amount of 1.625% convertible debentures due 2024 and $175 million principal amount of 3.50% convertible debentures due 2025 outstanding that, if converted, would have a potentially dilutive effect on the Company’s stock. These debentures are convertible into 1.3 million shares of Common Stock for the $44.2 million 1.625% issue, and 4.3 million shares of Common Stock for the $175 million 3.50% issue, only upon the occurrence of certain conditions. As required by EITF Issue No. 04-8, “The Effect of Contingently Convertible Debt on Diluted Earnings per Share,”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assumed conversions of the 1.625% and 3.50% convertible debentures were anti-dilutive for the three- and six-month periods ended June 30, 2009 and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second quarter 2008, the Company committed to a plan to sell Euronet Essentis Limited (“Essentis”), a U.K. software entity, in order to focus its investments and resources on its transaction processing businesses. The Company is currently negotiating an agreement to sell the assets of the business. Accordingly, Essentis’s results of operations are shown as discontinued operations in the Unaudited Consolidated Statements of Operations for all periods presented. Previously, Essentis’s results were reported in the EFT Processing Segment. The segment results in Note 8, Segment Information, also reflect the reclassification of Essentis to discontinued operations. The following amounts related to Essentis have been segregated from continuing operations and reported as discontinued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20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4060" w:type="dxa"/>
            <w:vAlign w:val="bottom"/>
            <w:gridSpan w:val="2"/>
            <w:vMerge w:val="continue"/>
          </w:tcPr>
          <w:p>
            <w:pPr>
              <w:spacing w:after="0"/>
              <w:rPr>
                <w:sz w:val="12"/>
                <w:szCs w:val="12"/>
                <w:color w:val="auto"/>
              </w:rPr>
            </w:pPr>
          </w:p>
        </w:tc>
        <w:tc>
          <w:tcPr>
            <w:tcW w:w="1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212</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Unaudited Consolidated Balance Sheets include Essentis’s net assets expected to be sold and the major classes of its assets and liabilities are presented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June 30, 2009</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Trade accounts receivable, net of allowance for doubtful accounts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 of accumulated depreciation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Acquired intangible assets, net of accumulated amortization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1,116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 net of accumulated amortization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8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862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8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0"/>
        </w:trPr>
        <w:tc>
          <w:tcPr>
            <w:tcW w:w="8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4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8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4,371</w:t>
            </w: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six-month period ended June 30, 2009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Acquired</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2"/>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2008</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$ 125,313</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$ 488,305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Increases (decreases):</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(1,111)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(8,773)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960" w:type="dxa"/>
            <w:vAlign w:val="bottom"/>
            <w:gridSpan w:val="3"/>
          </w:tcPr>
          <w:p>
            <w:pPr>
              <w:jc w:val="right"/>
              <w:ind w:right="680"/>
              <w:spacing w:after="0"/>
              <w:rPr>
                <w:sz w:val="20"/>
                <w:szCs w:val="20"/>
                <w:color w:val="auto"/>
              </w:rPr>
            </w:pPr>
            <w:r>
              <w:rPr>
                <w:rFonts w:ascii="Arial" w:cs="Arial" w:eastAsia="Arial" w:hAnsi="Arial"/>
                <w:sz w:val="18"/>
                <w:szCs w:val="18"/>
                <w:color w:val="auto"/>
              </w:rPr>
              <w:t>6,802</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(11,249)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1960" w:type="dxa"/>
            <w:vAlign w:val="bottom"/>
            <w:gridSpan w:val="3"/>
          </w:tcPr>
          <w:p>
            <w:pPr>
              <w:jc w:val="right"/>
              <w:ind w:right="680"/>
              <w:spacing w:after="0"/>
              <w:rPr>
                <w:sz w:val="20"/>
                <w:szCs w:val="20"/>
                <w:color w:val="auto"/>
              </w:rPr>
            </w:pPr>
            <w:r>
              <w:rPr>
                <w:rFonts w:ascii="Arial" w:cs="Arial" w:eastAsia="Arial" w:hAnsi="Arial"/>
                <w:sz w:val="18"/>
                <w:szCs w:val="18"/>
                <w:color w:val="auto"/>
              </w:rPr>
              <w:t>1,116</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12,916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14,032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2009</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$ 120,871</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$ 492,448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$ 613,319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June 30, 2009, is expected to total $23.0 million for 2009, $23.2 million for 2010, $19.2 million for 2011, $16.9 million for 2012, $12.4 million for 2013 and $9.6 million for 2014.</w:t>
      </w:r>
    </w:p>
    <w:p>
      <w:pPr>
        <w:spacing w:after="0" w:line="62"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The Company’s annual goodwill impairment test is performed during the fourth quarter. The Company’s annual impairment test for the year ended December 31, 2008 resulted in the Company recording an estimated non-cash goodwill impairment charge of $219.8 million in the fourth quarter of 2008 related to its RIA money transfer business and its Spanish prepaid business. Additionally, the Company recorded a non-cash impairment charge of</w:t>
      </w:r>
    </w:p>
    <w:p>
      <w:pPr>
        <w:ind w:right="580"/>
        <w:spacing w:after="0" w:line="277" w:lineRule="auto"/>
        <w:rPr>
          <w:sz w:val="20"/>
          <w:szCs w:val="20"/>
          <w:color w:val="auto"/>
        </w:rPr>
      </w:pPr>
      <w:r>
        <w:rPr>
          <w:rFonts w:ascii="Arial" w:cs="Arial" w:eastAsia="Arial" w:hAnsi="Arial"/>
          <w:sz w:val="17"/>
          <w:szCs w:val="17"/>
          <w:color w:val="auto"/>
        </w:rPr>
        <w:t>$0.3 million in the fourth quarter of 2008 related to certain trade names and customer relationships of the RIA money transfer business. The Company completed the impairment testing in the first quarter of 2009 and recorded an additional non-cash goodwill impairment charge of $8.8 million and a $1.1 million non-cash impairment charge related to a money transfer intangible asset in the first quarter of 2009.</w:t>
      </w:r>
    </w:p>
    <w:p>
      <w:pPr>
        <w:spacing w:after="0" w:line="6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six-month period ended June 30, 2009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89"/>
              </w:rPr>
              <w:t>Revolving</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1.625%</w:t>
            </w:r>
          </w:p>
        </w:tc>
        <w:tc>
          <w:tcPr>
            <w:tcW w:w="280" w:type="dxa"/>
            <w:vAlign w:val="bottom"/>
          </w:tcPr>
          <w:p>
            <w:pPr>
              <w:spacing w:after="0"/>
              <w:rPr>
                <w:sz w:val="14"/>
                <w:szCs w:val="14"/>
                <w:color w:val="auto"/>
              </w:rPr>
            </w:pPr>
          </w:p>
        </w:tc>
        <w:tc>
          <w:tcPr>
            <w:tcW w:w="96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rPr>
              <w:t>3.50%</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Convertible</w:t>
            </w:r>
          </w:p>
        </w:tc>
        <w:tc>
          <w:tcPr>
            <w:tcW w:w="24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Credit</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4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Debentures</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Term Loan</w:t>
            </w:r>
          </w:p>
        </w:tc>
        <w:tc>
          <w:tcPr>
            <w:tcW w:w="2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4"/>
                <w:szCs w:val="14"/>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Facilities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Leases</w:t>
            </w:r>
          </w:p>
        </w:tc>
        <w:tc>
          <w:tcPr>
            <w:tcW w:w="2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Due 2024</w:t>
            </w:r>
          </w:p>
        </w:tc>
        <w:tc>
          <w:tcPr>
            <w:tcW w:w="24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Due 2025</w:t>
            </w: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16,719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66,548</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$ 147,446</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$ 132,000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$ 373,971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Increases (decreases):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repayments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(11,819)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(24,966)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Accretion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1,581</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3,169</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w w:val="89"/>
              </w:rPr>
              <w:t>Foreign currency exchange (gain)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5,018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43,163</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150,615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130,000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337,123</w:t>
            </w:r>
          </w:p>
        </w:tc>
        <w:tc>
          <w:tcPr>
            <w:tcW w:w="0" w:type="dxa"/>
            <w:vAlign w:val="bottom"/>
          </w:tcPr>
          <w:p>
            <w:pPr>
              <w:spacing w:after="0"/>
              <w:rPr>
                <w:sz w:val="1"/>
                <w:szCs w:val="1"/>
                <w:color w:val="auto"/>
              </w:rPr>
            </w:pP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(3,866)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(43,163)</w:t>
            </w:r>
          </w:p>
        </w:tc>
        <w:tc>
          <w:tcPr>
            <w:tcW w:w="24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(1,900)</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(48,929)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4"/>
              </w:rPr>
              <w:t>Long-term obligations at June 30, 2009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$ 150,615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$ 128,100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$ 288,194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half of 2009, the Company repurchased in privately negotiated transactions $25.8 million in principal amount of the 1.625% convertible debentures due 2024. During the six months ended June 30, 2009, the Company repaid $2.0 million of the term loan, of which $1.0 million were scheduled repayments. The remaining $1.0 million represents prepayment of amounts not yet due and, along with the convertible debentures repurchases, resulted in the Company recognizing a $0.3 million pre-tax loss on early retirement of debt.</w:t>
      </w:r>
    </w:p>
    <w:p>
      <w:pPr>
        <w:spacing w:after="0" w:line="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discussed in Note 2, Summary of Significant Accounting Policies and Practices, the Company adopted the provisions of FSP APB 14-1, which resulted in the adjustment of amounts previously reported for the Company’s convertible debentures. The 1.625% convertible debentures had principal amounts outstanding of $44.2 million and $70.0 million and unamortized discounts outstanding of $1.0 million and $3.5 million as of June 30, 2009 and December 31, 2008, respectively. The discount will be amortized through December 15, 2009. Contractual interest expense was $0.2 million and $0.5 million and discount accretion was $0.7 million and $1.6 million for the three and six months ended June 30, 2009, respectively. Contractual interest expense was $0.6 million and $1.1 million and discount accretion was $1.7 million and $3.4 million for the three and six months ended June 30, 2008, respectively. The effective interest rate was 7.1% for the three and six months ended June 30, 2009 and 2008. The carrying amount of the equity portion was $32.3 million as of June 30, 2009 and December 31, 2008.</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3.50% convertible debentures had principal amounts outstanding of $175.0 million and unamortized discounts outstanding of $24.4 million and</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$27.6 million as of June 30, 2009 and December 31, 2008, respectively. The discount will be amortized through October 15, 2012. Contractual interest expense was $1.5 million and $3.1 million for the respective three- and six-month periods ended June 30, 2009 and 2008. Discount accretion was $1.6 million and $3.2 million for the three and six months ended June 30, 2009, respectively and $1.5 million and $2.9 million for the three and six months ended June 30, 2008, respectively. The effective interest rate was 8.4% for the three and six months ended June 30, 2009 and 2008. The carrying amount of the equity portion was $45.1 million as of June 30, 2009 and December 31,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June 30, 2009, the Company had foreign currency forward contracts outstanding with a notional value of $41.2 million, primarily in euros, which were not designated as hedges and had a weighted average maturity of 4.9 days. Although the Company enters into foreign currency forward contracts to offset foreign currency exposure related to the notional value of money transfer transactions collected in currencies other than the U.S. dollar, they are not designated as hedges under SFAS No. 133. This is mainly due to the relatively short duration of the contracts, typically 1 to 14 days, and the frequency with which the Company enters into them.</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SFAS No. 133 and its fair value is recorded in the Unaudited Consolidated Balance Sheet.</w:t>
      </w:r>
    </w:p>
    <w:p>
      <w:pPr>
        <w:spacing w:after="0" w:line="7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 million to manage interest rate exposure related to a portion of the term loan. The interest rate swap agreements were determined to be cash flow hedges and effectively converted $50 million of the term loan to a fixed interest rate of 7.3% through the May 2009 maturity date of the swap agreements. The swap agreements required no payment by either party at their maturities.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Below are the tabular disclosures required by SFAS No. 161: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3"/>
              </w:rPr>
              <w:t>Fair Values of 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11"/>
            <w:vMerge w:val="restart"/>
          </w:tcPr>
          <w:p>
            <w:pPr>
              <w:jc w:val="center"/>
              <w:ind w:right="60"/>
              <w:spacing w:after="0"/>
              <w:rPr>
                <w:sz w:val="20"/>
                <w:szCs w:val="20"/>
                <w:color w:val="auto"/>
              </w:rPr>
            </w:pPr>
            <w:r>
              <w:rPr>
                <w:rFonts w:ascii="Arial" w:cs="Arial" w:eastAsia="Arial" w:hAnsi="Arial"/>
                <w:sz w:val="14"/>
                <w:szCs w:val="14"/>
                <w:b w:val="1"/>
                <w:bCs w:val="1"/>
                <w:color w:val="auto"/>
                <w:w w:val="90"/>
              </w:rPr>
              <w:t>Consolidated Balance Sheet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Instruments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20" w:type="dxa"/>
            <w:vAlign w:val="bottom"/>
            <w:gridSpan w:val="11"/>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June 30, 2009</w:t>
            </w:r>
          </w:p>
        </w:tc>
        <w:tc>
          <w:tcPr>
            <w:tcW w:w="84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center"/>
              <w:ind w:left="39"/>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8"/>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94"/>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Derivatives designated as hedging instruments under SFAS No. 133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9"/>
          </w:tcPr>
          <w:p>
            <w:pPr>
              <w:jc w:val="right"/>
              <w:ind w:right="600"/>
              <w:spacing w:after="0" w:line="142" w:lineRule="exact"/>
              <w:rPr>
                <w:sz w:val="20"/>
                <w:szCs w:val="20"/>
                <w:color w:val="auto"/>
              </w:rPr>
            </w:pPr>
            <w:r>
              <w:rPr>
                <w:rFonts w:ascii="Arial" w:cs="Arial" w:eastAsia="Arial" w:hAnsi="Arial"/>
                <w:sz w:val="14"/>
                <w:szCs w:val="14"/>
                <w:b w:val="1"/>
                <w:bCs w:val="1"/>
                <w:color w:val="auto"/>
              </w:rPr>
              <w:t>Liability Derivatives</w:t>
            </w:r>
          </w:p>
        </w:tc>
        <w:tc>
          <w:tcPr>
            <w:tcW w:w="0" w:type="dxa"/>
            <w:vAlign w:val="bottom"/>
          </w:tcPr>
          <w:p>
            <w:pPr>
              <w:spacing w:after="0"/>
              <w:rPr>
                <w:sz w:val="1"/>
                <w:szCs w:val="1"/>
                <w:color w:val="auto"/>
              </w:rPr>
            </w:pPr>
          </w:p>
        </w:tc>
      </w:tr>
      <w:tr>
        <w:trPr>
          <w:trHeight w:val="223"/>
        </w:trPr>
        <w:tc>
          <w:tcPr>
            <w:tcW w:w="6160" w:type="dxa"/>
            <w:vAlign w:val="bottom"/>
            <w:gridSpan w:val="6"/>
            <w:vMerge w:val="continue"/>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8"/>
            <w:vMerge w:val="restart"/>
          </w:tcPr>
          <w:p>
            <w:pPr>
              <w:jc w:val="center"/>
              <w:ind w:right="60"/>
              <w:spacing w:after="0"/>
              <w:rPr>
                <w:sz w:val="20"/>
                <w:szCs w:val="20"/>
                <w:color w:val="auto"/>
              </w:rPr>
            </w:pPr>
            <w:r>
              <w:rPr>
                <w:rFonts w:ascii="Arial" w:cs="Arial" w:eastAsia="Arial" w:hAnsi="Arial"/>
                <w:sz w:val="18"/>
                <w:szCs w:val="18"/>
                <w:color w:val="auto"/>
                <w:w w:val="88"/>
              </w:rPr>
              <w:t>Accrued expenses and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8"/>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Interest rate swaps related to floating rate debt</w:t>
            </w: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8"/>
          </w:tcPr>
          <w:p>
            <w:pPr>
              <w:jc w:val="center"/>
              <w:spacing w:after="0"/>
              <w:rPr>
                <w:sz w:val="20"/>
                <w:szCs w:val="20"/>
                <w:color w:val="auto"/>
              </w:rPr>
            </w:pPr>
            <w:r>
              <w:rPr>
                <w:rFonts w:ascii="Arial" w:cs="Arial" w:eastAsia="Arial" w:hAnsi="Arial"/>
                <w:sz w:val="18"/>
                <w:szCs w:val="18"/>
                <w:color w:val="auto"/>
                <w:w w:val="93"/>
              </w:rPr>
              <w:t>other current 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right"/>
              <w:ind w:right="504"/>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Asset Derivatives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9"/>
              </w:rPr>
              <w:t>Derivatives not designated as hedging instruments under SFAS No. 133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w w:val="91"/>
              </w:rPr>
              <w:t>Foreign currency derivative contracts — gross gains</w:t>
            </w: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13"/>
          </w:tcPr>
          <w:p>
            <w:pPr>
              <w:jc w:val="center"/>
              <w:ind w:right="480"/>
              <w:spacing w:after="0"/>
              <w:rPr>
                <w:sz w:val="20"/>
                <w:szCs w:val="20"/>
                <w:color w:val="auto"/>
              </w:rPr>
            </w:pPr>
            <w:r>
              <w:rPr>
                <w:rFonts w:ascii="Arial" w:cs="Arial" w:eastAsia="Arial" w:hAnsi="Arial"/>
                <w:sz w:val="18"/>
                <w:szCs w:val="18"/>
                <w:color w:val="auto"/>
                <w:w w:val="87"/>
              </w:rPr>
              <w:t>Cash and cash equivalents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Foreign currency derivative contracts — gross losses</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60" w:type="dxa"/>
            <w:vAlign w:val="bottom"/>
            <w:gridSpan w:val="13"/>
            <w:shd w:val="clear" w:color="auto" w:fill="CCEEFF"/>
          </w:tcPr>
          <w:p>
            <w:pPr>
              <w:jc w:val="center"/>
              <w:ind w:right="480"/>
              <w:spacing w:after="0"/>
              <w:rPr>
                <w:sz w:val="20"/>
                <w:szCs w:val="20"/>
                <w:color w:val="auto"/>
              </w:rPr>
            </w:pPr>
            <w:r>
              <w:rPr>
                <w:rFonts w:ascii="Arial" w:cs="Arial" w:eastAsia="Arial" w:hAnsi="Arial"/>
                <w:sz w:val="18"/>
                <w:szCs w:val="18"/>
                <w:color w:val="auto"/>
                <w:w w:val="87"/>
              </w:rPr>
              <w:t>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20" w:type="dxa"/>
            <w:vAlign w:val="bottom"/>
            <w:vMerge w:val="restart"/>
          </w:tcPr>
          <w:p>
            <w:pPr>
              <w:ind w:left="200"/>
              <w:spacing w:after="0"/>
              <w:rPr>
                <w:sz w:val="20"/>
                <w:szCs w:val="20"/>
                <w:color w:val="auto"/>
              </w:rPr>
            </w:pPr>
            <w:r>
              <w:rPr>
                <w:rFonts w:ascii="Arial" w:cs="Arial" w:eastAsia="Arial" w:hAnsi="Arial"/>
                <w:sz w:val="18"/>
                <w:szCs w:val="18"/>
                <w:color w:val="auto"/>
              </w:rPr>
              <w:t>Embedded derivative in foreign lease</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13"/>
            <w:vMerge w:val="restart"/>
          </w:tcPr>
          <w:p>
            <w:pPr>
              <w:jc w:val="center"/>
              <w:ind w:right="460"/>
              <w:spacing w:after="0"/>
              <w:rPr>
                <w:sz w:val="20"/>
                <w:szCs w:val="20"/>
                <w:color w:val="auto"/>
              </w:rPr>
            </w:pPr>
            <w:r>
              <w:rPr>
                <w:rFonts w:ascii="Arial" w:cs="Arial" w:eastAsia="Arial" w:hAnsi="Arial"/>
                <w:sz w:val="18"/>
                <w:szCs w:val="18"/>
                <w:color w:val="auto"/>
                <w:w w:val="94"/>
              </w:rPr>
              <w:t>Other long-term liabilities</w:t>
            </w: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4"/>
                <w:szCs w:val="14"/>
                <w:b w:val="1"/>
                <w:bCs w:val="1"/>
                <w:color w:val="auto"/>
              </w:rPr>
              <w:t>Liability Derivatives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13"/>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derivatives</w:t>
            </w: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4"/>
              </w:rPr>
              <w:t>Amount of Gain (Loss)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2"/>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gridSpan w:val="14"/>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Recognized in OCI on Derivative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11"/>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Recognized in OCI on 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4"/>
              </w:rPr>
              <w:t>(Effective Portion)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4"/>
              </w:rPr>
              <w:t>(Effective Portion)</w:t>
            </w:r>
          </w:p>
        </w:tc>
        <w:tc>
          <w:tcPr>
            <w:tcW w:w="0" w:type="dxa"/>
            <w:vAlign w:val="bottom"/>
          </w:tcPr>
          <w:p>
            <w:pPr>
              <w:spacing w:after="0"/>
              <w:rPr>
                <w:sz w:val="1"/>
                <w:szCs w:val="1"/>
                <w:color w:val="auto"/>
              </w:rPr>
            </w:pPr>
          </w:p>
        </w:tc>
      </w:tr>
      <w:tr>
        <w:trPr>
          <w:trHeight w:val="142"/>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11"/>
          </w:tcPr>
          <w:p>
            <w:pPr>
              <w:jc w:val="center"/>
              <w:ind w:right="10"/>
              <w:spacing w:after="0" w:line="142" w:lineRule="exact"/>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8"/>
          </w:tcPr>
          <w:p>
            <w:pPr>
              <w:jc w:val="center"/>
              <w:ind w:right="54"/>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4"/>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b w:val="1"/>
                <w:bCs w:val="1"/>
                <w:color w:val="auto"/>
              </w:rPr>
              <w:t>Derivatives in SFAS No. 133 Cash Flow Hedging Relationships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Interest rate swaps related to floating rate debt</w:t>
            </w: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20"/>
                <w:szCs w:val="20"/>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830</w:t>
            </w:r>
          </w:p>
        </w:tc>
        <w:tc>
          <w:tcPr>
            <w:tcW w:w="50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8"/>
          </w:tcPr>
          <w:p>
            <w:pPr>
              <w:jc w:val="center"/>
              <w:ind w:left="99"/>
              <w:spacing w:after="0"/>
              <w:rPr>
                <w:sz w:val="20"/>
                <w:szCs w:val="20"/>
                <w:color w:val="auto"/>
              </w:rPr>
            </w:pPr>
            <w:r>
              <w:rPr>
                <w:rFonts w:ascii="Arial" w:cs="Arial" w:eastAsia="Arial" w:hAnsi="Arial"/>
                <w:sz w:val="14"/>
                <w:szCs w:val="14"/>
                <w:b w:val="1"/>
                <w:bCs w:val="1"/>
                <w:color w:val="auto"/>
                <w:w w:val="94"/>
              </w:rPr>
              <w:t>Amount of Gain (Loss)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2"/>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8"/>
          </w:tcPr>
          <w:p>
            <w:pPr>
              <w:jc w:val="center"/>
              <w:ind w:left="59"/>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9"/>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Location of Gain (Loss)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Derivative</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ind w:right="5"/>
              <w:spacing w:after="0"/>
              <w:rPr>
                <w:sz w:val="20"/>
                <w:szCs w:val="20"/>
                <w:color w:val="auto"/>
              </w:rPr>
            </w:pPr>
            <w:r>
              <w:rPr>
                <w:rFonts w:ascii="Arial" w:cs="Arial" w:eastAsia="Arial" w:hAnsi="Arial"/>
                <w:sz w:val="14"/>
                <w:szCs w:val="14"/>
                <w:b w:val="1"/>
                <w:bCs w:val="1"/>
                <w:color w:val="auto"/>
                <w:w w:val="95"/>
              </w:rPr>
              <w:t>Derivative</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Recognized in Income 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Borders>
              <w:bottom w:val="single" w:sz="8" w:color="auto"/>
            </w:tcBorders>
            <w:gridSpan w:val="11"/>
          </w:tcPr>
          <w:p>
            <w:pPr>
              <w:jc w:val="center"/>
              <w:spacing w:after="0" w:line="142" w:lineRule="exact"/>
              <w:rPr>
                <w:sz w:val="20"/>
                <w:szCs w:val="20"/>
                <w:color w:val="auto"/>
              </w:rPr>
            </w:pPr>
            <w:r>
              <w:rPr>
                <w:rFonts w:ascii="Arial" w:cs="Arial" w:eastAsia="Arial" w:hAnsi="Arial"/>
                <w:sz w:val="14"/>
                <w:szCs w:val="14"/>
                <w:b w:val="1"/>
                <w:bCs w:val="1"/>
                <w:color w:val="auto"/>
                <w:w w:val="93"/>
              </w:rPr>
              <w:t>Three Months Ended June 30,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8"/>
          </w:tcPr>
          <w:p>
            <w:pPr>
              <w:jc w:val="center"/>
              <w:ind w:right="14"/>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162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5"/>
              </w:rPr>
              <w:t>Derivative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1"/>
              </w:rPr>
              <w:t>Derivatives not designated as hedging instruments</w:t>
            </w:r>
          </w:p>
        </w:tc>
        <w:tc>
          <w:tcPr>
            <w:tcW w:w="50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under SFAS No. 133</w:t>
            </w:r>
          </w:p>
        </w:tc>
        <w:tc>
          <w:tcPr>
            <w:tcW w:w="5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gridSpan w:val="3"/>
          </w:tcPr>
          <w:p>
            <w:pPr>
              <w:jc w:val="right"/>
              <w:ind w:right="380"/>
              <w:spacing w:after="0" w:line="201" w:lineRule="exact"/>
              <w:rPr>
                <w:sz w:val="20"/>
                <w:szCs w:val="20"/>
                <w:color w:val="auto"/>
              </w:rPr>
            </w:pPr>
            <w:r>
              <w:rPr>
                <w:rFonts w:ascii="Arial" w:cs="Arial" w:eastAsia="Arial" w:hAnsi="Arial"/>
                <w:sz w:val="18"/>
                <w:szCs w:val="18"/>
                <w:color w:val="auto"/>
                <w:w w:val="90"/>
              </w:rPr>
              <w:t>Foreign currency</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exchange gain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rPr>
              <w:t>Foreign currency derivative contracts</w:t>
            </w:r>
          </w:p>
        </w:tc>
        <w:tc>
          <w:tcPr>
            <w:tcW w:w="500" w:type="dxa"/>
            <w:vAlign w:val="bottom"/>
          </w:tcPr>
          <w:p>
            <w:pPr>
              <w:spacing w:after="0"/>
              <w:rPr>
                <w:sz w:val="20"/>
                <w:szCs w:val="20"/>
                <w:color w:val="auto"/>
              </w:rPr>
            </w:pPr>
          </w:p>
        </w:tc>
        <w:tc>
          <w:tcPr>
            <w:tcW w:w="1620" w:type="dxa"/>
            <w:vAlign w:val="bottom"/>
            <w:gridSpan w:val="3"/>
          </w:tcPr>
          <w:p>
            <w:pPr>
              <w:ind w:left="200"/>
              <w:spacing w:after="0"/>
              <w:rPr>
                <w:sz w:val="20"/>
                <w:szCs w:val="20"/>
                <w:color w:val="auto"/>
              </w:rPr>
            </w:pPr>
            <w:r>
              <w:rPr>
                <w:rFonts w:ascii="Arial" w:cs="Arial" w:eastAsia="Arial" w:hAnsi="Arial"/>
                <w:sz w:val="18"/>
                <w:szCs w:val="18"/>
                <w:color w:val="auto"/>
              </w:rPr>
              <w:t>(loss), net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97"/>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(77)</w:t>
            </w:r>
          </w:p>
        </w:tc>
        <w:tc>
          <w:tcPr>
            <w:tcW w:w="340" w:type="dxa"/>
            <w:vAlign w:val="bottom"/>
            <w:gridSpan w:val="4"/>
          </w:tcPr>
          <w:p>
            <w:pPr>
              <w:ind w:left="240"/>
              <w:spacing w:after="0"/>
              <w:rPr>
                <w:sz w:val="20"/>
                <w:szCs w:val="20"/>
                <w:color w:val="auto"/>
              </w:rPr>
            </w:pPr>
            <w:r>
              <w:rPr>
                <w:rFonts w:ascii="Arial" w:cs="Arial" w:eastAsia="Arial" w:hAnsi="Arial"/>
                <w:sz w:val="18"/>
                <w:szCs w:val="18"/>
                <w:color w:val="auto"/>
                <w:w w:val="79"/>
              </w:rPr>
              <w:t>$</w:t>
            </w:r>
          </w:p>
        </w:tc>
        <w:tc>
          <w:tcPr>
            <w:tcW w:w="1060" w:type="dxa"/>
            <w:vAlign w:val="bottom"/>
            <w:gridSpan w:val="4"/>
          </w:tcPr>
          <w:p>
            <w:pPr>
              <w:jc w:val="right"/>
              <w:ind w:right="424"/>
              <w:spacing w:after="0"/>
              <w:rPr>
                <w:sz w:val="20"/>
                <w:szCs w:val="20"/>
                <w:color w:val="auto"/>
              </w:rPr>
            </w:pPr>
            <w:r>
              <w:rPr>
                <w:rFonts w:ascii="Arial" w:cs="Arial" w:eastAsia="Arial" w:hAnsi="Arial"/>
                <w:sz w:val="18"/>
                <w:szCs w:val="18"/>
                <w:color w:val="auto"/>
              </w:rPr>
              <w:t>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w w:val="90"/>
              </w:rPr>
              <w:t>Foreign currency</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exchange gain</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Embedded derivative in foreign lease</w:t>
            </w:r>
          </w:p>
        </w:tc>
        <w:tc>
          <w:tcPr>
            <w:tcW w:w="50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364"/>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4"/>
              </w:rPr>
              <w:t>(77)</w:t>
            </w:r>
          </w:p>
        </w:tc>
        <w:tc>
          <w:tcPr>
            <w:tcW w:w="360" w:type="dxa"/>
            <w:vAlign w:val="bottom"/>
          </w:tcPr>
          <w:p>
            <w:pPr>
              <w:spacing w:after="0"/>
              <w:rPr>
                <w:sz w:val="19"/>
                <w:szCs w:val="19"/>
                <w:color w:val="auto"/>
              </w:rPr>
            </w:pPr>
          </w:p>
        </w:tc>
        <w:tc>
          <w:tcPr>
            <w:tcW w:w="240" w:type="dxa"/>
            <w:vAlign w:val="bottom"/>
            <w:gridSpan w:val="3"/>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(288</w:t>
            </w:r>
          </w:p>
        </w:tc>
        <w:tc>
          <w:tcPr>
            <w:tcW w:w="500" w:type="dxa"/>
            <w:vAlign w:val="bottom"/>
          </w:tcPr>
          <w:p>
            <w:pPr>
              <w:jc w:val="right"/>
              <w:ind w:right="364"/>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20" w:type="dxa"/>
            <w:vAlign w:val="bottom"/>
            <w:gridSpan w:val="2"/>
            <w:vMerge w:val="restart"/>
          </w:tcPr>
          <w:p>
            <w:pPr>
              <w:jc w:val="right"/>
              <w:ind w:right="7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Euronet’s reportable operating segments have been determined in accordance with SFAS No. 131, “Disclosures About Segments of an Enterprise and Related Information.” The Company currently operates in the following three reportable operating segments:</w:t>
      </w:r>
    </w:p>
    <w:p>
      <w:pPr>
        <w:spacing w:after="0" w:line="62" w:lineRule="exact"/>
        <w:rPr>
          <w:sz w:val="20"/>
          <w:szCs w:val="20"/>
          <w:color w:val="auto"/>
        </w:rPr>
      </w:pPr>
    </w:p>
    <w:p>
      <w:pPr>
        <w:ind w:left="660" w:right="120" w:hanging="436"/>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merchant acquiring, card issuing and transaction delivery systems.</w:t>
      </w:r>
    </w:p>
    <w:p>
      <w:pPr>
        <w:spacing w:after="0" w:line="215"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distribution of prepaid mobile airtime and other prepaid products and collection services in Europe, the Middle East, Asia Pacific and North America.</w:t>
      </w:r>
    </w:p>
    <w:p>
      <w:pPr>
        <w:spacing w:after="0" w:line="75" w:lineRule="exact"/>
        <w:rPr>
          <w:rFonts w:ascii="Arial" w:cs="Arial" w:eastAsia="Arial" w:hAnsi="Arial"/>
          <w:sz w:val="18"/>
          <w:szCs w:val="18"/>
          <w:color w:val="auto"/>
        </w:rPr>
      </w:pPr>
    </w:p>
    <w:p>
      <w:pPr>
        <w:jc w:val="both"/>
        <w:ind w:left="660" w:right="100" w:hanging="43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and bill payment services through a sending network of agents and Company-owned stores primarily in North America and Europe, disbursing money transfers through a worldwide payer network. Bill payment services are offered primarily in the U.S.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certain intersegment eliminations and the costs of providing corporate and other administrative services to the three segments. These services are not directly identifiable with the Company’s reportable operating segments. The following tables present the segment results of the Company’s operations for the three-and six-month periods ended June 30, 2009 and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For the Three Months Ended June 30, 2009</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Processing</w:t>
            </w:r>
          </w:p>
        </w:tc>
        <w:tc>
          <w:tcPr>
            <w:tcW w:w="2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$ 45,592</w:t>
            </w:r>
          </w:p>
        </w:tc>
        <w:tc>
          <w:tcPr>
            <w:tcW w:w="1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$ 145,253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248,614</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19,656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117,342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7,443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13,103</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3,746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5,409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8,847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35,793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133,142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55,088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230,590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For the Three Months Ended June 30, 2008</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Processing</w:t>
            </w:r>
          </w:p>
        </w:tc>
        <w:tc>
          <w:tcPr>
            <w:tcW w:w="2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$ 52,361</w:t>
            </w:r>
          </w:p>
        </w:tc>
        <w:tc>
          <w:tcPr>
            <w:tcW w:w="1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$ 152,633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59,456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264,450</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24,625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124,604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30,196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9,113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13,035</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43,322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141,213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56,898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247,152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9"/>
          </w:tcPr>
          <w:p>
            <w:pPr>
              <w:jc w:val="right"/>
              <w:ind w:right="720"/>
              <w:spacing w:after="0"/>
              <w:rPr>
                <w:sz w:val="20"/>
                <w:szCs w:val="20"/>
                <w:color w:val="auto"/>
              </w:rPr>
            </w:pPr>
            <w:r>
              <w:rPr>
                <w:rFonts w:ascii="Arial" w:cs="Arial" w:eastAsia="Arial" w:hAnsi="Arial"/>
                <w:sz w:val="14"/>
                <w:szCs w:val="14"/>
                <w:b w:val="1"/>
                <w:bCs w:val="1"/>
                <w:color w:val="auto"/>
              </w:rPr>
              <w:t>For the Six Months Ended June 30, 2009</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3"/>
              </w:rPr>
              <w:t>Prepaid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4"/>
              </w:rPr>
              <w:t>Processing</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2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6"/>
              </w:rPr>
              <w:t>Transfer</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gridSpan w:val="2"/>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$ 91,798</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$ 279,776</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110,737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482,311</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38,611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226,377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53,613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318,601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14,455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13,217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24,923</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7,086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8,304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8,719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70,089</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256,789</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115,927</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454,589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21,709</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22,987</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4"/>
                <w:szCs w:val="14"/>
                <w:b w:val="1"/>
                <w:bCs w:val="1"/>
                <w:color w:val="auto"/>
              </w:rPr>
              <w:t>For the Six Months Ended June 30, 2008</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Prepaid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1100" w:type="dxa"/>
            <w:vAlign w:val="bottom"/>
            <w:gridSpan w:val="5"/>
          </w:tcPr>
          <w:p>
            <w:pPr>
              <w:ind w:left="20"/>
              <w:spacing w:after="0"/>
              <w:rPr>
                <w:sz w:val="20"/>
                <w:szCs w:val="20"/>
                <w:color w:val="auto"/>
              </w:rPr>
            </w:pPr>
            <w:r>
              <w:rPr>
                <w:rFonts w:ascii="Arial" w:cs="Arial" w:eastAsia="Arial" w:hAnsi="Arial"/>
                <w:sz w:val="14"/>
                <w:szCs w:val="14"/>
                <w:b w:val="1"/>
                <w:bCs w:val="1"/>
                <w:color w:val="auto"/>
              </w:rPr>
              <w:t>Processing</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4"/>
              </w:rPr>
              <w:t>Processing</w:t>
            </w:r>
          </w:p>
        </w:tc>
        <w:tc>
          <w:tcPr>
            <w:tcW w:w="2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6"/>
              </w:rPr>
              <w:t>Transfer</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$ 100,597</w:t>
            </w:r>
          </w:p>
        </w:tc>
        <w:tc>
          <w:tcPr>
            <w:tcW w:w="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$ 296,858</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111,788</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509,243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46,362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242,460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56,541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17,021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13,484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24,792</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8,461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16,029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w:t>
            </w: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81,413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275,104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107,279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478,714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19,184</w:t>
            </w:r>
          </w:p>
        </w:tc>
        <w:tc>
          <w:tcPr>
            <w:tcW w:w="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21,754</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carrying amount of cash and cash equivalents, trade accounts receivable, trade accounts payable and short-term debt obligations approximates fair value, due to their short maturities. The carrying value of the Company’s term loan due 2014 and revolving credit agreements approximate fair value because interest is based on LIBOR that resets at various intervals of less than one year. The following table provides the estimated fair values of the Company’s other financial instruments, based on quoted market prices or significant other observable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1162"/>
              <w:spacing w:after="0"/>
              <w:rPr>
                <w:sz w:val="20"/>
                <w:szCs w:val="20"/>
                <w:color w:val="auto"/>
              </w:rPr>
            </w:pPr>
            <w:r>
              <w:rPr>
                <w:rFonts w:ascii="Arial" w:cs="Arial" w:eastAsia="Arial" w:hAnsi="Arial"/>
                <w:sz w:val="14"/>
                <w:szCs w:val="14"/>
                <w:b w:val="1"/>
                <w:bCs w:val="1"/>
                <w:color w:val="auto"/>
              </w:rPr>
              <w:t>As of</w:t>
            </w: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896"/>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480" w:type="dxa"/>
            <w:vAlign w:val="bottom"/>
          </w:tcPr>
          <w:p>
            <w:pPr>
              <w:spacing w:after="0"/>
              <w:rPr>
                <w:sz w:val="12"/>
                <w:szCs w:val="12"/>
                <w:color w:val="auto"/>
              </w:rPr>
            </w:pPr>
          </w:p>
        </w:tc>
        <w:tc>
          <w:tcPr>
            <w:tcW w:w="2800" w:type="dxa"/>
            <w:vAlign w:val="bottom"/>
            <w:tcBorders>
              <w:bottom w:val="single" w:sz="8" w:color="auto"/>
            </w:tcBorders>
            <w:gridSpan w:val="3"/>
          </w:tcPr>
          <w:p>
            <w:pPr>
              <w:jc w:val="right"/>
              <w:ind w:right="736"/>
              <w:spacing w:after="0" w:line="142" w:lineRule="exact"/>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Fair Value</w:t>
            </w:r>
          </w:p>
        </w:tc>
        <w:tc>
          <w:tcPr>
            <w:tcW w:w="480" w:type="dxa"/>
            <w:vAlign w:val="bottom"/>
          </w:tcPr>
          <w:p>
            <w:pPr>
              <w:spacing w:after="0"/>
              <w:rPr>
                <w:sz w:val="10"/>
                <w:szCs w:val="10"/>
                <w:color w:val="auto"/>
              </w:rPr>
            </w:pPr>
          </w:p>
        </w:tc>
        <w:tc>
          <w:tcPr>
            <w:tcW w:w="1160" w:type="dxa"/>
            <w:vAlign w:val="bottom"/>
          </w:tcPr>
          <w:p>
            <w:pPr>
              <w:jc w:val="right"/>
              <w:ind w:right="222"/>
              <w:spacing w:after="0" w:line="119"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spacing w:after="0"/>
              <w:rPr>
                <w:sz w:val="10"/>
                <w:szCs w:val="10"/>
                <w:color w:val="auto"/>
              </w:rPr>
            </w:pPr>
          </w:p>
        </w:tc>
        <w:tc>
          <w:tcPr>
            <w:tcW w:w="11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980" w:type="dxa"/>
            <w:vAlign w:val="bottom"/>
          </w:tcPr>
          <w:p>
            <w:pPr>
              <w:jc w:val="right"/>
              <w:ind w:right="115"/>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322"/>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investment securities</w:t>
            </w:r>
          </w:p>
        </w:tc>
        <w:tc>
          <w:tcPr>
            <w:tcW w:w="4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2,381</w:t>
            </w: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  2,381</w:t>
            </w: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8"/>
                <w:szCs w:val="18"/>
                <w:color w:val="auto"/>
              </w:rPr>
              <w:t>$  1,351</w:t>
            </w: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  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980" w:type="dxa"/>
            <w:vAlign w:val="bottom"/>
          </w:tcPr>
          <w:p>
            <w:pPr>
              <w:jc w:val="right"/>
              <w:spacing w:after="0"/>
              <w:rPr>
                <w:sz w:val="20"/>
                <w:szCs w:val="20"/>
                <w:color w:val="auto"/>
              </w:rPr>
            </w:pPr>
            <w:r>
              <w:rPr>
                <w:rFonts w:ascii="Arial" w:cs="Arial" w:eastAsia="Arial" w:hAnsi="Arial"/>
                <w:sz w:val="18"/>
                <w:szCs w:val="18"/>
                <w:color w:val="auto"/>
              </w:rPr>
              <w:t>43,163</w:t>
            </w:r>
          </w:p>
        </w:tc>
        <w:tc>
          <w:tcPr>
            <w:tcW w:w="1840" w:type="dxa"/>
            <w:vAlign w:val="bottom"/>
            <w:gridSpan w:val="3"/>
          </w:tcPr>
          <w:p>
            <w:pPr>
              <w:jc w:val="right"/>
              <w:ind w:right="196"/>
              <w:spacing w:after="0"/>
              <w:rPr>
                <w:sz w:val="20"/>
                <w:szCs w:val="20"/>
                <w:color w:val="auto"/>
              </w:rPr>
            </w:pPr>
            <w:r>
              <w:rPr>
                <w:rFonts w:ascii="Arial" w:cs="Arial" w:eastAsia="Arial" w:hAnsi="Arial"/>
                <w:sz w:val="18"/>
                <w:szCs w:val="18"/>
                <w:color w:val="auto"/>
              </w:rPr>
              <w:t>43,068</w:t>
            </w:r>
          </w:p>
        </w:tc>
        <w:tc>
          <w:tcPr>
            <w:tcW w:w="1640" w:type="dxa"/>
            <w:vAlign w:val="bottom"/>
            <w:gridSpan w:val="2"/>
          </w:tcPr>
          <w:p>
            <w:pPr>
              <w:jc w:val="right"/>
              <w:ind w:right="202"/>
              <w:spacing w:after="0"/>
              <w:rPr>
                <w:sz w:val="20"/>
                <w:szCs w:val="20"/>
                <w:color w:val="auto"/>
              </w:rPr>
            </w:pPr>
            <w:r>
              <w:rPr>
                <w:rFonts w:ascii="Arial" w:cs="Arial" w:eastAsia="Arial" w:hAnsi="Arial"/>
                <w:sz w:val="18"/>
                <w:szCs w:val="18"/>
                <w:color w:val="auto"/>
              </w:rPr>
              <w:t>66,548</w:t>
            </w:r>
          </w:p>
        </w:tc>
        <w:tc>
          <w:tcPr>
            <w:tcW w:w="1640" w:type="dxa"/>
            <w:vAlign w:val="bottom"/>
            <w:gridSpan w:val="2"/>
          </w:tcPr>
          <w:p>
            <w:pPr>
              <w:jc w:val="right"/>
              <w:ind w:right="196"/>
              <w:spacing w:after="0"/>
              <w:rPr>
                <w:sz w:val="20"/>
                <w:szCs w:val="20"/>
                <w:color w:val="auto"/>
              </w:rPr>
            </w:pPr>
            <w:r>
              <w:rPr>
                <w:rFonts w:ascii="Arial" w:cs="Arial" w:eastAsia="Arial" w:hAnsi="Arial"/>
                <w:sz w:val="18"/>
                <w:szCs w:val="18"/>
                <w:color w:val="auto"/>
              </w:rPr>
              <w:t>63,522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convertible debentures, unsecured, due 2025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150,615</w:t>
            </w:r>
          </w:p>
        </w:tc>
        <w:tc>
          <w:tcPr>
            <w:tcW w:w="1840" w:type="dxa"/>
            <w:vAlign w:val="bottom"/>
            <w:gridSpan w:val="3"/>
            <w:shd w:val="clear" w:color="auto" w:fill="CCEEFF"/>
          </w:tcPr>
          <w:p>
            <w:pPr>
              <w:jc w:val="right"/>
              <w:ind w:right="196"/>
              <w:spacing w:after="0"/>
              <w:rPr>
                <w:sz w:val="20"/>
                <w:szCs w:val="20"/>
                <w:color w:val="auto"/>
              </w:rPr>
            </w:pPr>
            <w:r>
              <w:rPr>
                <w:rFonts w:ascii="Arial" w:cs="Arial" w:eastAsia="Arial" w:hAnsi="Arial"/>
                <w:sz w:val="18"/>
                <w:szCs w:val="18"/>
                <w:color w:val="auto"/>
              </w:rPr>
              <w:t>153,125</w:t>
            </w:r>
          </w:p>
        </w:tc>
        <w:tc>
          <w:tcPr>
            <w:tcW w:w="164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147,446</w:t>
            </w:r>
          </w:p>
        </w:tc>
        <w:tc>
          <w:tcPr>
            <w:tcW w:w="164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112,131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Foreign currency derivative contracts</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840" w:type="dxa"/>
            <w:vAlign w:val="bottom"/>
            <w:gridSpan w:val="3"/>
          </w:tcPr>
          <w:p>
            <w:pPr>
              <w:jc w:val="right"/>
              <w:ind w:right="136"/>
              <w:spacing w:after="0"/>
              <w:rPr>
                <w:sz w:val="20"/>
                <w:szCs w:val="20"/>
                <w:color w:val="auto"/>
              </w:rPr>
            </w:pPr>
            <w:r>
              <w:rPr>
                <w:rFonts w:ascii="Arial" w:cs="Arial" w:eastAsia="Arial" w:hAnsi="Arial"/>
                <w:sz w:val="18"/>
                <w:szCs w:val="18"/>
                <w:color w:val="auto"/>
              </w:rPr>
              <w:t>(9)</w:t>
            </w:r>
          </w:p>
        </w:tc>
        <w:tc>
          <w:tcPr>
            <w:tcW w:w="1640" w:type="dxa"/>
            <w:vAlign w:val="bottom"/>
            <w:gridSpan w:val="2"/>
          </w:tcPr>
          <w:p>
            <w:pPr>
              <w:jc w:val="right"/>
              <w:ind w:right="202"/>
              <w:spacing w:after="0"/>
              <w:rPr>
                <w:sz w:val="20"/>
                <w:szCs w:val="20"/>
                <w:color w:val="auto"/>
              </w:rPr>
            </w:pPr>
            <w:r>
              <w:rPr>
                <w:rFonts w:ascii="Arial" w:cs="Arial" w:eastAsia="Arial" w:hAnsi="Arial"/>
                <w:sz w:val="18"/>
                <w:szCs w:val="18"/>
                <w:color w:val="auto"/>
              </w:rPr>
              <w:t>278</w:t>
            </w:r>
          </w:p>
        </w:tc>
        <w:tc>
          <w:tcPr>
            <w:tcW w:w="1640" w:type="dxa"/>
            <w:vAlign w:val="bottom"/>
            <w:gridSpan w:val="2"/>
          </w:tcPr>
          <w:p>
            <w:pPr>
              <w:jc w:val="right"/>
              <w:ind w:right="196"/>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in foreign lease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40" w:type="dxa"/>
            <w:vAlign w:val="bottom"/>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(293)</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rate swaps related to floating rate debt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2"/>
              <w:spacing w:after="0"/>
              <w:rPr>
                <w:sz w:val="20"/>
                <w:szCs w:val="20"/>
                <w:color w:val="auto"/>
              </w:rPr>
            </w:pPr>
            <w:r>
              <w:rPr>
                <w:rFonts w:ascii="Arial" w:cs="Arial" w:eastAsia="Arial" w:hAnsi="Arial"/>
                <w:sz w:val="18"/>
                <w:szCs w:val="18"/>
                <w:color w:val="auto"/>
              </w:rPr>
              <w:t>(830)</w:t>
            </w:r>
          </w:p>
        </w:tc>
        <w:tc>
          <w:tcPr>
            <w:tcW w:w="1640" w:type="dxa"/>
            <w:vAlign w:val="bottom"/>
            <w:gridSpan w:val="2"/>
          </w:tcPr>
          <w:p>
            <w:pPr>
              <w:jc w:val="right"/>
              <w:ind w:right="136"/>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recorded at fair value on a recurring basis are set forth in the following table:</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Fair Value Measurements as of</w:t>
      </w:r>
    </w:p>
    <w:p>
      <w:pPr>
        <w:jc w:val="center"/>
        <w:ind w:left="8680"/>
        <w:spacing w:after="0" w:line="236" w:lineRule="auto"/>
        <w:rPr>
          <w:sz w:val="20"/>
          <w:szCs w:val="20"/>
          <w:color w:val="auto"/>
        </w:rPr>
      </w:pPr>
      <w:r>
        <w:rPr>
          <w:rFonts w:ascii="Arial" w:cs="Arial" w:eastAsia="Arial" w:hAnsi="Arial"/>
          <w:sz w:val="14"/>
          <w:szCs w:val="14"/>
          <w:b w:val="1"/>
          <w:bCs w:val="1"/>
          <w:color w:val="auto"/>
        </w:rPr>
        <w:t>June 30, 2009 Using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5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Signifcant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5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Value as of</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 for</w:t>
            </w:r>
          </w:p>
        </w:tc>
        <w:tc>
          <w:tcPr>
            <w:tcW w:w="5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71"/>
        </w:trPr>
        <w:tc>
          <w:tcPr>
            <w:tcW w:w="65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June 30, 2009</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5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investment securities</w:t>
            </w:r>
          </w:p>
        </w:tc>
        <w:tc>
          <w:tcPr>
            <w:tcW w:w="5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$2,381</w:t>
            </w:r>
          </w:p>
        </w:tc>
        <w:tc>
          <w:tcPr>
            <w:tcW w:w="5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rPr>
              <w:t>$2,381</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Foreign currency derivative contracts</w:t>
            </w:r>
          </w:p>
        </w:tc>
        <w:tc>
          <w:tcPr>
            <w:tcW w:w="1620" w:type="dxa"/>
            <w:vAlign w:val="bottom"/>
            <w:gridSpan w:val="2"/>
          </w:tcPr>
          <w:p>
            <w:pPr>
              <w:jc w:val="right"/>
              <w:ind w:right="204"/>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1220" w:type="dxa"/>
            <w:vAlign w:val="bottom"/>
          </w:tcPr>
          <w:p>
            <w:pPr>
              <w:jc w:val="right"/>
              <w:ind w:right="341"/>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 in foreign lease</w:t>
            </w:r>
          </w:p>
        </w:tc>
        <w:tc>
          <w:tcPr>
            <w:tcW w:w="162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(293)</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values available-for-sale investment securities using quoted prices from the securities’ primary exchange. Foreign currency derivative contracts are valued using foreign currency exchange quotations for similar assets and liabilities. The embedded derivative in foreign lease is valued using present value techniques and foreign currency exchange quotations.</w:t>
      </w:r>
    </w:p>
    <w:p>
      <w:pPr>
        <w:spacing w:after="0" w:line="7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Certain assets are measured at fair value on a non-recurring basis. During the first quarter of 2009, the Company finalized the assessment of the fair value of the goodwill related to its RIA money transfer business and its Spanish prepaid business and recorded an impairment charge of $8.8 million as discussed in Note 5, Goodwill and Acquired Intangible Assets, Net. The fair values were determined using significant unobservable inputs. The $258.8 million fair value of goodwill was determined by calculating its implied fair value as the excess of the fair value of the respective entity over the fair value of its net assets. Additionally, during the first quarter of 2009, management determined that an acquired intangible asset associated with a previous acquisition in the Money Transfer Segment had no value and, accordingly, the Company wrote off the remaining net book value of the intangible asset of $1.1 million. No assets were measured at fair value on a non-recurring basis in the second quarter of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2009, the Company had $55.3 million of stand-by letters of credit/bank guarantees issued on its behalf, of which $9.7 million are collateralized by cash deposits held by the respective issuing banks.</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Euronet regularly grants guarantees in support of obligations of subsidiaries. As of June 30, 2009, the Company granted off balance sheet guarantees for cash in various ATM networks amounting to $18.9 million over the terms of the cash supply agreements and performance guarantees amounting to approximately $27.2 million over the terms of the agreements with the customers.</w:t>
      </w:r>
    </w:p>
    <w:p>
      <w:pPr>
        <w:spacing w:after="0" w:line="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subject to time and materiality limitations, monetary caps and other conditions and defenses. Such indemnification obligations include the following:</w:t>
      </w:r>
    </w:p>
    <w:p>
      <w:pPr>
        <w:spacing w:after="0" w:line="129" w:lineRule="exact"/>
        <w:rPr>
          <w:sz w:val="20"/>
          <w:szCs w:val="20"/>
          <w:color w:val="auto"/>
        </w:rPr>
      </w:pPr>
    </w:p>
    <w:p>
      <w:pPr>
        <w:ind w:left="660" w:right="120" w:hanging="436"/>
        <w:spacing w:after="0" w:line="259"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 As of June 30, 2009, the balance of ATM network cash for which the Company was responsible was approximately $290 million. The Company maintains insurance policies to mitigate this exposure;</w:t>
      </w:r>
    </w:p>
    <w:p>
      <w:pPr>
        <w:spacing w:after="0" w:line="92"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93"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6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Company has obtained surety bonds in compliance with money transfer licensing requirements of the applicable governmental authorities and has agreed to reimburse the surety for any amounts that they are required to pay in connection with such bonds.</w:t>
      </w:r>
    </w:p>
    <w:p>
      <w:pPr>
        <w:spacing w:after="0" w:line="62"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June 30, 2009 or December 31,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effective tax rates for continuing operations were 28.7% and 19.0% for the three-month periods ended June 30, 2009 and 2008, respectively, and were 74.6% and 101.5% for the six-month periods ended June 30, 2009 and 2008, respectively. The effective tax rates were significantly influenced by the goodwill and acquired intangible assets impairment charge in the first quarter 2009 and the impairment losses on investment securities during the first half of 2008. Additionally, foreign currency exchange rates fluctuated significantly during the reported periods creating foreign currency exchange gains and losses that impacted the effective tax rates. Excluding foreign currency exchange results and the impairments to goodwill and acquired intangible assets and to investment securities from pre-tax income, as well as the related tax effects for these items, the Company’s effective tax rates were 46.8% and 20.2% for the three months ended June 30, 2009 and 2008, respectively, and 44.1% and 23.4% for the six months ended June 30, 2009 and 2008, respectively.</w:t>
      </w:r>
    </w:p>
    <w:p>
      <w:pPr>
        <w:spacing w:after="0" w:line="5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increases in the effective tax rates, as adjusted, for the second quarter and first half of 2009 compared to the same periods in 2008 are primarily related to the Company’s U.S. tax position. For the three- and six-month periods ended June 30, 2009, the Company has recorded a valuation allowance against its U.S. federal tax net operating losses as it has determined that it is more likely than not that a tax benefit will not be realized. Accordingly, the federal income tax benefit associated with pre-tax book losses generated by the Company’s U.S. entities has not been recognized in these periods. For the three- and six-month periods ended June 30, 2008, no valuation allowance was recorded against its U.S. federal tax net operating losses, resulting in a tax benefit associated with the pre-tax loss generated by the Company’s U.S. operations. Additional reasons for the increases in the Company’s effective tax rates include the accrual of incremental state income tax expense in the first six months of 2009 compared to the same period in 2008, mainly due to exhausting certain state net operating losses, and the recognition of a one-time tax benefit in the first half of 2008 resulting from the successful conclusion of a tax audit in one of the Company’s foreign jurisdictions. Finally, the loss of certain income tax deductions in Spain as a result of the goodwill and acquired intangible assets impairment charges increased income tax expense in the first half of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In the second quarter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money transmission services to the Dominican Republic during the period from January 1, 2004 to the date of the subpoena. The Company and CES are fully cooperating with the DOJ in its investigation.</w:t>
      </w:r>
    </w:p>
    <w:p>
      <w:pPr>
        <w:spacing w:after="0" w:line="6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this time, the Company is unable to predict whether this investigation will result in the DOJ bringing charges against CES. Accordingly, the Company is unable to predict the outcome of this investigation, the possible loss or possible range of loss, if any, associated with the resolution of any charges that may be brought against CES, or any potential effect on the Company’s business, results of operations or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Company acquired all of the stock of RIA Envia, Inc., the parent of CES, in April 2007.</w:t>
      </w:r>
    </w:p>
    <w:p>
      <w:pPr>
        <w:sectPr>
          <w:pgSz w:w="11900" w:h="16838" w:orient="portrait"/>
          <w:cols w:equalWidth="0" w:num="1">
            <w:col w:w="11400"/>
          </w:cols>
          <w:pgMar w:left="240" w:top="419" w:right="25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Euronet Worldwide, Inc. (together with our subsidiaries, “we,” “us,” “Euronet” or the “Company”) is a leading electronic payments provider, offering automated teller machine (“ATM”) and point-of-sale (“POS”) and card outsourcing services, card issuing and merchant acquiring services, integrated electronic financial transaction (“EFT”) software, network gateways, electronic distribution of top-up services for prepaid mobile airtime and other prepaid products, electronic consumer money transfer and bill payment services to financial institutions, mobile operators, retailers and individual customers. As of June 30, 2009, we operate in the following three principal business segments:</w:t>
      </w:r>
    </w:p>
    <w:p>
      <w:pPr>
        <w:spacing w:after="0" w:line="80" w:lineRule="exact"/>
        <w:rPr>
          <w:sz w:val="20"/>
          <w:szCs w:val="20"/>
          <w:color w:val="auto"/>
        </w:rPr>
      </w:pPr>
    </w:p>
    <w:p>
      <w:pPr>
        <w:ind w:left="660" w:right="200" w:hanging="436"/>
        <w:spacing w:after="0" w:line="30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An EFT Processing Segment, which processes transactions for a network of 9,336 ATMs and approximately 51,000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EFT software solutions for electronic payment and transaction delivery systems.</w:t>
      </w:r>
    </w:p>
    <w:p>
      <w:pPr>
        <w:spacing w:after="0" w:line="59" w:lineRule="exact"/>
        <w:rPr>
          <w:rFonts w:ascii="Arial" w:cs="Arial" w:eastAsia="Arial" w:hAnsi="Arial"/>
          <w:sz w:val="16"/>
          <w:szCs w:val="16"/>
          <w:b w:val="1"/>
          <w:bCs w:val="1"/>
          <w:color w:val="auto"/>
        </w:rPr>
      </w:pPr>
    </w:p>
    <w:p>
      <w:pPr>
        <w:ind w:left="660" w:right="80" w:hanging="436"/>
        <w:spacing w:after="0" w:line="279"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A Prepaid Processing Segment, which provides distribution of prepaid mobile airtime and other prepaid products and collection services for various prepaid products, cards and services. We are one of the largest international providers of prepaid mobile airtime processing. Including terminals operated by unconsolidated subsidiaries, we operate a network of approximately 470,000 POS terminals providing electronic processing of prepaid mobile airtime top-up services in Europe, the Middle East, Asia Pacific and North America.</w:t>
      </w:r>
    </w:p>
    <w:p>
      <w:pPr>
        <w:spacing w:after="0" w:line="76" w:lineRule="exact"/>
        <w:rPr>
          <w:rFonts w:ascii="Arial" w:cs="Arial" w:eastAsia="Arial" w:hAnsi="Arial"/>
          <w:sz w:val="17"/>
          <w:szCs w:val="17"/>
          <w:b w:val="1"/>
          <w:bCs w:val="1"/>
          <w:color w:val="auto"/>
        </w:rPr>
      </w:pPr>
    </w:p>
    <w:p>
      <w:pPr>
        <w:ind w:left="660" w:right="40" w:hanging="436"/>
        <w:spacing w:after="0" w:line="276"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A Money Transfer Segment, which provides global consumer to consumer money transfer services. We offer this service through a sending network of agents and Company-owned stores primarily in Europe and North America, disbursing money transfers through a worldwide payer network. Bill payment services are offered primarily in the U.S. Based on revenues and volumes, we are the third-largest global money transfer company. The Money Transfer Segment originates and terminates transactions through a network of approximately 79,200 locations, which include sending agents and Company-owned stores, and an extensive payer network in more than 100 countries.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five processing centers in Europe, two in Asia Pacific and two in North America. We have 23 principal offices in Europe, seven in North America, five in Asia Pacific and one in the Middle East. Our executive offices are located in Leawood, Kansas, USA. With approximately 74% of our revenues denominated in currencies other than the U.S. dollar, any significant changes in currency exchange rates will likely have a significant impact on our growth in revenues, operating income and diluted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19% of total consolidated revenues for the first half</w:t>
      </w:r>
      <w:r>
        <w:rPr>
          <w:rFonts w:ascii="Arial" w:cs="Arial" w:eastAsia="Arial" w:hAnsi="Arial"/>
          <w:sz w:val="17"/>
          <w:szCs w:val="17"/>
          <w:i w:val="1"/>
          <w:iCs w:val="1"/>
          <w:color w:val="auto"/>
        </w:rPr>
        <w:t xml:space="preserve"> </w:t>
      </w:r>
      <w:r>
        <w:rPr>
          <w:rFonts w:ascii="Arial" w:cs="Arial" w:eastAsia="Arial" w:hAnsi="Arial"/>
          <w:sz w:val="17"/>
          <w:szCs w:val="17"/>
          <w:color w:val="auto"/>
        </w:rPr>
        <w:t>of 2009, are derived from fees charged for transactions effected by cardholders on our proprietary network of ATMs, as well as fixed management fees and transaction fees we charge to banks for operating ATMs and processing credit cards under outsourcing agreements. Through our proprietary network, we generally charge fees for four types of ATM transactions: i) cash withdrawals, ii) balance inquiries, iii) transactions not completed because the relevant card issuer did not give authorization, and iv) prepaid telecommunication recharges. Revenues in this segment are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revenues represent the ongoing fees charged for maintenance and support for customers’ software products. Hardware sales are derived from the sale of computer equipment necessary for the respective software solution.</w:t>
      </w:r>
    </w:p>
    <w:p>
      <w:pPr>
        <w:spacing w:after="0" w:line="7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Prepaid Processing Segment </w:t>
      </w:r>
      <w:r>
        <w:rPr>
          <w:rFonts w:ascii="Arial" w:cs="Arial" w:eastAsia="Arial" w:hAnsi="Arial"/>
          <w:sz w:val="16"/>
          <w:szCs w:val="16"/>
          <w:color w:val="auto"/>
        </w:rPr>
        <w:t>— Revenues in the Prepaid Processing Segment, which represented approximately 58% of total consolidated revenues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half of 2009, are primarily derived from commissions or processing fees received from telecommunications service providers for the sale and distribution of prepaid mobile airtime. We also generate revenues from commissions earned from the distribution of other prepaid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products offered by this segment include prepaid long distance calling card plans, prepaid internet plans, prepaid debit cards, prepaid gift cards, bill payment, money transfer and prepaid mobile content such as music, ringtones and games.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23% of total consolidated revenues for the first half</w:t>
      </w:r>
      <w:r>
        <w:rPr>
          <w:rFonts w:ascii="Arial" w:cs="Arial" w:eastAsia="Arial" w:hAnsi="Arial"/>
          <w:sz w:val="18"/>
          <w:szCs w:val="18"/>
          <w:i w:val="1"/>
          <w:iCs w:val="1"/>
          <w:color w:val="auto"/>
        </w:rPr>
        <w:t xml:space="preserve"> </w:t>
      </w:r>
      <w:r>
        <w:rPr>
          <w:rFonts w:ascii="Arial" w:cs="Arial" w:eastAsia="Arial" w:hAnsi="Arial"/>
          <w:sz w:val="18"/>
          <w:szCs w:val="18"/>
          <w:color w:val="auto"/>
        </w:rPr>
        <w:t>of 2009, are primarily derived from charging a transaction fee, as well as the difference between purchasing foreign currency at wholesale exchange rates and selling the foreign currency to consumers at retail exchange rates. We have an origination network in place comprised of agents and Company-owned stores primarily in Europe and North America and a worldwide network of correspondent agents, consisting primarily of financial institutions in the transfer destination countries. Origination and correspondent agents each earn fees for cash collection and distribution services. These fees are recognized as direct operating costs at the time of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contracts at profitable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The continued expansion and development of the Prepaid Processing Segment business will depend on various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75"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ectPr>
          <w:pgSz w:w="11900" w:h="16838" w:orient="portrait"/>
          <w:cols w:equalWidth="0" w:num="1">
            <w:col w:w="11360"/>
          </w:cols>
          <w:pgMar w:left="240" w:top="419" w:right="299" w:bottom="487" w:gutter="0" w:footer="0" w:header="0"/>
        </w:sectPr>
      </w:pP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487"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Prepaid Processing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Asia and Africa,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existing operations.</w:t>
      </w:r>
    </w:p>
    <w:p>
      <w:pPr>
        <w:spacing w:after="0" w:line="11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category includes non-operating activity, certain inter-segment eliminations and the cost of providing corporate and other administrative services to the business segments, including share-based compensation expense related to stock option and restricted stock grants. These services are not directly identifiable with our business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six-month periods ended June 30, 2009 and 2008 are summarized in the tables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1"/>
              </w:rPr>
              <w:t>Revenues for the Three</w:t>
            </w:r>
          </w:p>
        </w:tc>
        <w:tc>
          <w:tcPr>
            <w:tcW w:w="1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Year-over-Year 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0"/>
              </w:rPr>
              <w:t>Revenues for the Six</w:t>
            </w:r>
          </w:p>
        </w:tc>
        <w:tc>
          <w:tcPr>
            <w:tcW w:w="100" w:type="dxa"/>
            <w:vAlign w:val="bottom"/>
          </w:tcPr>
          <w:p>
            <w:pPr>
              <w:spacing w:after="0"/>
              <w:rPr>
                <w:sz w:val="14"/>
                <w:szCs w:val="14"/>
                <w:color w:val="auto"/>
              </w:rPr>
            </w:pPr>
          </w:p>
        </w:tc>
        <w:tc>
          <w:tcPr>
            <w:tcW w:w="18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3"/>
              </w:rPr>
              <w:t>Months Ended June 30,</w:t>
            </w:r>
          </w:p>
        </w:tc>
        <w:tc>
          <w:tcPr>
            <w:tcW w:w="14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3"/>
              </w:rPr>
              <w:t>Months Ended June 30,</w:t>
            </w:r>
          </w:p>
        </w:tc>
        <w:tc>
          <w:tcPr>
            <w:tcW w:w="10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Decrease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Decrease</w:t>
            </w: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3"/>
              </w:rPr>
              <w:t>Decrease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3"/>
              </w:rPr>
              <w:t>Decrease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45,592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52,361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(6,769)</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100,597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(8,799)</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Prepaid Processing</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145,253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152,633</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(7,380)</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279,776</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296,858</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(17,082)</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59,456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110,737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111,788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248,614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264,450</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(15,836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482,311</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509,243</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(26,932</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3"/>
              </w:rPr>
              <w:t>Operating Income (Loss)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3"/>
              </w:rPr>
              <w:t>Operating Income (Loss)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7"/>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140" w:type="dxa"/>
            <w:vAlign w:val="bottom"/>
          </w:tcPr>
          <w:p>
            <w:pPr>
              <w:spacing w:after="0"/>
              <w:rPr>
                <w:sz w:val="12"/>
                <w:szCs w:val="12"/>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Year-over-Year Change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for the Six Months Ended</w:t>
            </w:r>
          </w:p>
        </w:tc>
        <w:tc>
          <w:tcPr>
            <w:tcW w:w="100" w:type="dxa"/>
            <w:vAlign w:val="bottom"/>
          </w:tcPr>
          <w:p>
            <w:pPr>
              <w:spacing w:after="0"/>
              <w:rPr>
                <w:sz w:val="12"/>
                <w:szCs w:val="12"/>
                <w:color w:val="auto"/>
              </w:rPr>
            </w:pPr>
          </w:p>
        </w:tc>
        <w:tc>
          <w:tcPr>
            <w:tcW w:w="18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1"/>
              </w:rPr>
              <w:t>Ended June 30,</w:t>
            </w:r>
          </w:p>
        </w:tc>
        <w:tc>
          <w:tcPr>
            <w:tcW w:w="14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Increase</w:t>
            </w: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(Decrease)</w:t>
            </w:r>
          </w:p>
        </w:tc>
        <w:tc>
          <w:tcPr>
            <w:tcW w:w="6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(Decrease)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21,709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Prepaid Processing</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11,420</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691</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22,987</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21,754</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1,233</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(5,190)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(9,699)</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23,017</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4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39,506</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45,447</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(5,941)</w:t>
            </w:r>
          </w:p>
        </w:tc>
        <w:tc>
          <w:tcPr>
            <w:tcW w:w="4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(11,784)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(14,918)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3,134</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17,298</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4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27,722</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30,529</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During the first half of 2009, the U.S. dollar was significantly stronger compared to most of the currencies of the countries in which we operate than it was in the first half of 2008. Because our revenues and local expenses are recorded in the functional currencies of our operating entities, amounts we earned for the first half of 2009 are negatively impacted by the stronger U.S. dollar. We estimate that, depending on the mix of countries and currencies, our consolidated operating income for the first half of 2009 was diminished by approximately 25% to 30% when compared to the first half of 2008 as a result of changes in foreign currency exchange rates. If applicable, we will refer to the impact of fluctuation in foreign currency exchange rates in our comparison of operating segment results for the six- and three-month periods ended June 30, 2009 and 2008. To provide further perspective on the impact of foreign currency exchange rates, the following table shows the changes in values relative to the U.S. dollar from the first half of 2008 to the first half of 2009 of the currencies of the countries in which we have our most significant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4"/>
                <w:szCs w:val="14"/>
                <w:b w:val="1"/>
                <w:bCs w:val="1"/>
                <w:color w:val="auto"/>
              </w:rPr>
              <w:t>Average Translation Rate</w:t>
            </w:r>
          </w:p>
        </w:tc>
        <w:tc>
          <w:tcPr>
            <w:tcW w:w="500" w:type="dxa"/>
            <w:vAlign w:val="bottom"/>
          </w:tcPr>
          <w:p>
            <w:pPr>
              <w:spacing w:after="0"/>
              <w:rPr>
                <w:sz w:val="14"/>
                <w:szCs w:val="14"/>
                <w:color w:val="auto"/>
              </w:rPr>
            </w:pPr>
          </w:p>
        </w:tc>
        <w:tc>
          <w:tcPr>
            <w:tcW w:w="9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19"/>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Currency</w:t>
            </w:r>
          </w:p>
        </w:tc>
        <w:tc>
          <w:tcPr>
            <w:tcW w:w="138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rPr>
              <w:t>Six Months Ended</w:t>
            </w:r>
          </w:p>
        </w:tc>
        <w:tc>
          <w:tcPr>
            <w:tcW w:w="500" w:type="dxa"/>
            <w:vAlign w:val="bottom"/>
          </w:tcPr>
          <w:p>
            <w:pPr>
              <w:spacing w:after="0"/>
              <w:rPr>
                <w:sz w:val="10"/>
                <w:szCs w:val="10"/>
                <w:color w:val="auto"/>
              </w:rPr>
            </w:pPr>
          </w:p>
        </w:tc>
        <w:tc>
          <w:tcPr>
            <w:tcW w:w="136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Six Months Ended</w:t>
            </w:r>
          </w:p>
        </w:tc>
        <w:tc>
          <w:tcPr>
            <w:tcW w:w="5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80" w:type="dxa"/>
            <w:vAlign w:val="bottom"/>
            <w:gridSpan w:val="3"/>
            <w:vMerge w:val="continue"/>
          </w:tcPr>
          <w:p>
            <w:pPr>
              <w:spacing w:after="0"/>
              <w:rPr>
                <w:sz w:val="14"/>
                <w:szCs w:val="14"/>
                <w:color w:val="auto"/>
              </w:rPr>
            </w:pPr>
          </w:p>
        </w:tc>
        <w:tc>
          <w:tcPr>
            <w:tcW w:w="1380" w:type="dxa"/>
            <w:vAlign w:val="bottom"/>
          </w:tcPr>
          <w:p>
            <w:pPr>
              <w:jc w:val="right"/>
              <w:ind w:right="197"/>
              <w:spacing w:after="0"/>
              <w:rPr>
                <w:sz w:val="20"/>
                <w:szCs w:val="20"/>
                <w:color w:val="auto"/>
              </w:rPr>
            </w:pPr>
            <w:r>
              <w:rPr>
                <w:rFonts w:ascii="Arial" w:cs="Arial" w:eastAsia="Arial" w:hAnsi="Arial"/>
                <w:sz w:val="14"/>
                <w:szCs w:val="14"/>
                <w:b w:val="1"/>
                <w:bCs w:val="1"/>
                <w:color w:val="auto"/>
              </w:rPr>
              <w:t>June 30, 2009</w:t>
            </w:r>
          </w:p>
        </w:tc>
        <w:tc>
          <w:tcPr>
            <w:tcW w:w="500" w:type="dxa"/>
            <w:vAlign w:val="bottom"/>
          </w:tcPr>
          <w:p>
            <w:pPr>
              <w:spacing w:after="0"/>
              <w:rPr>
                <w:sz w:val="14"/>
                <w:szCs w:val="14"/>
                <w:color w:val="auto"/>
              </w:rPr>
            </w:pPr>
          </w:p>
        </w:tc>
        <w:tc>
          <w:tcPr>
            <w:tcW w:w="1360" w:type="dxa"/>
            <w:vAlign w:val="bottom"/>
          </w:tcPr>
          <w:p>
            <w:pPr>
              <w:jc w:val="right"/>
              <w:ind w:right="184"/>
              <w:spacing w:after="0"/>
              <w:rPr>
                <w:sz w:val="20"/>
                <w:szCs w:val="20"/>
                <w:color w:val="auto"/>
              </w:rPr>
            </w:pPr>
            <w:r>
              <w:rPr>
                <w:rFonts w:ascii="Arial" w:cs="Arial" w:eastAsia="Arial" w:hAnsi="Arial"/>
                <w:sz w:val="14"/>
                <w:szCs w:val="14"/>
                <w:b w:val="1"/>
                <w:bCs w:val="1"/>
                <w:color w:val="auto"/>
              </w:rPr>
              <w:t>June 30, 2008</w:t>
            </w:r>
          </w:p>
        </w:tc>
        <w:tc>
          <w:tcPr>
            <w:tcW w:w="500" w:type="dxa"/>
            <w:vAlign w:val="bottom"/>
          </w:tcPr>
          <w:p>
            <w:pPr>
              <w:spacing w:after="0"/>
              <w:rPr>
                <w:sz w:val="14"/>
                <w:szCs w:val="14"/>
                <w:color w:val="auto"/>
              </w:rPr>
            </w:pP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50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rPr>
              <w:t>$0.713</w:t>
            </w:r>
          </w:p>
        </w:tc>
        <w:tc>
          <w:tcPr>
            <w:tcW w:w="5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404"/>
              <w:spacing w:after="0"/>
              <w:rPr>
                <w:sz w:val="20"/>
                <w:szCs w:val="20"/>
                <w:color w:val="auto"/>
              </w:rPr>
            </w:pPr>
            <w:r>
              <w:rPr>
                <w:rFonts w:ascii="Arial" w:cs="Arial" w:eastAsia="Arial" w:hAnsi="Arial"/>
                <w:sz w:val="18"/>
                <w:szCs w:val="18"/>
                <w:color w:val="auto"/>
              </w:rPr>
              <w:t>$0.924</w:t>
            </w: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British pound</w:t>
            </w:r>
          </w:p>
        </w:tc>
        <w:tc>
          <w:tcPr>
            <w:tcW w:w="1380" w:type="dxa"/>
            <w:vAlign w:val="bottom"/>
          </w:tcPr>
          <w:p>
            <w:pPr>
              <w:jc w:val="right"/>
              <w:ind w:right="417"/>
              <w:spacing w:after="0"/>
              <w:rPr>
                <w:sz w:val="20"/>
                <w:szCs w:val="20"/>
                <w:color w:val="auto"/>
              </w:rPr>
            </w:pPr>
            <w:r>
              <w:rPr>
                <w:rFonts w:ascii="Arial" w:cs="Arial" w:eastAsia="Arial" w:hAnsi="Arial"/>
                <w:sz w:val="18"/>
                <w:szCs w:val="18"/>
                <w:color w:val="auto"/>
              </w:rPr>
              <w:t>1.495</w:t>
            </w:r>
          </w:p>
        </w:tc>
        <w:tc>
          <w:tcPr>
            <w:tcW w:w="1860" w:type="dxa"/>
            <w:vAlign w:val="bottom"/>
            <w:gridSpan w:val="2"/>
          </w:tcPr>
          <w:p>
            <w:pPr>
              <w:jc w:val="right"/>
              <w:ind w:right="404"/>
              <w:spacing w:after="0"/>
              <w:rPr>
                <w:sz w:val="20"/>
                <w:szCs w:val="20"/>
                <w:color w:val="auto"/>
              </w:rPr>
            </w:pPr>
            <w:r>
              <w:rPr>
                <w:rFonts w:ascii="Arial" w:cs="Arial" w:eastAsia="Arial" w:hAnsi="Arial"/>
                <w:sz w:val="18"/>
                <w:szCs w:val="18"/>
                <w:color w:val="auto"/>
              </w:rPr>
              <w:t>1.975</w:t>
            </w:r>
          </w:p>
        </w:tc>
        <w:tc>
          <w:tcPr>
            <w:tcW w:w="1400" w:type="dxa"/>
            <w:vAlign w:val="bottom"/>
            <w:gridSpan w:val="2"/>
          </w:tcPr>
          <w:p>
            <w:pPr>
              <w:jc w:val="right"/>
              <w:ind w:right="4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38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1.335</w:t>
            </w:r>
          </w:p>
        </w:tc>
        <w:tc>
          <w:tcPr>
            <w:tcW w:w="186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1.531</w:t>
            </w:r>
          </w:p>
        </w:tc>
        <w:tc>
          <w:tcPr>
            <w:tcW w:w="14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Indian rupee</w:t>
            </w:r>
          </w:p>
        </w:tc>
        <w:tc>
          <w:tcPr>
            <w:tcW w:w="1380" w:type="dxa"/>
            <w:vAlign w:val="bottom"/>
          </w:tcPr>
          <w:p>
            <w:pPr>
              <w:jc w:val="right"/>
              <w:ind w:right="417"/>
              <w:spacing w:after="0"/>
              <w:rPr>
                <w:sz w:val="20"/>
                <w:szCs w:val="20"/>
                <w:color w:val="auto"/>
              </w:rPr>
            </w:pPr>
            <w:r>
              <w:rPr>
                <w:rFonts w:ascii="Arial" w:cs="Arial" w:eastAsia="Arial" w:hAnsi="Arial"/>
                <w:sz w:val="18"/>
                <w:szCs w:val="18"/>
                <w:color w:val="auto"/>
              </w:rPr>
              <w:t>0.020</w:t>
            </w:r>
          </w:p>
        </w:tc>
        <w:tc>
          <w:tcPr>
            <w:tcW w:w="1860" w:type="dxa"/>
            <w:vAlign w:val="bottom"/>
            <w:gridSpan w:val="2"/>
          </w:tcPr>
          <w:p>
            <w:pPr>
              <w:jc w:val="right"/>
              <w:ind w:right="404"/>
              <w:spacing w:after="0"/>
              <w:rPr>
                <w:sz w:val="20"/>
                <w:szCs w:val="20"/>
                <w:color w:val="auto"/>
              </w:rPr>
            </w:pPr>
            <w:r>
              <w:rPr>
                <w:rFonts w:ascii="Arial" w:cs="Arial" w:eastAsia="Arial" w:hAnsi="Arial"/>
                <w:sz w:val="18"/>
                <w:szCs w:val="18"/>
                <w:color w:val="auto"/>
              </w:rPr>
              <w:t>0.025</w:t>
            </w:r>
          </w:p>
        </w:tc>
        <w:tc>
          <w:tcPr>
            <w:tcW w:w="1400" w:type="dxa"/>
            <w:vAlign w:val="bottom"/>
            <w:gridSpan w:val="2"/>
          </w:tcPr>
          <w:p>
            <w:pPr>
              <w:jc w:val="right"/>
              <w:ind w:right="4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Polish zloty</w:t>
            </w:r>
          </w:p>
        </w:tc>
        <w:tc>
          <w:tcPr>
            <w:tcW w:w="138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0.299</w:t>
            </w:r>
          </w:p>
        </w:tc>
        <w:tc>
          <w:tcPr>
            <w:tcW w:w="186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0.438</w:t>
            </w:r>
          </w:p>
        </w:tc>
        <w:tc>
          <w:tcPr>
            <w:tcW w:w="14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SIX-MONTH PERIODS ENDED JUNE 30, 2009 AND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2009 and 2008 for our EFT Processing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4"/>
              </w:rPr>
              <w:t>Year-over-Year Change</w:t>
            </w:r>
          </w:p>
        </w:tc>
        <w:tc>
          <w:tcPr>
            <w:tcW w:w="160" w:type="dxa"/>
            <w:vAlign w:val="bottom"/>
          </w:tcPr>
          <w:p>
            <w:pPr>
              <w:spacing w:after="0"/>
              <w:rPr>
                <w:sz w:val="14"/>
                <w:szCs w:val="14"/>
                <w:color w:val="auto"/>
              </w:rPr>
            </w:pPr>
          </w:p>
        </w:tc>
        <w:tc>
          <w:tcPr>
            <w:tcW w:w="19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9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8"/>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Increase</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8"/>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(Decrease)</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9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Percent</w:t>
            </w: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45,592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52,361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91,798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100,597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9"/>
        </w:trPr>
        <w:tc>
          <w:tcPr>
            <w:tcW w:w="2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19,656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46,362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7,443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(1,670)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14,455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17,021</w:t>
            </w: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(2,566)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Selling, general and administrative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8,388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4,537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(437)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9,642</w:t>
            </w: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(923)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35,793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43,322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70,089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81,413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(11,324)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8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9,799</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9,039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760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21,709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19,184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2,525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Transactions processed (in millions)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ATMs as of June 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9,336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10,160</w:t>
            </w: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10,867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revenues for the first half of 2009 decreased when compared to the first half of 2008 primarily due to the strengthening of the U.S. dollar in the first half of 2009 compared to the first half of 2008 relative to most of the currencies of the countries in which we operate. Because our revenues are recorded in the functional currencies of our operating entities, amounts we earn in foreign currencies are negatively impacted by the strengthening of the U.S. dollar. Additionally, the decrease in the number of ATMs operated, which is primarily due to the expiration or termination of ATM services contracts discussed in more detail in the following paragraphs, contributed to our revenue decrease. Partly offsetting these decreases were contract termination fees totaling $4.4 million and increases in revenues primarily associated with our operations in India and our software business.</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Average monthly revenue per ATM was $1,638 for the second quarter and first half of 2009, compared to $1,752 for the second quarter and $1,543 for the first half of 2008. The decrease in the second quarter of 2009 from the second quarter of 2008 is mainly driven by the impact of the stronger U.S. dollar. The improvement in the first half of 2009 from the same period in 2008 is generally the result of the non-recurring contract termination fees discussed above and the expiration of an ATM services contract in the U.K. at the end of the first quarter 2008. The U.K. contract involved processing services only with very little associated costs and, therefore, had lower-than-average revenue per ATM. Revenue per transaction was $0.25 for the second quarter and $0.27 for the first half of 2009, compared to $0.31 for the second quarter and $0.30 for the first half of 2008. These decreases are primarily the result of the impact of the stronger U.S. dollar and the growth of transactions in India and China, where revenues per transaction have been historically lower than Central and Eastern Europe (due to lower labor costs). During the first half of 2009, transactions on Euronet’s shared network in India, Cashnet, increased 138% when compared to the first half of 2008.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contracts in the EFT Processing Segment tend to cover large numbers of ATMs, so significant increases and decreases in our pool of managed ATMs may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six to twelve months or longer. Increasing consolidation in the banking industry could make this process less predictable.</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renew or restructure our ATM outsourcing agreements. During the fourth quarter 2008 and first quarter 2009, certain customer contracts were terminated or expired, resulting in a decrease of approximately 1,700 ATMs. Most of the ATM reductions resulted from bank customers shifting their processing to related processing subsidiaries in contemplation of selling the subsidiaries to raise capital, rather than the loss of contracts to competitors. The reduction in the number of ATMs from contract terminations or expirations was partially offset during the first half of 2009 by increases in ATMs driven under new contracts, expansion of ATMs under existing contracts and the deployment of ATMs in markets where we operate Euronet-branded ATMs.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contracts that we are able to renew, as was the case for contract renewals in Romania and Greece in prior years, we expect customers to seek rate concessions or up-front payments because of the greater availability of alternative processing solutions in many of our markets now, as compared to when we originally entered into the contracts. Excluding the expired or terminated contracts discussed above, we have been able to renew or extend most of the remaining contracts that were due to expire in 2009. While we have been successful in many cases in obtaining new terms that preserve the same level of earnings arising from the agreements, we have not been successful in all cases and, therefore, we expect to experience reductions in revenues in future quarters arising from the expiration or restructuring of agreements.</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contracts that expired during the fourth quarter 2008 and first quarter 2009, excluding the substantial termination fees described above, we estimate that the impact to 2009 will be a reduction in revenues of approximately $15 million to $16 million, resulting in reduced operating income of approximately $3 million to $4 million. We cannot be sure we will have sufficient revenues from new contracts to offset potential revenue reductions from expired or restructured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decrease in direct operating cost for the first half of 2009, compared to the first half of 2008, is attributed to the impact of the stronger U.S. dollar and the decrease in the number of ATMs under operation.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Gross profit, which is calculated as revenues less direct operating costs, decreased to $25.9 million for the second quarter and $53.2 million for the first half of 2009 from $27.7 million for the second quarter and $54.2 million for the first half of 2008. These decreases are mainly attributable to the impact of the stronger U.S. dollar, partly offset by the contract termination fee revenues discussed above. Gross margin was 57% for the second quarter and 58% for the first half of 2009 compared to 53% for the second quarter and 54% for the first half of 2008. The increases in gross margin are primarily due to the previously mentioned contract termination fees and gross margin improvements in India and our cross-border merchant processing and acquiring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decrease in salaries and benefits for the first half of 2009 compared to the first half of 2008 is primarily due to the impact of the stronger U.S. dollar discussed above. As a percentage of revenues these costs decreased to 16% of revenues for the first half of 2009 compared to 17% for the first half of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Selling, general and administrative expenses were flat for the first half of 2009 compared to the first half of 2008, reflecting increased expenses incurred in connection with growth in India and China and in our cross-border merchant processing and acquiring business being largely offset by the impact of the stronger U.S. dollar. The growth in selling, general and administrative expense associated with the cross-border merchant processing and acquiring business was less pronounced in the second quarter of 2009 than in the first half of 2009 compared to same periods in 2008 as the business launched in the second quarter of 2008. As a percentage of revenue, selling, general and administrative expenses increased slightly to 9% for the first half of 2009 compared to 8% for the first half of 2008.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decrease in depreciation and amortization expense for the first half of 2009 compared to the first half of 2008 is due primarily to the impact of the stronger U.S. dollar described above. As a percentage of revenue, these expenses were basically flat at 9.5% for the first half of 2009 and 9.6% for the first half of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Operating income as a percentage of revenues for the first half of 2009 was 24% compared to 19% for the first half of 2008. The increase in operating income and operating margin is primarily due to the substantial contract termination revenues described above and the improvements in India, partly offset by the impact of the stronger U.S. dollar. Operating income per transaction was $0.06 for both the first half of 2009 and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2009 and 2008 for our Prepaid Processing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4"/>
              </w:rPr>
              <w:t>Year-over-Year Change</w:t>
            </w:r>
          </w:p>
        </w:tc>
        <w:tc>
          <w:tcPr>
            <w:tcW w:w="100" w:type="dxa"/>
            <w:vAlign w:val="bottom"/>
          </w:tcPr>
          <w:p>
            <w:pPr>
              <w:spacing w:after="0"/>
              <w:rPr>
                <w:sz w:val="14"/>
                <w:szCs w:val="14"/>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9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4"/>
              </w:rPr>
              <w:t>Increase</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(Decrease)</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31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Amount</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145,253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152,633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(7,380)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279,776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296,858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(17,082)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9"/>
        </w:trPr>
        <w:tc>
          <w:tcPr>
            <w:tcW w:w="31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117,342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124,604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226,377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242,460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(16,083)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13,484</w:t>
            </w: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(636)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8,426</w:t>
            </w: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(1,182)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133,142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141,213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(8,071)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256,789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275,104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(18,315)</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12,111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11,420</w:t>
            </w:r>
          </w:p>
        </w:tc>
        <w:tc>
          <w:tcPr>
            <w:tcW w:w="3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691</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22,987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21,754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1,233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Transactions processed (in millions)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decrease in revenues for the first half of 2009 compared to the first half of 2008 was primarily due to the strengthening of the U.S. dollar in the first half of 2009 compared to the same period in 2008 relative to most of the currencies of the countries in which we operate, particularly the Australian dollar and British pound. Because our revenues are recorded in the functional currencies of our operating entities, amounts we earn in foreign currencies are negatively impacted by the strengthening of the U.S. dollar. This decrease was partly offset by an increase in total transactions processed, led by improvements in Australia, Germany and the U.S. Our Australian subsidiary enhanced its market position in the first quarter of 2009 by signing an exclusive, long-term distribution agreement with Vodafone Australia. The agreement strengthens our existing relationship with Vodafone and preserves our gross margins during the term of the agreement.</w:t>
      </w:r>
    </w:p>
    <w:p>
      <w:pPr>
        <w:spacing w:after="0" w:line="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certain more mature markets, such as the U.K., New Zealand and Spain,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future revenue growth to be derived from: (i) additional products sold over the base of prepaid processing terminals, (ii) developing markets or markets in which there is organic growth in the prepaid sector overall, (iii) continued conversion from scratch cards to electronic top-up in less mature markets, and (iv) acquisitions, if available.</w:t>
      </w:r>
    </w:p>
    <w:p>
      <w:pPr>
        <w:spacing w:after="0" w:line="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Revenues per transaction were $0.75 for the second quarter and $0.74 for the first half of 2009 compared to $0.90 for the second quarter and $0.88 for the first half of 2008. The decrease in revenue per transaction was due mainly to the impact of the stronger U.S. dollar.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expenses required to operate POS terminals. Because of their nature, these expenditures generally fluctuate directly with revenues and processed transactions. The decrease in direct operating costs is generally attributable to the impact of the stronger U.S. dollar, partly offset by the increase in total transactions processed.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Gross profit, which represents revenues less direct costs, was $27.9 million for the second quarter and $53.4 million for the first half of 2009 compared to</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$28.0 million for the second quarter and $54.4 million for the first half of 2008. Gross margin increased slightly to 19% for the second quarter and first half of 2009 compared to 18% for the same periods in 2008. Gross profit per transaction was $0.14 for the second quarter and first half of 2009 compared to $0.17 for the second quarter and $0.16 for the first half of 2008. The primary cause of the reduction in gross profit per transaction is the impact of the stronger U.S. dollar.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decrease in salaries and benefits for the first half of 2009 compared to the first half of 2008 is primarily due to the impact of the stronger U.S. dollar, partly offset by additional overhead to support development in new and growing markets. As a percentage of revenues, salaries and benefits increased slightly to 4.7% for the first half of 2009 from 4.5% for the first half of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decrease in selling, general and administrative expenses for the first half of 2009 compared to the first half of 2008 is due to the impact of the stronger U.S. dollar, partly offset by additional overhead to support development in new and growing markets. As a percentage of revenues, these expenses remained flat at 3.6% for the first half of 2009 compared to the first half of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Depreciation and amortization expense primarily represents amortization of acquired intangible assets and the depreciation of POS terminals we install in retail stores. Depreciation and amortization expense decreased for the first half of 2009 compared to the first half of 2008 mainly due to the impact of the stronger U.S. dollar. As a percentage of revenues, these expenses decreased to 2.6% for the first half of 2009 from 2.8% for the first half of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improvement in operating income for 2009 compared to 2008 is due to the growth in transactions processed, partly offset by the impact of foreign currency translations to the U.S. dollar.</w:t>
      </w:r>
    </w:p>
    <w:p>
      <w:pPr>
        <w:spacing w:after="0" w:line="6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Operating income as a percentage of revenues was 8.3% for the second quarter and 8.2% for the first half of 2009 compared to 7.5% for the second quarter and 7.3% for the first half of 2008. The increase is primarily due to the increase in transactions processed and the associated leveraging of fixed costs. Operating income per transaction was relatively flat at $0.06 for the second quarter and first half of 2009 compared to $0.07 for the second quarter and $0.06 for the first half of 2008. The flatness in 2009 reflects the leveraging of fixed costs offsetting the negative impact of the stronger U.S. dollar.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results of operations for the three- and six-month periods ended June 30, 2009 and 2008 for the Money Transfer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4"/>
              </w:rPr>
              <w:t>Year-over-Year Change</w:t>
            </w:r>
          </w:p>
        </w:tc>
        <w:tc>
          <w:tcPr>
            <w:tcW w:w="120" w:type="dxa"/>
            <w:vAlign w:val="bottom"/>
          </w:tcPr>
          <w:p>
            <w:pPr>
              <w:spacing w:after="0"/>
              <w:rPr>
                <w:sz w:val="14"/>
                <w:szCs w:val="14"/>
                <w:color w:val="auto"/>
              </w:rPr>
            </w:pPr>
          </w:p>
        </w:tc>
        <w:tc>
          <w:tcPr>
            <w:tcW w:w="200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9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8"/>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Increase</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8"/>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(Decrease)</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9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57,769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59,456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110,737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111,788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29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28,055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30,196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56,541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13,103</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13,035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68</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24,923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24,792</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Selling, general and administrative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16,029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Goodwill and acquired intangible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ind w:left="400"/>
              <w:spacing w:after="0"/>
              <w:rPr>
                <w:sz w:val="20"/>
                <w:szCs w:val="20"/>
                <w:color w:val="auto"/>
              </w:rPr>
            </w:pPr>
            <w:r>
              <w:rPr>
                <w:rFonts w:ascii="Arial" w:cs="Arial" w:eastAsia="Arial" w:hAnsi="Arial"/>
                <w:sz w:val="18"/>
                <w:szCs w:val="18"/>
                <w:color w:val="auto"/>
              </w:rPr>
              <w:t>assets impairment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9,884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9,917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88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55,088</w:t>
            </w:r>
          </w:p>
        </w:tc>
        <w:tc>
          <w:tcPr>
            <w:tcW w:w="1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56,898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(1,810)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115,927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107,279</w:t>
            </w:r>
          </w:p>
        </w:tc>
        <w:tc>
          <w:tcPr>
            <w:tcW w:w="8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8,648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w w:val="92"/>
              </w:rPr>
              <w:t>Transactions processed (in millions)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9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0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Revenues from the Money Transfer Segment include a transaction fee for each transaction as well as the difference between purchasing currency at wholesale exchange rates and selling the currency to customers at retail exchange rates. Revenues per transaction decreased to $12.84 for the second quarter and $13.03 for the first half of 2009 from $13.83 for the second quarter and $13.80 for the first half of 2008. The growth rate of revenues lagged the transaction growth rate largely as a result of the impact of the stronger U.S. dollar. Because our revenues are recorded in the functional currencies of our operating entities, amounts we earn in foreign currencies are negatively impacted by the strengthening of the U.S. dollar. This decrease was partly offset by a strong increase in transfers from non-U.S. locations which generally have higher-than-average revenues per transaction. For the six months ended June 30, 2009, 66% of our money transfers were initiated in the U.S., 31% in Europe and 3% in other countries, such as Canada and Australia. This compares to 70% initiated in the U.S., 28% initiated in Europe and 2% in other countries for the six months ended June 30, 2008. We expect that the U.S. will continue to represent our highest volume market; however, future growth is expected to be derived from non-U.S. initiated sources.</w:t>
      </w:r>
    </w:p>
    <w:p>
      <w:pPr>
        <w:spacing w:after="0" w:line="5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decrease in revenues for the first half of 2009 compared to revenues for the first half of 2008 is primarily due to the impact of the stronger U.S. dollar, partly offset by an increase in the number of transactions processed. For the first half of 2009, money transfers to Mexico, which represented 27% of total money transfers, decreased by 15% while transfers to all other countries increased 16% when compared to the first half of 2008. The increase in transfers to countries other than Mexico is due to the expansion of our operations. The decline in transfers to Mexico was largely the result of downturns in certain labor markets and other economic factors impacting the U.S. market as well as immigration developments in the U.S. These issues have also resulted in certain competitors lowering transaction fees and foreign currency exchange spreads in certain markets where we do business in an attempt to limit the impact on money transfer volumes. We have generally maintained our pricing structure in response to these developments.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fees to collect money from originating agents. The decrease in direct operating costs in the first half of 2009 compared to the same period in 2008 is due to the impact of the stronger U.S. dollar, partly offset by the growth in transactions processed.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Gross profit, which represents revenues less direct costs, was $29.7 million for the second quarter and $57.1 million for the first half of 2009 compared to gross profit of $29.3 million for the second quarter and $55.2 million for the first half of 2008. The improvements are primarily due to the growth in money transfer transactions, partly offset by the impact of the stronger U.S. dollar related to money transfers originated outside the U.S. As discussed above, certain competitors have been lowering transaction fees and foreign currency exchange spreads in the U.S. market as a result of the economic factors and immigration developments impacting the U.S. market. We have generally maintained our pricing structure in response to these developments. We cannot predict how long these issues will continue to impact the U.S. market or whether other markets will experience similar issues and we cannot predict whether we will change our pricing strategy over the short or long term in order to protect or increase market share. Gross margin was 51% for the second quarter and 52% for the first half of 2009 compared to 49% for the second quarter and first half of 2008. This improvement primarily reflects the strong growth in transaction volume in our more profitable non-U.S. locations.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Salaries and benefits include salaries and commissions paid to employees, the cost of providing employee benefits, amounts paid to contract workers and accruals for incentive compensation. While salaries and benefits were basically flat in the first half of 2009 compared to salaries and benefits expense for the same period in 2008, the impact of the stronger U.S. dollar largely offset the increased expenditures we incurred to support expansion of our operations, primarily internationally.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expenses include operations support costs, such as rent, utilities, professional fees, indirect telecommunications, advertising and other miscellaneous overhead costs. The increase in selling, general and administrative expenses for the first half of 2009 compared to selling, general and administrative expenses for the first half of 2008 is primarily the result of increased expenditures to support expansion of our operations, primarily internationally, partly offset by the impact of the stronger U.S. dollar.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fourth quarter of 2008, we recorded a non-cash impairment charge of $169.4 million related to certain goodwill and intangible assets of the RIA money transfer business in accordance with the provisions of Statement of Financial Accounting Standards (“SFAS”) No. 142, “Goodwill and Other Intangible Assets,” and SFAS No. 144, “Accounting for the Impairment of Disposal of Long-Lived Assets.” This charge was an estimate based on the assessment performed up to the filing date of our 2008 Annual Report on Form 10-K. We completed the assessment in the first quarter of 2009 and recorded an additional $9.9 million non-cash impairment charge in the first quarter of 2009. Should economic or other factors cause us to significantly lower our cash flow projections for our money transfer business, we will need to reassess the business for further possible impairment. See Note 5, Goodwill and Acquired Intangible Assets, Net, to the Unaudited Consolidated Financial Statements for a further discussion of this charge.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Depreciation and amortization primarily represents amortization of acquired intangible assets and also includes depreciation of money transfer terminals, computers and software, leasehold improvements and office equipment. While depreciation and amortization was essentially flat for the first half of 2009 compared to the first half of 2008, the impact of the stronger U.S. dollar largely offset increased charges related to additional computer equipment in our customer service centers and increased leasehold improvements, office equipment and computer equipment for expansion of our company stores.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Excluding the goodwill and acquired intangible assets impairment charge, operating income for the first half of 2009 increased $0.2 million compared to the first half of 2008. This increase reflects the growth in transactions processed, mainly those originated in non-U.S. locations, partly offset by increased costs to expand internationally and the negative impact of the stronger U.S. dollar.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six-month periods ended June 30, 2009 and 2008 for Corporate Services: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20" w:type="dxa"/>
            <w:vAlign w:val="bottom"/>
            <w:gridSpan w:val="3"/>
            <w:vMerge w:val="restart"/>
          </w:tcPr>
          <w:p>
            <w:pPr>
              <w:jc w:val="right"/>
              <w:ind w:right="98"/>
              <w:spacing w:after="0"/>
              <w:rPr>
                <w:sz w:val="20"/>
                <w:szCs w:val="20"/>
                <w:color w:val="auto"/>
              </w:rPr>
            </w:pPr>
            <w:r>
              <w:rPr>
                <w:rFonts w:ascii="Arial" w:cs="Arial" w:eastAsia="Arial" w:hAnsi="Arial"/>
                <w:sz w:val="14"/>
                <w:szCs w:val="14"/>
                <w:b w:val="1"/>
                <w:bCs w:val="1"/>
                <w:color w:val="auto"/>
                <w:w w:val="98"/>
              </w:rPr>
              <w:t>Year-over-Year Change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4"/>
              </w:rPr>
              <w:t>Increase</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1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(Decrease)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(1,375)</w:t>
            </w:r>
          </w:p>
        </w:tc>
        <w:tc>
          <w:tcPr>
            <w:tcW w:w="6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5"/>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2,498</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1,094</w:t>
            </w:r>
          </w:p>
        </w:tc>
        <w:tc>
          <w:tcPr>
            <w:tcW w:w="660" w:type="dxa"/>
            <w:vAlign w:val="bottom"/>
          </w:tcPr>
          <w:p>
            <w:pPr>
              <w:jc w:val="right"/>
              <w:ind w:right="38"/>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4,062</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5,848</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(1,786)</w:t>
            </w:r>
          </w:p>
        </w:tc>
        <w:tc>
          <w:tcPr>
            <w:tcW w:w="680" w:type="dxa"/>
            <w:vAlign w:val="bottom"/>
          </w:tcPr>
          <w:p>
            <w:pPr>
              <w:jc w:val="center"/>
              <w:ind w:left="18"/>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and amortization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6,567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5,719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848</w:t>
            </w:r>
          </w:p>
        </w:tc>
        <w:tc>
          <w:tcPr>
            <w:tcW w:w="660" w:type="dxa"/>
            <w:vAlign w:val="bottom"/>
          </w:tcPr>
          <w:p>
            <w:pPr>
              <w:jc w:val="right"/>
              <w:ind w:right="38"/>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11,784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14,918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(3,134)</w:t>
            </w:r>
          </w:p>
        </w:tc>
        <w:tc>
          <w:tcPr>
            <w:tcW w:w="680" w:type="dxa"/>
            <w:vAlign w:val="bottom"/>
          </w:tcPr>
          <w:p>
            <w:pPr>
              <w:jc w:val="center"/>
              <w:ind w:left="18"/>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Operating expenses for Corporate Services decreased substantially for the first half of 2009 compared to the first half of 2008. The decrease in salaries and benefits is primarily the result of the first quarter 2009 reversal of share-based compensation related to certain performance-based stock awards and severance costs incurred in the first quarter 2008 related to certain senior level positions. The decrease in selling, general and administrative expenses was due primarily to the first quarter 2008 write-off of $3.0 million in professional fees and settlement costs associated with our potential acquisition of MoneyGram. In the second quarter of 2009, the Company incurred increased professional fees for legal and acquisition-related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4"/>
              </w:rPr>
              <w:t>Year-over-Year 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171"/>
        </w:trPr>
        <w:tc>
          <w:tcPr>
            <w:tcW w:w="238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Percent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(6,653)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(9,138)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2,485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(13,720)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(19,026)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5,306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unconsolidated</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spacing w:after="0" w:line="201" w:lineRule="exact"/>
              <w:rPr>
                <w:sz w:val="20"/>
                <w:szCs w:val="20"/>
                <w:color w:val="auto"/>
              </w:rPr>
            </w:pPr>
            <w:r>
              <w:rPr>
                <w:rFonts w:ascii="Arial" w:cs="Arial" w:eastAsia="Arial" w:hAnsi="Arial"/>
                <w:sz w:val="18"/>
                <w:szCs w:val="18"/>
                <w:color w:val="auto"/>
                <w:w w:val="95"/>
              </w:rPr>
              <w:t>Impairment loss on investment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securities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1,258</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(18,760)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18,760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Loss on early retirement of debt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spacing w:after="0" w:line="201" w:lineRule="exact"/>
              <w:rPr>
                <w:sz w:val="20"/>
                <w:szCs w:val="20"/>
                <w:color w:val="auto"/>
              </w:rPr>
            </w:pPr>
            <w:r>
              <w:rPr>
                <w:rFonts w:ascii="Arial" w:cs="Arial" w:eastAsia="Arial" w:hAnsi="Arial"/>
                <w:sz w:val="18"/>
                <w:szCs w:val="18"/>
                <w:color w:val="auto"/>
                <w:w w:val="90"/>
              </w:rPr>
              <w:t>Foreign currency exchange gain</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(loss), net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9,650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10,028</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12,699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(13,640)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Other income (expense), net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12,783</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(18,952)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6,926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80" w:type="dxa"/>
            <w:vAlign w:val="bottom"/>
            <w:gridSpan w:val="3"/>
          </w:tcPr>
          <w:p>
            <w:pPr>
              <w:spacing w:after="0"/>
              <w:rPr>
                <w:sz w:val="20"/>
                <w:szCs w:val="20"/>
                <w:color w:val="auto"/>
              </w:rPr>
            </w:pPr>
            <w:r>
              <w:rPr>
                <w:rFonts w:ascii="Arial" w:cs="Arial" w:eastAsia="Arial" w:hAnsi="Arial"/>
                <w:sz w:val="18"/>
                <w:szCs w:val="18"/>
                <w:i w:val="1"/>
                <w:iCs w:val="1"/>
                <w:color w:val="auto"/>
              </w:rPr>
              <w:t>Interest income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decrease in interest income for the second quarter and first half of 2009 from the second quarter and first half of 2008 was primarily due to a decline in short-term interest rates and a decrease in average cash balances on hand during the respective periods. Additionally, $1.2 million was recognized in the first quarter 2008 for interest related to a federal excise tax refund recorded in the fourth quarter 2007.</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decrease in interest expense for the second quarter and first half of 2009 from the second quarter and first half of 2008 was primarily related to the reductions in debt from scheduled and early repayments on our term loan and repurchases of convertible debentures and reductions in amounts outstanding under the revolving credit facility. The decrease in interest expense is also due to lower interest rates on our floating-rate debt obligations in the second quarter and first half of 2009 compared to the same periods in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Income from unconsolidated affiliates represents the equity in income of our 40% equity investment in e-pay Malaysia and our 49% investment in Euronet Middle East. The increase in income is mainly the result of improved profitability of both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loss on investment securities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During the first half of 2008, the value of our investment in MoneyGram declined and the decline was determined to be other than temporary. Accordingly, we recognized an $18.8 million impairment loss, of which $17.5 million was recognized in the first quarter and another $1.3 million in the second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half of 2009, we repurchased in privately negotiated transactions $25.8 million in principal amount of the 1.625% convertible debentures due 2024. Loss on early retirement of debt of $0.3 million for the first half of 2009 represents the difference in the amounts paid for the convertible debentures over their carrying amounts as well as the pro-rata write-off of deferred financing costs associated with the portion of the term loan that was prepaid during the first half of 2009. The $0.2 million loss for the first half of 2008 is associated with the term loan amount that was prepaid during the first half of 2008. We expect to continue to use available cash flows to prepay amounts outstanding under the term loan and to repurchase the 1.625% convertible debentures if attractive terms are available.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either the entity making or receiving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a net foreign currency exchange gain of $9.7 million in the second quarter of 2009 and a net foreign currency loss of $0.9 million in the first half of 2009 compared to a $0.4 million loss and a $12.7 million gain in the second quarter and first half of 2008, respectively. These realized and unrealized foreign currency exchange gains and losses reflect the respective weakening and strengthening of the U.S. dollar against most of the currencies of the countries in which we operate during the respective periods.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3"/>
              </w:rPr>
              <w:t>Three Months Ended June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22,272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15,696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6,397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11,714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15,875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22,272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15,696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Adjust: Foreign currency exchange gain (loss),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9,650</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 Goodwill and acquired intangible assets impairment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Adjust: Impairment loss on investment securities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(1,258)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(18,760)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from continuing operations before income taxes, foreign currency</w:t>
            </w: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gain (loss), net and impairment charges</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12,622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10,399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26,521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17,638</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6,397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1,662</w:t>
            </w:r>
          </w:p>
        </w:tc>
        <w:tc>
          <w:tcPr>
            <w:tcW w:w="44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11,714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 Income tax expense (benefit) attributable to foreign currency exchange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net</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(441)</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Income tax expense, as adjusted</w:t>
            </w: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5,912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2,103</w:t>
            </w:r>
          </w:p>
        </w:tc>
        <w:tc>
          <w:tcPr>
            <w:tcW w:w="44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11,700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as adjusted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effective tax rates for continuing operations were 28.7% and 19.0% for the three-month periods ended June 30, 2009 and 2008, respectively, and were 74.6% and 101.5% for the six-month periods ended June 30, 2009 and 2008, respectively. The effective tax rates were significantly influenced by the goodwill and acquired intangible assets impairment charge in the first quarter 2009 and the impairment losses on investment securities during the first half of 2008. Additionally, foreign currency exchange rates fluctuated significantly during the reported periods creating foreign currency exchange gains and losses that impacted the effective tax rates. Excluding foreign currency exchange results and the impairments to goodwill and acquired intangible assets and to investment securities from pre-tax income, as well as the related tax effects for these items, the Company’s effective tax rates were 46.8% and 20.2% for the three months ended June 30, 2009 and 2008, respectively, and 44.1% and 23.4% for the six months ended June 30, 2009 and 2008, respectively.</w:t>
      </w:r>
    </w:p>
    <w:p>
      <w:pPr>
        <w:spacing w:after="0" w:line="5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increases in the effective tax rates, as adjusted, for the second quarter and first half of 2009 compared to the same periods in 2008 are primarily related to our U.S. tax position. For the three- and six-month periods ended June 30, 2009, we have recorded a valuation allowance against our U.S. federal tax net operating losses as we have determined that it is more likely than not that a tax benefit will not be realized. Accordingly, the federal income tax benefit associated with pre-tax book losses generated by our U.S. entities has not been recognized in these periods. For the three- and six-month periods ended June 30, 2008, no valuation allowance was recorded against our U.S. federal tax net operating losses, resulting in a tax benefit associated with the pre-tax loss generated by our U.S. operations. Additional reasons for the increases in the effective tax rates include the accrual of incremental state income tax expense in the first six months of 2009 compared to the same period in 2008, mainly due to exhausting certain state net operating losses, and the recognition of a one-time tax benefit in the first half of 2008 resulting from the successful conclusion of a tax audit in one of our foreign jurisdictions. Finally, the loss of certain income tax deductions in Spain as a result of the goodwill and acquired intangible assets impairment charges increased income tax expense in the first half of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net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2008, we decided to sell Essentis in order to focus our investments and resources on our transaction processing businesses. We are currently negotiating an agreement to sell the assets of the business. Accordingly, Essentis’s results of operations are shown as discontinued operations in the Unaudited Consolidated Statements of Operations for all periods presented.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income attributable to noncontrolling interests was $0.5 million for the second quarter and $0.7 million for the first half of 2009 compared to $0.8 million for the second quarter and $1.2 million for the first half of 2008. Noncontrolling interests represents the elimination of net income or loss attributable to the minority shareholders’ portion of the following consolidated subsidiaries that are not wholly-owned: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560" w:type="dxa"/>
            <w:vAlign w:val="bottom"/>
          </w:tcPr>
          <w:p>
            <w:pPr>
              <w:spacing w:after="0"/>
              <w:rPr>
                <w:sz w:val="14"/>
                <w:szCs w:val="14"/>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1"/>
        </w:trPr>
        <w:tc>
          <w:tcPr>
            <w:tcW w:w="82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5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Movilcarga</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80%</w:t>
            </w:r>
          </w:p>
        </w:tc>
        <w:tc>
          <w:tcPr>
            <w:tcW w:w="1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8"/>
              </w:rPr>
              <w:t>Prepaid - 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e-pay SRL</w:t>
            </w:r>
          </w:p>
        </w:tc>
        <w:tc>
          <w:tcPr>
            <w:tcW w:w="1340" w:type="dxa"/>
            <w:vAlign w:val="bottom"/>
            <w:gridSpan w:val="2"/>
          </w:tcPr>
          <w:p>
            <w:pPr>
              <w:jc w:val="center"/>
              <w:ind w:left="470"/>
              <w:spacing w:after="0"/>
              <w:rPr>
                <w:sz w:val="20"/>
                <w:szCs w:val="20"/>
                <w:color w:val="auto"/>
              </w:rPr>
            </w:pPr>
            <w:r>
              <w:rPr>
                <w:rFonts w:ascii="Arial" w:cs="Arial" w:eastAsia="Arial" w:hAnsi="Arial"/>
                <w:sz w:val="18"/>
                <w:szCs w:val="18"/>
                <w:color w:val="auto"/>
                <w:w w:val="94"/>
              </w:rPr>
              <w:t>51%</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Prepaid - 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ATX</w:t>
            </w:r>
          </w:p>
        </w:tc>
        <w:tc>
          <w:tcPr>
            <w:tcW w:w="13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4"/>
              </w:rPr>
              <w:t>51%</w:t>
            </w:r>
          </w:p>
        </w:tc>
        <w:tc>
          <w:tcPr>
            <w:tcW w:w="1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Prepaid - various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Euronet China</w:t>
            </w:r>
          </w:p>
        </w:tc>
        <w:tc>
          <w:tcPr>
            <w:tcW w:w="1340" w:type="dxa"/>
            <w:vAlign w:val="bottom"/>
            <w:gridSpan w:val="2"/>
          </w:tcPr>
          <w:p>
            <w:pPr>
              <w:jc w:val="center"/>
              <w:ind w:left="470"/>
              <w:spacing w:after="0"/>
              <w:rPr>
                <w:sz w:val="20"/>
                <w:szCs w:val="20"/>
                <w:color w:val="auto"/>
              </w:rPr>
            </w:pPr>
            <w:r>
              <w:rPr>
                <w:rFonts w:ascii="Arial" w:cs="Arial" w:eastAsia="Arial" w:hAnsi="Arial"/>
                <w:sz w:val="18"/>
                <w:szCs w:val="18"/>
                <w:color w:val="auto"/>
                <w:w w:val="94"/>
              </w:rPr>
              <w:t>75%</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 WORLDWIDE, INC.</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Euronet Worldwide, Inc. was $15.5 million for the second quarter and $3.2 million for the first half of 2009 compared to</w:t>
      </w:r>
    </w:p>
    <w:p>
      <w:pPr>
        <w:spacing w:after="0" w:line="3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$5.9 million for the second quarter 2008 and a net loss of $2.7 million for the first half of 2008. As more fully discussed above, the increase of $6.0 million for the first half of 2009 as compared to the same period in 2008 was primarily the result of the $18.8 million first half 2008 unrealized loss on investment securities, partly offset by the $13.6 million decrease in foreign currency exchange gains. Additionally, operating income decreased $2.8 million, net interest expense decreased $1.3 million, net income from discontinued operations increased $1.4 million and other items increased net income by $0.9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June 30, 2009, we had working capital, which is calculated as the difference between total current assets and total current liabilities, of $89.3 million, compared to working capital of $99.1 million as of December 31, 2008. Our ratio of current assets to current liabilities was 1.17 as of June 30, 2009 and December 31, 2008. The decrease in working capital was due primarily to the use of cash to reduce debt.</w:t>
      </w:r>
    </w:p>
    <w:p>
      <w:pPr>
        <w:spacing w:after="0" w:line="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fiscal period ending on a particular day. As of June 30, 2009, working capital in the Money Transfer Segment was $65.7 million. We expect that working capital needs will increase as we expand this business. The Prepaid Processing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Cash flows provided by operating activities were $50.0 million for the first half of 2009 compared to $57.7 million for the first half of 2008. The decrease is primarily due to amounts paid to secure an exclusive, long-term distribution agreement with a vendor in Australia, partly offset by fluctuations in working capital primarily associated with the timing of the settlement process with mobile operators in the Prepaid Processing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Cash flows used in investing activities were $28.4 million for the first half of 2009, compared to cash flows provided of $0.3 million for the first half of 2008. Our investing activities included $16.8 million and $21.2 million for purchases of property and equipment in the first half of 2009 and 2008, respectively. Additionally, the first half of 2009 included $10.0 million in cash used for acquisitions compared to $3.5 million for the first half of 2008. Our investing activities for the first half of 2008 included the return of $26 million we placed in escrow in 2007 in connection with the agreement to acquire Envios de Valores La Nacional Corp. (“La Nacional”). On January 10, 2008, we entered into a settlement agreement with La Nacional and its stockholder evidencing the parties’ mutual agreement not to consummate the acquisition, in exchange for payment by Euronet of a portion of the legal fees incurred by La Nacional. Finally, cash used for software development and other investing activities totaled $1.6 million in the first half of 2009 and $1.0 million in the first half of 2008.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flows used in financing activities were $44.4 million during the first half of 2009 compared to $74.3 million during the first half of 2008. Our financing activities for the first half of 2009 consisted primarily of net repayments of debt obligations of $42.3 million compared to $74.9 million for the first half of 2008.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the first half of 2009 we had a total of $285.4 million in borrowings and $297.2 million in repayments under our revolving credit facility. During the first half of 2009, we paid $27.1 million for repayments and early retirements of debt obligations and $3.1 million for capital lease obligations. Additionally, we paid $2.4 million of dividends to noncontrolling interests stockholders in the first half of 2009.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To finance the acquisition of RIA in the second quarter 2007, we entered into a $290 million secured credit facility consisting of a</w:t>
      </w:r>
    </w:p>
    <w:p>
      <w:pPr>
        <w:spacing w:after="0" w:line="3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 of the original balance each year, with the remaining balance payable after seven years. We estimate that we will be able to repay the term loan prior to its maturity date through cash flows available from operations, provided our operating cash flows are not required for future business developments. Financing costs of $4.8 million have been deferred and are being amortized over the terms of the respective loans.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During February 2009, we entered into Amendment No. 2 to the Credit Facility to, among other things, (i) provide us the right under the Credit Facility to</w:t>
      </w:r>
    </w:p>
    <w:p>
      <w:pPr>
        <w:spacing w:after="0" w:line="35" w:lineRule="exact"/>
        <w:rPr>
          <w:sz w:val="20"/>
          <w:szCs w:val="20"/>
          <w:color w:val="auto"/>
        </w:rPr>
      </w:pPr>
    </w:p>
    <w:p>
      <w:pPr>
        <w:ind w:firstLine="8"/>
        <w:spacing w:after="0" w:line="287" w:lineRule="auto"/>
        <w:tabs>
          <w:tab w:leader="none" w:pos="2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repurchase the remaining $70 million of 1.625% Convertible Senior Debentures Due 2024 then outstanding and (b) repurchase our 3.5% Convertible Debentures Due 2025 prior to any repurchase date using proceeds of a qualifying refinancing, the proceeds of a qualifying equity issuance or shares of common stock; (ii) revise the definition of Consolidated EBITDA and the covenant regarding maintenance of Consolidated Net Worth to exclude the effect of non-cash charges for impairment of goodwill or other intangible assets for the periods ending December 31, 2008 and thereafter; and (iii) broaden or otherwise modify various definitions or provisions related to indebtedness, liens, permitted disposition, debt transactions, investments and other matters. Additionally, the lenders acknowledged that we have sufficient liquidity with respect to the December 15, 2009 repurchase date for the 1.625% Convertible Senior Debentures. Furthermore, in February 2009, our Board of Directors authorized the repurchase of up to $70 million of the 1.625% Convertible Senior Debentures, from time to time, in open market or privately negotiated purchases. We incurred costs of approximately $1.5 million in connection with the amendment, which will be recognized as additional interest expense over the remaining term of the Credit Facility.</w:t>
      </w:r>
    </w:p>
    <w:p>
      <w:pPr>
        <w:spacing w:after="0" w:line="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$100 million five-year revolving credit facility bears interest at LIBOR or prime plus a margin that adjusts each quarter based upon our consolidated total debt to earnings before interest, taxes, depreciation and amortization (“EBITDA”) ratio.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63"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We may be required to repay our obligations under the Credit Facility six months before any potential repurchase dates, the first being October 15, 2012, under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to meet repayment requirements (as determined by the administrative agent and the lenders). The Credit Facility contains four financial covenants that we must meet as defined in the agreement: (1) total debt to EBITDA ratio, (2) senior secured debt to EBITDA ratio,</w:t>
      </w:r>
    </w:p>
    <w:p>
      <w:pPr>
        <w:spacing w:after="0" w:line="2" w:lineRule="exact"/>
        <w:rPr>
          <w:sz w:val="20"/>
          <w:szCs w:val="20"/>
          <w:color w:val="auto"/>
        </w:rPr>
      </w:pPr>
    </w:p>
    <w:p>
      <w:pPr>
        <w:ind w:right="40" w:firstLine="8"/>
        <w:spacing w:after="0" w:line="261"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to fixed charge coverage ratio and (4) minimum Consolidated Net Worth. These and other material terms and conditions applicable to the Credit Facility are described in the agreement governing the Credit Facility.</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June 30, 2009, we had borrowings of $130.0 million outstanding against the term loan. We had borrowings of $5.0 million and stand-by letters of credit of $39.5 million outstanding against the revolving credit facility. The remaining $55.5 million under the revolving credit facility ($80.5 million if the facility were increased to $125 million) was available for borrowing. Borrowings under the revolving credit facility are being used to fund short-term working capital requirements in the U.S. and India. As of June 30, 2009, our weighted average interest rate under the revolving credit facility was 3.8% and under the term loan was 2.9%, excluding amortization of deferred financing costs.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u w:val="single" w:color="auto"/>
          <w:color w:val="auto"/>
        </w:rPr>
        <w:t>Short-term debt obligations</w:t>
      </w:r>
      <w:r>
        <w:rPr>
          <w:rFonts w:ascii="Arial" w:cs="Arial" w:eastAsia="Arial" w:hAnsi="Arial"/>
          <w:sz w:val="17"/>
          <w:szCs w:val="17"/>
          <w:color w:val="auto"/>
        </w:rPr>
        <w:t xml:space="preserve"> – Short-term debt obligations at June 30, 2009 were primarily the $43.2 million 1.625% Convertible Senior Debentures Due 2024 as the holders have the option to require us to repurchase their debentures at par on December 31, 2009, and the $1.9 million annual repayment requirement under the term loan. Certain of our subsidiaries also have available credit lines and overdraft facilities to supplement short-term working capital requirements, when necessary, and there were no borrowings outstanding against these facilities as of June 30, 2009.</w:t>
      </w:r>
    </w:p>
    <w:p>
      <w:pPr>
        <w:spacing w:after="0" w:line="6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believe that the short-term debt obligations can be refinanced on terms acceptable to us. However, if acceptable refinancing options are not available, we believe that amounts due under these obligations can be funded through cash generated from operations, together with cash on hand or borrowings under our revolving credit facility.</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8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also have $44.2 million in principal amount of 1.625% Convertible Senior Debentures Due 2024 that are convertible into 1.3 million shares of Euronet Common Stock at a conversion price of $33.63 per share upon the occurrence of certain events (relating to the closing prices of Euronet Common Stock exceeding certain thresholds for specified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Unless the price of our Common Stock appreciates substantially before December 15, 2009, we believe it is likely that the holders of the debentures will exercise this option at that date. Based upon our current expectations, we believe we will have sufficient cash available to fund the potential $44.2 million purchase price using our cash currently on hand, cash flows we expect to generate through December 2009 and amounts we expect to be available to borrow under our revolving credit facility. However, if our capital resources are insufficient to meet these obligations, we may be required to seek additional debt or equity financing.</w:t>
      </w:r>
    </w:p>
    <w:p>
      <w:pPr>
        <w:spacing w:after="0" w:line="7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Should holders of the convertible debentures require us to repurchase their debentures on the dates outlined above, we cannot guarantee that we will have sufficient cash on hand or have acceptable financing options available to us to fund these required repurchases. An inability to be able to finance these potential repayments could have an adverse impact on our operations. These terms and other material terms and conditions applicable to the convertible debentures are set forth in the indenture agreements governing these debentures.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 global public accounting firm was engaged as an independent expert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8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connection with the acquisition of Brodos Romania, we agreed to contingent consideration arrangements based on the achievement of certain performance criteria. If the criteria are achieved, during 2009 and 2010, we would have to pay a total of $2.5 million in cash or 75,489 shares of Euronet Common Stock, at the option of the seller. However, based on its current performance, Brodos Romania is unlikely to achieve the performance criteria.</w:t>
      </w:r>
    </w:p>
    <w:p>
      <w:pPr>
        <w:spacing w:after="0" w:line="3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half of 2009 were $17.4 million. These capital expenditures were primarily for the purchase of ATMs to meet contractual requirements in Poland, India and China, the purchase and installation of ATMs in key under-penetrated markets, the purchase of POS terminals for the Prepaid Processing and Money Transfer Segments, and office, data center and company store computer equipment and software, including capital expenditures for the purchase and development of the necessary processing systems and capabilities to expand the cross-border merchant processing and acquiring business. Total capital expenditures for 2009 are estimated to be approximately $40 million to $50 million.</w:t>
      </w:r>
    </w:p>
    <w:p>
      <w:pPr>
        <w:spacing w:after="0" w:line="5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the Prepaid Processing Segment, approximately 115,000 of the approximately 470,000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insufficient to meet these obligations, we will seek to refinance our debt under terms acceptable to us. However, we can offer no assurances that we will be able to obtain favorable terms for the refinancing of any of our debt or other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u w:val="single" w:color="auto"/>
          <w:color w:val="auto"/>
        </w:rPr>
        <w:t>Cross border merchant processing and acquiring</w:t>
      </w:r>
      <w:r>
        <w:rPr>
          <w:rFonts w:ascii="Arial" w:cs="Arial" w:eastAsia="Arial" w:hAnsi="Arial"/>
          <w:sz w:val="16"/>
          <w:szCs w:val="16"/>
          <w:color w:val="auto"/>
        </w:rPr>
        <w:t xml:space="preserve"> – In our EFT Processing Segment, we have entered the cross-border merchant processing and acquiring business, through the execution of an agreement with a large petrol retailer in Central Europe. Since the beginning of 2007, we have devoted significant resources, including capital expenditures of approximately $8.5 million, to the ongoing investment in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will involve the assumption of credit risk, as the principal amount of transactions will be settled to merchants before settlements are received from card associations. We incurred</w:t>
      </w:r>
    </w:p>
    <w:p>
      <w:pPr>
        <w:spacing w:after="0" w:line="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$1.5 million in operating losses related to this business in the first half of 2009 and currently expect to incur approximately $2 million to $3 million in operating losses for the full year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regularly grant guarantees of the obligations of our wholly-owned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2009, there were no material changes from the disclosure in our Annual Report on Form 10-K for the year ended December 31, 2008. To date, we are not aware of any significant claims made by the indemnified parties or parties to whom we have provided guarantees on behalf of our subsidiaries and, accordingly, no liabilities have been recorded as of June 30, 2009. See also Note 10, Guarantees, to the Unaudited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2009, the only material change from the disclosure relating to contractual obligations contained in our Annual Report on Form 10-K for the year ended December 31, 2008, is the net reduction of $38.8 million of principal on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May 2009, the FASB issued SFAS No. 165, “Subsequent Events.” This standard incorporates into authoritative accounting literature certain guidance that already existed within generally accepted auditing standards, but the rules concerning recognition and disclosure of subsequent events will remain essentially unchanged. SFAS No. 165 provides general standards of accounting for and disclosure of events that occur after the balance sheet date but before financial statements are issued or are available to be issued. We adopted the provisions of SFAS No. 165 for the quarter ended June 30, 2009. The adoption of these provisions did not have a material effect on the Consolidated Financial Statements.</w:t>
      </w:r>
    </w:p>
    <w:p>
      <w:pPr>
        <w:spacing w:after="0" w:line="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June 2009, the FASB issued SFAS No. 168, “The FASB Accounting Standards Codification™ and the Hierarchy of Generally Accepted Accounting Principles.” SFAS No. 168 authorizes the </w:t>
      </w:r>
      <w:r>
        <w:rPr>
          <w:rFonts w:ascii="Arial" w:cs="Arial" w:eastAsia="Arial" w:hAnsi="Arial"/>
          <w:sz w:val="16"/>
          <w:szCs w:val="16"/>
          <w:i w:val="1"/>
          <w:iCs w:val="1"/>
          <w:color w:val="auto"/>
        </w:rPr>
        <w:t>FASB Accounting Standards Codification</w:t>
      </w:r>
      <w:r>
        <w:rPr>
          <w:rFonts w:ascii="Arial" w:cs="Arial" w:eastAsia="Arial" w:hAnsi="Arial"/>
          <w:sz w:val="16"/>
          <w:szCs w:val="16"/>
          <w:color w:val="auto"/>
        </w:rPr>
        <w:t>™ (“Codification”) to become the source of authoritative U.S. GAAP recognized by the FASB to be applied by nongovernmental entities. Rules and interpretive releases of the SEC under authority of federal securities laws remain sources of authoritative GAAP for SEC registrants. On the effective date of SFAS No. 168, the Codification will supersede all then-existing non-SEC accounting and reporting standards. All other nongrandfathered non-SEC accounting literature not included in the Codification will become nonauthoritative. All guidance contained in the Codification carries an equal level of authority. Certain accounting treatments that entities have followed, and continue to follow, which are not part of the Codification are grandfathered because they were adopted before a certain date or certain accounting standards have allowed for the continued application of superseded accounting standards. SFAS No. 168 is effective for financial statements issued for interim and annual periods ending after September 15, 2009. Our adoption of SFAS No. 168 is not expected to have a material impact on the Consolidated Financial Statements. However, all references to U.S. GAAP recognized by the FASB will use Codification citations except for those to grandfathered accounting literature.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ability to repay indebtedness;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 Item 1A – Risk Factors of our Annual Report on Form 10-K for the year ended December 31, 2008.</w:t>
      </w:r>
    </w:p>
    <w:p>
      <w:pPr>
        <w:spacing w:after="0" w:line="143"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60"/>
        <w:spacing w:after="0" w:line="276" w:lineRule="auto"/>
        <w:rPr>
          <w:sz w:val="20"/>
          <w:szCs w:val="20"/>
          <w:color w:val="auto"/>
        </w:rPr>
      </w:pPr>
      <w:r>
        <w:rPr>
          <w:rFonts w:ascii="Arial" w:cs="Arial" w:eastAsia="Arial" w:hAnsi="Arial"/>
          <w:sz w:val="17"/>
          <w:szCs w:val="17"/>
          <w:color w:val="auto"/>
        </w:rPr>
        <w:t>As of June 30, 2009, our total debt outstanding was $337.1 million. Of this amount, $193.8 million, or 58% of our total debt obligations, relates to contingent convertible debentures having fixed coupon rates. Our $175 million principal amount of contingent convertible debentures, issued in October 2005, accrue cash interest at a rate of 3.50% of the principal amount per annum. The $44.2 million principal amount of contingent convertible debentures, issued in December 2004, accrue cash interest at a rate of 1.625% of the principal amount per annum. Based on quoted market prices, as of June 30, 2009, the fair value of our fixed rate convertible debentures was $196.2 million, compared to a carrying value of $193.8 million.</w:t>
      </w:r>
    </w:p>
    <w:p>
      <w:pPr>
        <w:spacing w:after="0" w:line="6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Interest expense, including amortization of deferred debt issuance costs, for our total $193.8 million in fixed rate debt totals approximately $16.7 million per year, or a weighted average interest rate of 8.6% annually. Additionally, approximately $8.2 million, or 2% of our total debt obligations, relate to capitalized leases with fixed payment and interest terms that expire between 2009 and 2014.</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remaining $135.1 million, or 40%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annual interest expense to the Company of approximately $2.2 million. This computation excludes the $150.0 million in potential expanded term loan because of the limited circumstances under which the additional amounts would be available to us for borrowing.</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first half of 2009, 74% of our revenues were generated in non-U.S. dollar countries compared to 75% for the first half of 2008. We expect to continue generating a significant portion of our revenues in countries with currencies other than the U.S. dollar.</w:t>
      </w:r>
    </w:p>
    <w:p>
      <w:pPr>
        <w:spacing w:after="0" w:line="6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and Polish zloty. As of June 30, 2009, we estimate that a 10% fluctuation in these foreign currency exchange rates would have the combined annualized effect on reported net income and working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capital of approximately $20 million to $30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 $60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June 30, 2009, we had foreign currency forward contracts outstanding with a notional value of $41.2 million, primarily in euros, that were not designated as hedges and mature in a weighted average of</w:t>
      </w:r>
    </w:p>
    <w:p>
      <w:pPr>
        <w:spacing w:after="0" w:line="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4.9 days. The fair value of these forward contracts as of June 30, 2009 was an unrealized loss of less than $0.1 million, which was partially offset by the unrealized gain on the related foreign currency receivables.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2009.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second quarter of 2009 that has materially affected, or is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2008, as updated in our subsequent filings with the SEC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58"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i w:val="1"/>
          <w:iCs w:val="1"/>
          <w:color w:val="auto"/>
        </w:rPr>
        <w:t>There have been no material changes from the risk factors previously disclosed in the Company’s Annual Report on Form 10-K for the year ended December 31, 2008 and Quarterly Report on Form 10-Q for the three months ended March 31, 2009, as filed with the SEC.</w:t>
      </w:r>
    </w:p>
    <w:p>
      <w:pPr>
        <w:spacing w:after="0" w:line="143" w:lineRule="exact"/>
        <w:rPr>
          <w:sz w:val="20"/>
          <w:szCs w:val="20"/>
          <w:color w:val="auto"/>
        </w:rPr>
      </w:pPr>
    </w:p>
    <w:p>
      <w:pPr>
        <w:ind w:right="430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i w:val="1"/>
          <w:iCs w:val="1"/>
          <w:color w:val="auto"/>
        </w:rPr>
        <w:t>Stock repurchases</w:t>
      </w:r>
    </w:p>
    <w:p>
      <w:pPr>
        <w:ind w:right="60"/>
        <w:spacing w:after="0" w:line="286" w:lineRule="auto"/>
        <w:rPr>
          <w:sz w:val="20"/>
          <w:szCs w:val="20"/>
          <w:color w:val="auto"/>
        </w:rPr>
      </w:pPr>
      <w:r>
        <w:rPr>
          <w:rFonts w:ascii="Arial" w:cs="Arial" w:eastAsia="Arial" w:hAnsi="Arial"/>
          <w:sz w:val="17"/>
          <w:szCs w:val="17"/>
          <w:color w:val="auto"/>
        </w:rPr>
        <w:t>For the three months ended June 30, 2009, the Company purchased, in accordance with the 2006 Stock Incentive Plan (Amended and Restated), 1,752 shares of its Common Stock for participant income tax withholding in conjunction with the lapse of restrictions on stock awards, as requested by the participants. The following table sets forth information with respect to those shares (all purchases occurred during May 2009):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640" w:type="dxa"/>
            <w:vAlign w:val="bottom"/>
          </w:tcPr>
          <w:p>
            <w:pPr>
              <w:spacing w:after="0"/>
              <w:rPr>
                <w:sz w:val="12"/>
                <w:szCs w:val="1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2"/>
                <w:szCs w:val="12"/>
                <w:color w:val="auto"/>
              </w:rPr>
            </w:pPr>
          </w:p>
        </w:tc>
        <w:tc>
          <w:tcPr>
            <w:tcW w:w="130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13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Paid Per</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6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Share (1)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64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May 1 — May 31</w:t>
            </w:r>
          </w:p>
        </w:tc>
        <w:tc>
          <w:tcPr>
            <w:tcW w:w="5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62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1,752</w:t>
            </w:r>
          </w:p>
        </w:tc>
        <w:tc>
          <w:tcPr>
            <w:tcW w:w="6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620" w:type="dxa"/>
            <w:vAlign w:val="bottom"/>
          </w:tcPr>
          <w:p>
            <w:pPr>
              <w:spacing w:after="0"/>
              <w:rPr>
                <w:sz w:val="19"/>
                <w:szCs w:val="19"/>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5400" w:hanging="5612"/>
        <w:spacing w:after="0" w:line="571" w:lineRule="auto"/>
        <w:tabs>
          <w:tab w:leader="none" w:pos="45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price paid per share is the closing price of the shares on the vesting date.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held its Annual Meeting of Stockholders on May 20, 2009. A total of 48,096,391, or 95% of the Company’s shares of Common Stock were present or represented by proxy at the meeting. Of the five proposals presented below, four were approved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 Election of Directors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two director nominees, information with respect to whom was set forth in the Proxy Statement, were elected. The vote with respect to the election of these directors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20"/>
                <w:szCs w:val="20"/>
                <w:color w:val="auto"/>
              </w:rPr>
            </w:pPr>
            <w:r>
              <w:rPr>
                <w:rFonts w:ascii="Arial" w:cs="Arial" w:eastAsia="Arial" w:hAnsi="Arial"/>
                <w:sz w:val="14"/>
                <w:szCs w:val="14"/>
                <w:color w:val="auto"/>
              </w:rPr>
              <w:t>Director</w:t>
            </w:r>
          </w:p>
        </w:tc>
        <w:tc>
          <w:tcPr>
            <w:tcW w:w="5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4"/>
              </w:rPr>
              <w:t>Voted in Favor</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Withheld</w:t>
            </w:r>
          </w:p>
        </w:tc>
      </w:tr>
      <w:tr>
        <w:trPr>
          <w:trHeight w:val="195"/>
        </w:trPr>
        <w:tc>
          <w:tcPr>
            <w:tcW w:w="8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Paul S. Althasen</w:t>
            </w:r>
          </w:p>
        </w:tc>
        <w:tc>
          <w:tcPr>
            <w:tcW w:w="54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47,592,263</w:t>
            </w:r>
          </w:p>
        </w:tc>
        <w:tc>
          <w:tcPr>
            <w:tcW w:w="66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504,128</w:t>
            </w:r>
          </w:p>
        </w:tc>
        <w:tc>
          <w:tcPr>
            <w:tcW w:w="20" w:type="dxa"/>
            <w:vAlign w:val="bottom"/>
          </w:tcPr>
          <w:p>
            <w:pPr>
              <w:spacing w:after="0"/>
              <w:rPr>
                <w:sz w:val="16"/>
                <w:szCs w:val="16"/>
                <w:color w:val="auto"/>
              </w:rPr>
            </w:pP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Thomas A. McDonnell</w:t>
            </w:r>
          </w:p>
        </w:tc>
        <w:tc>
          <w:tcPr>
            <w:tcW w:w="2160" w:type="dxa"/>
            <w:vAlign w:val="bottom"/>
            <w:gridSpan w:val="3"/>
          </w:tcPr>
          <w:p>
            <w:pPr>
              <w:jc w:val="right"/>
              <w:ind w:right="660"/>
              <w:spacing w:after="0"/>
              <w:rPr>
                <w:sz w:val="20"/>
                <w:szCs w:val="20"/>
                <w:color w:val="auto"/>
              </w:rPr>
            </w:pPr>
            <w:r>
              <w:rPr>
                <w:rFonts w:ascii="Arial" w:cs="Arial" w:eastAsia="Arial" w:hAnsi="Arial"/>
                <w:sz w:val="18"/>
                <w:szCs w:val="18"/>
                <w:color w:val="auto"/>
              </w:rPr>
              <w:t>29,297,698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18,798,693</w:t>
            </w:r>
          </w:p>
        </w:tc>
      </w:tr>
    </w:tbl>
    <w:p>
      <w:pPr>
        <w:spacing w:after="0" w:line="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Proposal 2. Amendment of the Certificate of Incorporation of the Company to eliminate the mandatory indemnification of non-executive employees and agents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proposal was approved in accordance with the following vote: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24"/>
        </w:trPr>
        <w:tc>
          <w:tcPr>
            <w:tcW w:w="3440" w:type="dxa"/>
            <w:vAlign w:val="bottom"/>
          </w:tcPr>
          <w:p>
            <w:pPr>
              <w:jc w:val="right"/>
              <w:ind w:right="1239"/>
              <w:spacing w:after="0"/>
              <w:rPr>
                <w:sz w:val="20"/>
                <w:szCs w:val="20"/>
                <w:color w:val="auto"/>
              </w:rPr>
            </w:pPr>
            <w:r>
              <w:rPr>
                <w:rFonts w:ascii="Arial" w:cs="Arial" w:eastAsia="Arial" w:hAnsi="Arial"/>
                <w:sz w:val="18"/>
                <w:szCs w:val="18"/>
                <w:color w:val="auto"/>
              </w:rPr>
              <w:t>47,874,652</w:t>
            </w:r>
          </w:p>
        </w:tc>
        <w:tc>
          <w:tcPr>
            <w:tcW w:w="580" w:type="dxa"/>
            <w:vAlign w:val="bottom"/>
          </w:tcPr>
          <w:p>
            <w:pPr>
              <w:spacing w:after="0"/>
              <w:rPr>
                <w:sz w:val="19"/>
                <w:szCs w:val="19"/>
                <w:color w:val="auto"/>
              </w:rPr>
            </w:pPr>
          </w:p>
        </w:tc>
        <w:tc>
          <w:tcPr>
            <w:tcW w:w="3420" w:type="dxa"/>
            <w:vAlign w:val="bottom"/>
          </w:tcPr>
          <w:p>
            <w:pPr>
              <w:jc w:val="right"/>
              <w:ind w:right="1339"/>
              <w:spacing w:after="0"/>
              <w:rPr>
                <w:sz w:val="20"/>
                <w:szCs w:val="20"/>
                <w:color w:val="auto"/>
              </w:rPr>
            </w:pPr>
            <w:r>
              <w:rPr>
                <w:rFonts w:ascii="Arial" w:cs="Arial" w:eastAsia="Arial" w:hAnsi="Arial"/>
                <w:sz w:val="18"/>
                <w:szCs w:val="18"/>
                <w:color w:val="auto"/>
              </w:rPr>
              <w:t>110,104</w:t>
            </w:r>
          </w:p>
        </w:tc>
        <w:tc>
          <w:tcPr>
            <w:tcW w:w="560" w:type="dxa"/>
            <w:vAlign w:val="bottom"/>
          </w:tcPr>
          <w:p>
            <w:pPr>
              <w:spacing w:after="0"/>
              <w:rPr>
                <w:sz w:val="19"/>
                <w:szCs w:val="19"/>
                <w:color w:val="auto"/>
              </w:rPr>
            </w:pPr>
          </w:p>
        </w:tc>
        <w:tc>
          <w:tcPr>
            <w:tcW w:w="3420" w:type="dxa"/>
            <w:vAlign w:val="bottom"/>
          </w:tcPr>
          <w:p>
            <w:pPr>
              <w:jc w:val="right"/>
              <w:ind w:right="1339"/>
              <w:spacing w:after="0"/>
              <w:rPr>
                <w:sz w:val="20"/>
                <w:szCs w:val="20"/>
                <w:color w:val="auto"/>
              </w:rPr>
            </w:pPr>
            <w:r>
              <w:rPr>
                <w:rFonts w:ascii="Arial" w:cs="Arial" w:eastAsia="Arial" w:hAnsi="Arial"/>
                <w:sz w:val="18"/>
                <w:szCs w:val="18"/>
                <w:color w:val="auto"/>
              </w:rPr>
              <w:t>111,635</w:t>
            </w:r>
          </w:p>
        </w:tc>
      </w:tr>
    </w:tbl>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Proposal 3. Amendment of the Certificate of Incorporation of the Company to permit Stockholder action to be taken only at a duly called annual or special meeting of Stockholders and to eliminate Stockholder action by written consent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proposal was not approved in accordance with the following vote: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58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Non-Vote</w:t>
            </w:r>
          </w:p>
        </w:tc>
      </w:tr>
      <w:tr>
        <w:trPr>
          <w:trHeight w:val="224"/>
        </w:trPr>
        <w:tc>
          <w:tcPr>
            <w:tcW w:w="2420" w:type="dxa"/>
            <w:vAlign w:val="bottom"/>
          </w:tcPr>
          <w:p>
            <w:pPr>
              <w:jc w:val="right"/>
              <w:ind w:right="719"/>
              <w:spacing w:after="0"/>
              <w:rPr>
                <w:sz w:val="20"/>
                <w:szCs w:val="20"/>
                <w:color w:val="auto"/>
              </w:rPr>
            </w:pPr>
            <w:r>
              <w:rPr>
                <w:rFonts w:ascii="Arial" w:cs="Arial" w:eastAsia="Arial" w:hAnsi="Arial"/>
                <w:sz w:val="18"/>
                <w:szCs w:val="18"/>
                <w:color w:val="auto"/>
              </w:rPr>
              <w:t>10,149,333</w:t>
            </w:r>
          </w:p>
        </w:tc>
        <w:tc>
          <w:tcPr>
            <w:tcW w:w="580" w:type="dxa"/>
            <w:vAlign w:val="bottom"/>
          </w:tcPr>
          <w:p>
            <w:pPr>
              <w:spacing w:after="0"/>
              <w:rPr>
                <w:sz w:val="19"/>
                <w:szCs w:val="19"/>
                <w:color w:val="auto"/>
              </w:rPr>
            </w:pPr>
          </w:p>
        </w:tc>
        <w:tc>
          <w:tcPr>
            <w:tcW w:w="2420" w:type="dxa"/>
            <w:vAlign w:val="bottom"/>
          </w:tcPr>
          <w:p>
            <w:pPr>
              <w:jc w:val="right"/>
              <w:ind w:right="739"/>
              <w:spacing w:after="0"/>
              <w:rPr>
                <w:sz w:val="20"/>
                <w:szCs w:val="20"/>
                <w:color w:val="auto"/>
              </w:rPr>
            </w:pPr>
            <w:r>
              <w:rPr>
                <w:rFonts w:ascii="Arial" w:cs="Arial" w:eastAsia="Arial" w:hAnsi="Arial"/>
                <w:sz w:val="18"/>
                <w:szCs w:val="18"/>
                <w:color w:val="auto"/>
              </w:rPr>
              <w:t>32,337,478</w:t>
            </w:r>
          </w:p>
        </w:tc>
        <w:tc>
          <w:tcPr>
            <w:tcW w:w="560" w:type="dxa"/>
            <w:vAlign w:val="bottom"/>
          </w:tcPr>
          <w:p>
            <w:pPr>
              <w:spacing w:after="0"/>
              <w:rPr>
                <w:sz w:val="19"/>
                <w:szCs w:val="19"/>
                <w:color w:val="auto"/>
              </w:rPr>
            </w:pPr>
          </w:p>
        </w:tc>
        <w:tc>
          <w:tcPr>
            <w:tcW w:w="2420" w:type="dxa"/>
            <w:vAlign w:val="bottom"/>
          </w:tcPr>
          <w:p>
            <w:pPr>
              <w:jc w:val="right"/>
              <w:ind w:right="839"/>
              <w:spacing w:after="0"/>
              <w:rPr>
                <w:sz w:val="20"/>
                <w:szCs w:val="20"/>
                <w:color w:val="auto"/>
              </w:rPr>
            </w:pPr>
            <w:r>
              <w:rPr>
                <w:rFonts w:ascii="Arial" w:cs="Arial" w:eastAsia="Arial" w:hAnsi="Arial"/>
                <w:sz w:val="18"/>
                <w:szCs w:val="18"/>
                <w:color w:val="auto"/>
              </w:rPr>
              <w:t>154,443</w:t>
            </w:r>
          </w:p>
        </w:tc>
        <w:tc>
          <w:tcPr>
            <w:tcW w:w="580" w:type="dxa"/>
            <w:vAlign w:val="bottom"/>
          </w:tcPr>
          <w:p>
            <w:pPr>
              <w:spacing w:after="0"/>
              <w:rPr>
                <w:sz w:val="19"/>
                <w:szCs w:val="19"/>
                <w:color w:val="auto"/>
              </w:rPr>
            </w:pPr>
          </w:p>
        </w:tc>
        <w:tc>
          <w:tcPr>
            <w:tcW w:w="2440" w:type="dxa"/>
            <w:vAlign w:val="bottom"/>
          </w:tcPr>
          <w:p>
            <w:pPr>
              <w:jc w:val="right"/>
              <w:ind w:right="779"/>
              <w:spacing w:after="0"/>
              <w:rPr>
                <w:sz w:val="20"/>
                <w:szCs w:val="20"/>
                <w:color w:val="auto"/>
              </w:rPr>
            </w:pPr>
            <w:r>
              <w:rPr>
                <w:rFonts w:ascii="Arial" w:cs="Arial" w:eastAsia="Arial" w:hAnsi="Arial"/>
                <w:sz w:val="18"/>
                <w:szCs w:val="18"/>
                <w:color w:val="auto"/>
              </w:rPr>
              <w:t>5,455,137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 Amendment of the Company’s 2006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proposal was approved in accordance with the following vote: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58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Non-Vote</w:t>
            </w:r>
          </w:p>
        </w:tc>
      </w:tr>
      <w:tr>
        <w:trPr>
          <w:trHeight w:val="224"/>
        </w:trPr>
        <w:tc>
          <w:tcPr>
            <w:tcW w:w="2420" w:type="dxa"/>
            <w:vAlign w:val="bottom"/>
          </w:tcPr>
          <w:p>
            <w:pPr>
              <w:jc w:val="right"/>
              <w:ind w:right="719"/>
              <w:spacing w:after="0"/>
              <w:rPr>
                <w:sz w:val="20"/>
                <w:szCs w:val="20"/>
                <w:color w:val="auto"/>
              </w:rPr>
            </w:pPr>
            <w:r>
              <w:rPr>
                <w:rFonts w:ascii="Arial" w:cs="Arial" w:eastAsia="Arial" w:hAnsi="Arial"/>
                <w:sz w:val="18"/>
                <w:szCs w:val="18"/>
                <w:color w:val="auto"/>
              </w:rPr>
              <w:t>32,424,947</w:t>
            </w:r>
          </w:p>
        </w:tc>
        <w:tc>
          <w:tcPr>
            <w:tcW w:w="580" w:type="dxa"/>
            <w:vAlign w:val="bottom"/>
          </w:tcPr>
          <w:p>
            <w:pPr>
              <w:spacing w:after="0"/>
              <w:rPr>
                <w:sz w:val="19"/>
                <w:szCs w:val="19"/>
                <w:color w:val="auto"/>
              </w:rPr>
            </w:pPr>
          </w:p>
        </w:tc>
        <w:tc>
          <w:tcPr>
            <w:tcW w:w="2420" w:type="dxa"/>
            <w:vAlign w:val="bottom"/>
          </w:tcPr>
          <w:p>
            <w:pPr>
              <w:jc w:val="right"/>
              <w:ind w:right="739"/>
              <w:spacing w:after="0"/>
              <w:rPr>
                <w:sz w:val="20"/>
                <w:szCs w:val="20"/>
                <w:color w:val="auto"/>
              </w:rPr>
            </w:pPr>
            <w:r>
              <w:rPr>
                <w:rFonts w:ascii="Arial" w:cs="Arial" w:eastAsia="Arial" w:hAnsi="Arial"/>
                <w:sz w:val="18"/>
                <w:szCs w:val="18"/>
                <w:color w:val="auto"/>
              </w:rPr>
              <w:t>10,093,957</w:t>
            </w:r>
          </w:p>
        </w:tc>
        <w:tc>
          <w:tcPr>
            <w:tcW w:w="560" w:type="dxa"/>
            <w:vAlign w:val="bottom"/>
          </w:tcPr>
          <w:p>
            <w:pPr>
              <w:spacing w:after="0"/>
              <w:rPr>
                <w:sz w:val="19"/>
                <w:szCs w:val="19"/>
                <w:color w:val="auto"/>
              </w:rPr>
            </w:pPr>
          </w:p>
        </w:tc>
        <w:tc>
          <w:tcPr>
            <w:tcW w:w="2420" w:type="dxa"/>
            <w:vAlign w:val="bottom"/>
          </w:tcPr>
          <w:p>
            <w:pPr>
              <w:jc w:val="right"/>
              <w:ind w:right="839"/>
              <w:spacing w:after="0"/>
              <w:rPr>
                <w:sz w:val="20"/>
                <w:szCs w:val="20"/>
                <w:color w:val="auto"/>
              </w:rPr>
            </w:pPr>
            <w:r>
              <w:rPr>
                <w:rFonts w:ascii="Arial" w:cs="Arial" w:eastAsia="Arial" w:hAnsi="Arial"/>
                <w:sz w:val="18"/>
                <w:szCs w:val="18"/>
                <w:color w:val="auto"/>
              </w:rPr>
              <w:t>122,350</w:t>
            </w:r>
          </w:p>
        </w:tc>
        <w:tc>
          <w:tcPr>
            <w:tcW w:w="580" w:type="dxa"/>
            <w:vAlign w:val="bottom"/>
          </w:tcPr>
          <w:p>
            <w:pPr>
              <w:spacing w:after="0"/>
              <w:rPr>
                <w:sz w:val="19"/>
                <w:szCs w:val="19"/>
                <w:color w:val="auto"/>
              </w:rPr>
            </w:pPr>
          </w:p>
        </w:tc>
        <w:tc>
          <w:tcPr>
            <w:tcW w:w="2440" w:type="dxa"/>
            <w:vAlign w:val="bottom"/>
          </w:tcPr>
          <w:p>
            <w:pPr>
              <w:jc w:val="right"/>
              <w:ind w:right="779"/>
              <w:spacing w:after="0"/>
              <w:rPr>
                <w:sz w:val="20"/>
                <w:szCs w:val="20"/>
                <w:color w:val="auto"/>
              </w:rPr>
            </w:pPr>
            <w:r>
              <w:rPr>
                <w:rFonts w:ascii="Arial" w:cs="Arial" w:eastAsia="Arial" w:hAnsi="Arial"/>
                <w:sz w:val="18"/>
                <w:szCs w:val="18"/>
                <w:color w:val="auto"/>
              </w:rPr>
              <w:t>5,455,137</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5. Ratification of the appointment of KPMG LLP as Euronet’s auditors for the year ending December 31,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KPMG LLP as Euronet’s auditors for the year ending December 31, 2009 was ratified in accordance with the following vote: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60" w:type="dxa"/>
            <w:vAlign w:val="bottom"/>
          </w:tcPr>
          <w:p>
            <w:pPr>
              <w:spacing w:after="0"/>
              <w:rPr>
                <w:sz w:val="14"/>
                <w:szCs w:val="14"/>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Abstain</w:t>
            </w:r>
          </w:p>
        </w:tc>
      </w:tr>
      <w:tr>
        <w:trPr>
          <w:trHeight w:val="224"/>
        </w:trPr>
        <w:tc>
          <w:tcPr>
            <w:tcW w:w="3440" w:type="dxa"/>
            <w:vAlign w:val="bottom"/>
          </w:tcPr>
          <w:p>
            <w:pPr>
              <w:jc w:val="right"/>
              <w:ind w:right="1239"/>
              <w:spacing w:after="0"/>
              <w:rPr>
                <w:sz w:val="20"/>
                <w:szCs w:val="20"/>
                <w:color w:val="auto"/>
              </w:rPr>
            </w:pPr>
            <w:r>
              <w:rPr>
                <w:rFonts w:ascii="Arial" w:cs="Arial" w:eastAsia="Arial" w:hAnsi="Arial"/>
                <w:sz w:val="18"/>
                <w:szCs w:val="18"/>
                <w:color w:val="auto"/>
              </w:rPr>
              <w:t>47,831,769</w:t>
            </w:r>
          </w:p>
        </w:tc>
        <w:tc>
          <w:tcPr>
            <w:tcW w:w="580" w:type="dxa"/>
            <w:vAlign w:val="bottom"/>
          </w:tcPr>
          <w:p>
            <w:pPr>
              <w:spacing w:after="0"/>
              <w:rPr>
                <w:sz w:val="19"/>
                <w:szCs w:val="19"/>
                <w:color w:val="auto"/>
              </w:rPr>
            </w:pPr>
          </w:p>
        </w:tc>
        <w:tc>
          <w:tcPr>
            <w:tcW w:w="3420" w:type="dxa"/>
            <w:vAlign w:val="bottom"/>
          </w:tcPr>
          <w:p>
            <w:pPr>
              <w:jc w:val="right"/>
              <w:ind w:right="1339"/>
              <w:spacing w:after="0"/>
              <w:rPr>
                <w:sz w:val="20"/>
                <w:szCs w:val="20"/>
                <w:color w:val="auto"/>
              </w:rPr>
            </w:pPr>
            <w:r>
              <w:rPr>
                <w:rFonts w:ascii="Arial" w:cs="Arial" w:eastAsia="Arial" w:hAnsi="Arial"/>
                <w:sz w:val="18"/>
                <w:szCs w:val="18"/>
                <w:color w:val="auto"/>
              </w:rPr>
              <w:t>188,318</w:t>
            </w:r>
          </w:p>
        </w:tc>
        <w:tc>
          <w:tcPr>
            <w:tcW w:w="560" w:type="dxa"/>
            <w:vAlign w:val="bottom"/>
          </w:tcPr>
          <w:p>
            <w:pPr>
              <w:spacing w:after="0"/>
              <w:rPr>
                <w:sz w:val="19"/>
                <w:szCs w:val="19"/>
                <w:color w:val="auto"/>
              </w:rPr>
            </w:pPr>
          </w:p>
        </w:tc>
        <w:tc>
          <w:tcPr>
            <w:tcW w:w="3420" w:type="dxa"/>
            <w:vAlign w:val="bottom"/>
          </w:tcPr>
          <w:p>
            <w:pPr>
              <w:ind w:left="1460"/>
              <w:spacing w:after="0"/>
              <w:rPr>
                <w:sz w:val="20"/>
                <w:szCs w:val="20"/>
                <w:color w:val="auto"/>
              </w:rPr>
            </w:pPr>
            <w:r>
              <w:rPr>
                <w:rFonts w:ascii="Arial" w:cs="Arial" w:eastAsia="Arial" w:hAnsi="Arial"/>
                <w:sz w:val="18"/>
                <w:szCs w:val="18"/>
                <w:color w:val="auto"/>
              </w:rPr>
              <w:t>76,304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In the second quarter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money transmission services to the Dominican Republic during the period from January 1, 2004 to the date of the subpoena. The Company and CES are fully cooperating with the DOJ in its investigation.</w:t>
      </w:r>
    </w:p>
    <w:p>
      <w:pPr>
        <w:spacing w:after="0" w:line="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this time, we are unable to predict whether this investigation will result in the DOJ bringing charges against CES. Accordingly, we are unable to predict the outcome of this investigation, the possible loss or possible range of loss, if any, associated with the resolution of any charges that may be brought against CES, or any potential effect on the Company’s business, results of operations or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acquired all of the stock of RIA Envia, Inc., the parent of CES, in April 2007.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300" w:type="dxa"/>
            <w:vAlign w:val="bottom"/>
            <w:gridSpan w:val="2"/>
          </w:tcPr>
          <w:p>
            <w:pPr>
              <w:ind w:left="38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10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3"/>
              </w:rPr>
              <w:t>Certificate of Amendment to Certificate of Incorporation of Euronet Worldwide, Inc. (filed as Exhibit 3.1 to the Company’s Current Report</w:t>
            </w:r>
          </w:p>
        </w:tc>
        <w:tc>
          <w:tcPr>
            <w:tcW w:w="20" w:type="dxa"/>
            <w:vAlign w:val="bottom"/>
          </w:tcPr>
          <w:p>
            <w:pPr>
              <w:spacing w:after="0"/>
              <w:rPr>
                <w:sz w:val="16"/>
                <w:szCs w:val="16"/>
                <w:color w:val="auto"/>
              </w:rPr>
            </w:pPr>
          </w:p>
        </w:tc>
      </w:tr>
      <w:tr>
        <w:trPr>
          <w:trHeight w:val="230"/>
        </w:trPr>
        <w:tc>
          <w:tcPr>
            <w:tcW w:w="1160" w:type="dxa"/>
            <w:vAlign w:val="bottom"/>
          </w:tcPr>
          <w:p>
            <w:pPr>
              <w:spacing w:after="0"/>
              <w:rPr>
                <w:sz w:val="20"/>
                <w:szCs w:val="20"/>
                <w:color w:val="auto"/>
              </w:rPr>
            </w:pP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rPr>
              <w:t>on Form 8-K filed on May 22, 2009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w w:val="95"/>
              </w:rPr>
              <w:t>Certificate of Incorporation of Euronet Worldwide, Inc., as amended (filed as Exhibit 3.2 to the Company’s Current Report on Form 8-K</w:t>
            </w:r>
          </w:p>
        </w:tc>
      </w:tr>
      <w:tr>
        <w:trPr>
          <w:trHeight w:val="230"/>
        </w:trPr>
        <w:tc>
          <w:tcPr>
            <w:tcW w:w="1160" w:type="dxa"/>
            <w:vAlign w:val="bottom"/>
          </w:tcPr>
          <w:p>
            <w:pPr>
              <w:spacing w:after="0"/>
              <w:rPr>
                <w:sz w:val="20"/>
                <w:szCs w:val="20"/>
                <w:color w:val="auto"/>
              </w:rPr>
            </w:pP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rPr>
              <w:t>filed on May 22, 2009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w w:val="92"/>
              </w:rPr>
              <w:t>Employment Agreement dated December 2, 1997 between Euronet Services GmbH and Roger Heinz, Senior Vice President — Managing</w:t>
            </w:r>
          </w:p>
        </w:tc>
      </w:tr>
      <w:tr>
        <w:trPr>
          <w:trHeight w:val="216"/>
        </w:trPr>
        <w:tc>
          <w:tcPr>
            <w:tcW w:w="1160" w:type="dxa"/>
            <w:vAlign w:val="bottom"/>
          </w:tcPr>
          <w:p>
            <w:pPr>
              <w:spacing w:after="0"/>
              <w:rPr>
                <w:sz w:val="18"/>
                <w:szCs w:val="18"/>
                <w:color w:val="auto"/>
              </w:rPr>
            </w:pP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w w:val="91"/>
              </w:rPr>
              <w:t>Director, Europe EFT Processing Segment (filed as Exhibit 10.1 to the Company’s Quarterly Report on Form 10-Q filed on May 8, 2009 and</w:t>
            </w:r>
          </w:p>
        </w:tc>
      </w:tr>
      <w:tr>
        <w:trPr>
          <w:trHeight w:val="230"/>
        </w:trPr>
        <w:tc>
          <w:tcPr>
            <w:tcW w:w="1160" w:type="dxa"/>
            <w:vAlign w:val="bottom"/>
          </w:tcPr>
          <w:p>
            <w:pPr>
              <w:spacing w:after="0"/>
              <w:rPr>
                <w:sz w:val="20"/>
                <w:szCs w:val="20"/>
                <w:color w:val="auto"/>
              </w:rPr>
            </w:pP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rPr>
              <w:t>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w w:val="94"/>
              </w:rPr>
              <w:t>Amendment No. 2 to the Credit Agreement dated February 18, 2009 (execution copy) (filed as Exhibit 10.2 to the Company’s Quarterly</w:t>
            </w:r>
          </w:p>
        </w:tc>
      </w:tr>
      <w:tr>
        <w:trPr>
          <w:trHeight w:val="230"/>
        </w:trPr>
        <w:tc>
          <w:tcPr>
            <w:tcW w:w="1160" w:type="dxa"/>
            <w:vAlign w:val="bottom"/>
          </w:tcPr>
          <w:p>
            <w:pPr>
              <w:spacing w:after="0"/>
              <w:rPr>
                <w:sz w:val="20"/>
                <w:szCs w:val="20"/>
                <w:color w:val="auto"/>
              </w:rPr>
            </w:pP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rPr>
              <w:t>Report on Form 10-Q filed on May 8, 2009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w w:val="93"/>
              </w:rPr>
              <w:t>2006 Stock Incentive Plan, as amended (filed as Exhibit 10.3 to the Company’s Quarterly Report on Form 10-Q filed on May 8, 2009 and</w:t>
            </w:r>
          </w:p>
        </w:tc>
      </w:tr>
      <w:tr>
        <w:trPr>
          <w:trHeight w:val="230"/>
        </w:trPr>
        <w:tc>
          <w:tcPr>
            <w:tcW w:w="1160" w:type="dxa"/>
            <w:vAlign w:val="bottom"/>
          </w:tcPr>
          <w:p>
            <w:pPr>
              <w:spacing w:after="0"/>
              <w:rPr>
                <w:sz w:val="20"/>
                <w:szCs w:val="20"/>
                <w:color w:val="auto"/>
              </w:rPr>
            </w:pP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rPr>
              <w:t>incorporated by reference herein)</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10280" w:type="dxa"/>
            <w:vAlign w:val="bottom"/>
            <w:gridSpan w:val="4"/>
          </w:tcPr>
          <w:p>
            <w:pPr>
              <w:ind w:left="100"/>
              <w:spacing w:after="0"/>
              <w:rPr>
                <w:sz w:val="20"/>
                <w:szCs w:val="20"/>
                <w:color w:val="auto"/>
              </w:rPr>
            </w:pPr>
            <w:r>
              <w:rPr>
                <w:rFonts w:ascii="Arial" w:cs="Arial" w:eastAsia="Arial" w:hAnsi="Arial"/>
                <w:sz w:val="18"/>
                <w:szCs w:val="18"/>
                <w:color w:val="auto"/>
              </w:rPr>
              <w:t>Computation of Ratio of Earnings to Fixed Charges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0"/>
              </w:rPr>
              <w:t>Section 302</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0"/>
              </w:rPr>
              <w:t>Section 302</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0"/>
              </w:rPr>
              <w:t>Section 906</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0"/>
              </w:rPr>
              <w:t>Section 906</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J. BROWN</w:t>
            </w:r>
          </w:p>
        </w:tc>
      </w:tr>
      <w:tr>
        <w:trPr>
          <w:trHeight w:val="209"/>
        </w:trPr>
        <w:tc>
          <w:tcPr>
            <w:tcW w:w="3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Michael J. Brown</w:t>
            </w:r>
          </w:p>
        </w:tc>
      </w:tr>
      <w:tr>
        <w:trPr>
          <w:trHeight w:val="230"/>
        </w:trPr>
        <w:tc>
          <w:tcPr>
            <w:tcW w:w="3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09"/>
        </w:trPr>
        <w:tc>
          <w:tcPr>
            <w:tcW w:w="3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30"/>
        </w:trPr>
        <w:tc>
          <w:tcPr>
            <w:tcW w:w="3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419" w:right="3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4"/>
          </w:tcPr>
          <w:p>
            <w:pPr>
              <w:ind w:left="28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8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rPr>
              <w:t>EURONET WORLDWIDE, INC.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10"/>
          </w:tcPr>
          <w:p>
            <w:pPr>
              <w:jc w:val="center"/>
              <w:ind w:left="203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8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2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6"/>
              </w:rPr>
              <w:t>Pretax income from continuing operations before adjustment for income from</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unconsolidated subsidiaries</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21,756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14,662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Add:</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10,292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16,229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Dividends received</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Adjusted pretax income</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30,180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19,079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31,365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32,578</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2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13,720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1,297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2,509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fixed charges</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10,292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16,229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21,220</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17"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17"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2009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2009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5"/>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3"/>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2019-12-10T15:16:37Z</dcterms:created>
  <dcterms:modified xsi:type="dcterms:W3CDTF">2019-12-10T15:16:37Z</dcterms:modified>
</cp:coreProperties>
</file>