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jc w:val="center"/>
        <w:rPr>
          <w:sz w:val="20"/>
        </w:rPr>
      </w:pPr>
      <w:bookmarkStart w:id="0" w:name="MainDocument.htm"/>
      <w:bookmarkStart w:id="1" w:name="ksMainDocument"/>
      <w:bookmarkEnd w:id="0"/>
      <w:bookmarkEnd w:id="1"/>
      <w:r>
        <w:rPr>
          <w:sz w:val="20"/>
        </w:rPr>
        <w:t>As filed with the Securities and Exchange Commission on August 4, 2026.</w:t>
      </w:r>
    </w:p>
    <w:p>
      <w:pPr>
        <w:pStyle w:val="TextBody"/>
        <w:shd w:fill="FFFFFF" w:val="clear"/>
        <w:bidi w:val="0"/>
        <w:spacing w:before="0" w:after="0"/>
        <w:jc w:val="right"/>
        <w:rPr>
          <w:sz w:val="20"/>
        </w:rPr>
      </w:pPr>
      <w:r>
        <w:rPr>
          <w:sz w:val="20"/>
        </w:rPr>
        <w:t>Registration No. 333-_____</w:t>
      </w:r>
    </w:p>
    <w:p>
      <w:pPr>
        <w:pStyle w:val="TextBody"/>
        <w:shd w:fill="FFFFFF" w:val="clear"/>
        <w:bidi w:val="0"/>
        <w:spacing w:before="0" w:after="0"/>
        <w:jc w:val="center"/>
        <w:rPr/>
      </w:pPr>
      <w:r>
        <w:rPr/>
        <w:t> </w:t>
      </w:r>
    </w:p>
    <w:p>
      <w:pPr>
        <w:pStyle w:val="TextBody"/>
        <w:shd w:fill="FFFFFF" w:val="clear"/>
        <w:bidi w:val="0"/>
        <w:spacing w:before="0" w:after="0"/>
        <w:jc w:val="center"/>
        <w:rPr>
          <w:b/>
          <w:sz w:val="32"/>
        </w:rPr>
      </w:pPr>
      <w:r>
        <w:rPr>
          <w:b/>
          <w:sz w:val="32"/>
        </w:rPr>
        <w:t>UNITED STATES</w:t>
      </w:r>
    </w:p>
    <w:p>
      <w:pPr>
        <w:pStyle w:val="TextBody"/>
        <w:shd w:fill="FFFFFF" w:val="clear"/>
        <w:bidi w:val="0"/>
        <w:spacing w:before="0" w:after="0"/>
        <w:jc w:val="center"/>
        <w:rPr>
          <w:b/>
          <w:sz w:val="32"/>
        </w:rPr>
      </w:pPr>
      <w:r>
        <w:rPr>
          <w:b/>
          <w:sz w:val="32"/>
        </w:rPr>
        <w:t>SECURITIES AND EXCHANGE COMMISSION</w:t>
      </w:r>
    </w:p>
    <w:p>
      <w:pPr>
        <w:pStyle w:val="TextBody"/>
        <w:shd w:fill="FFFFFF" w:val="clear"/>
        <w:bidi w:val="0"/>
        <w:spacing w:before="0" w:after="0"/>
        <w:jc w:val="center"/>
        <w:rPr>
          <w:b/>
          <w:sz w:val="20"/>
        </w:rPr>
      </w:pPr>
      <w:r>
        <w:rPr>
          <w:b/>
          <w:sz w:val="20"/>
        </w:rPr>
        <w:t>Washington, D.C. 20549</w:t>
      </w:r>
    </w:p>
    <w:p>
      <w:pPr>
        <w:pStyle w:val="TextBody"/>
        <w:shd w:fill="FFFFFF" w:val="clear"/>
        <w:bidi w:val="0"/>
        <w:spacing w:before="0" w:after="0"/>
        <w:jc w:val="center"/>
        <w:rPr/>
      </w:pPr>
      <w:r>
        <w:rPr/>
        <w:t>    </w:t>
      </w:r>
      <w:r>
        <w:rPr/>
        <w:t>_______________________________</w:t>
      </w:r>
    </w:p>
    <w:p>
      <w:pPr>
        <w:pStyle w:val="TextBody"/>
        <w:shd w:fill="FFFFFF" w:val="clear"/>
        <w:bidi w:val="0"/>
        <w:spacing w:before="0" w:after="0"/>
        <w:jc w:val="center"/>
        <w:rPr>
          <w:sz w:val="32"/>
        </w:rPr>
      </w:pPr>
      <w:r>
        <w:rPr>
          <w:b/>
          <w:sz w:val="32"/>
        </w:rPr>
        <w:t>Form</w:t>
      </w:r>
      <w:r>
        <w:rPr>
          <w:sz w:val="32"/>
        </w:rPr>
        <w:t> </w:t>
      </w:r>
      <w:r>
        <w:rPr>
          <w:b/>
          <w:sz w:val="32"/>
        </w:rPr>
        <w:t>S-8</w:t>
      </w:r>
    </w:p>
    <w:p>
      <w:pPr>
        <w:pStyle w:val="TextBody"/>
        <w:shd w:fill="FFFFFF" w:val="clear"/>
        <w:bidi w:val="0"/>
        <w:spacing w:before="0" w:after="0"/>
        <w:jc w:val="center"/>
        <w:rPr>
          <w:sz w:val="32"/>
        </w:rPr>
      </w:pPr>
      <w:r>
        <w:rPr>
          <w:b/>
          <w:sz w:val="32"/>
        </w:rPr>
        <w:t>REGISTRATION STATEMENT</w:t>
      </w:r>
      <w:r>
        <w:rPr>
          <w:sz w:val="32"/>
        </w:rPr>
        <w:t> </w:t>
      </w:r>
    </w:p>
    <w:p>
      <w:pPr>
        <w:pStyle w:val="TextBody"/>
        <w:shd w:fill="FFFFFF" w:val="clear"/>
        <w:bidi w:val="0"/>
        <w:spacing w:before="0" w:after="0"/>
        <w:jc w:val="center"/>
        <w:rPr>
          <w:b/>
        </w:rPr>
      </w:pPr>
      <w:r>
        <w:rPr>
          <w:b/>
        </w:rPr>
        <w:t>UNDER</w:t>
      </w:r>
    </w:p>
    <w:p>
      <w:pPr>
        <w:pStyle w:val="TextBody"/>
        <w:shd w:fill="FFFFFF" w:val="clear"/>
        <w:bidi w:val="0"/>
        <w:spacing w:before="0" w:after="0"/>
        <w:jc w:val="center"/>
        <w:rPr>
          <w:b/>
        </w:rPr>
      </w:pPr>
      <w:r>
        <w:rPr>
          <w:b/>
        </w:rPr>
        <w:t>THE SECURITIES ACT OF 1933</w:t>
      </w:r>
    </w:p>
    <w:p>
      <w:pPr>
        <w:pStyle w:val="TextBody"/>
        <w:shd w:fill="FFFFFF" w:val="clear"/>
        <w:bidi w:val="0"/>
        <w:spacing w:before="0" w:after="0"/>
        <w:jc w:val="center"/>
        <w:rPr/>
      </w:pPr>
      <w:r>
        <w:rPr/>
        <w:t>_______________________________</w:t>
      </w:r>
    </w:p>
    <w:p>
      <w:pPr>
        <w:pStyle w:val="TextBody"/>
        <w:shd w:fill="FFFFFF" w:val="clear"/>
        <w:bidi w:val="0"/>
        <w:spacing w:before="0" w:after="0"/>
        <w:jc w:val="center"/>
        <w:rPr/>
      </w:pPr>
      <w:r>
        <w:rPr/>
        <w:t> </w:t>
      </w:r>
    </w:p>
    <w:p>
      <w:pPr>
        <w:pStyle w:val="TextBody"/>
        <w:shd w:fill="FFFFFF" w:val="clear"/>
        <w:bidi w:val="0"/>
        <w:spacing w:before="0" w:after="0"/>
        <w:jc w:val="center"/>
        <w:rPr>
          <w:b/>
          <w:sz w:val="40"/>
        </w:rPr>
      </w:pPr>
      <w:r>
        <w:rPr>
          <w:b/>
          <w:sz w:val="40"/>
        </w:rPr>
        <w:t>EURONET WORLDWIDE, INC.</w:t>
      </w:r>
    </w:p>
    <w:p>
      <w:pPr>
        <w:pStyle w:val="TextBody"/>
        <w:shd w:fill="FFFFFF" w:val="clear"/>
        <w:bidi w:val="0"/>
        <w:spacing w:before="0" w:after="0"/>
        <w:jc w:val="center"/>
        <w:rPr>
          <w:sz w:val="20"/>
        </w:rPr>
      </w:pPr>
      <w:r>
        <w:rPr>
          <w:sz w:val="20"/>
        </w:rPr>
        <w:t>(Exact name of registrant as specified in its charter)</w:t>
      </w:r>
    </w:p>
    <w:p>
      <w:pPr>
        <w:pStyle w:val="TextBody"/>
        <w:shd w:fill="FFFFFF" w:val="clear"/>
        <w:bidi w:val="0"/>
        <w:spacing w:lineRule="atLeast" w:line="288" w:before="0" w:after="0"/>
        <w:jc w:val="center"/>
        <w:rPr/>
      </w:pPr>
      <w:r>
        <w:rPr/>
        <w:t>_______________________________</w:t>
      </w:r>
    </w:p>
    <w:p>
      <w:pPr>
        <w:pStyle w:val="TextBody"/>
        <w:shd w:fill="FFFFFF" w:val="clear"/>
        <w:bidi w:val="0"/>
        <w:spacing w:lineRule="atLeast" w:line="288" w:before="0" w:after="0"/>
        <w:jc w:val="center"/>
        <w:rPr/>
      </w:pPr>
      <w:r>
        <w:rPr/>
        <w:t> </w:t>
      </w:r>
    </w:p>
    <w:tbl>
      <w:tblPr>
        <w:tblW w:w="7975" w:type="dxa"/>
        <w:jc w:val="left"/>
        <w:tblInd w:w="0" w:type="dxa"/>
        <w:tblLayout w:type="fixed"/>
        <w:tblCellMar>
          <w:top w:w="0" w:type="dxa"/>
          <w:left w:w="0" w:type="dxa"/>
          <w:bottom w:w="0" w:type="dxa"/>
          <w:right w:w="0" w:type="dxa"/>
        </w:tblCellMar>
      </w:tblPr>
      <w:tblGrid>
        <w:gridCol w:w="4910"/>
        <w:gridCol w:w="90"/>
        <w:gridCol w:w="2975"/>
      </w:tblGrid>
      <w:tr>
        <w:trPr/>
        <w:tc>
          <w:tcPr>
            <w:tcW w:w="4910" w:type="dxa"/>
            <w:tcBorders/>
            <w:vAlign w:val="center"/>
          </w:tcPr>
          <w:p>
            <w:pPr>
              <w:pStyle w:val="TableContents"/>
              <w:bidi w:val="0"/>
              <w:spacing w:before="0" w:after="0"/>
              <w:jc w:val="center"/>
              <w:rPr>
                <w:b/>
                <w:sz w:val="20"/>
              </w:rPr>
            </w:pPr>
            <w:r>
              <w:rPr>
                <w:b/>
                <w:sz w:val="20"/>
              </w:rPr>
              <w:t>Delaware</w:t>
            </w:r>
          </w:p>
        </w:tc>
        <w:tc>
          <w:tcPr>
            <w:tcW w:w="9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center"/>
              <w:rPr>
                <w:b/>
                <w:sz w:val="20"/>
              </w:rPr>
            </w:pPr>
            <w:r>
              <w:rPr>
                <w:b/>
                <w:sz w:val="20"/>
              </w:rPr>
              <w:t>74-2806888</w:t>
            </w:r>
          </w:p>
        </w:tc>
      </w:tr>
      <w:tr>
        <w:trPr/>
        <w:tc>
          <w:tcPr>
            <w:tcW w:w="4910" w:type="dxa"/>
            <w:tcBorders/>
            <w:vAlign w:val="center"/>
          </w:tcPr>
          <w:p>
            <w:pPr>
              <w:pStyle w:val="TableContents"/>
              <w:bidi w:val="0"/>
              <w:spacing w:before="0" w:after="0"/>
              <w:jc w:val="center"/>
              <w:rPr>
                <w:sz w:val="20"/>
              </w:rPr>
            </w:pPr>
            <w:r>
              <w:rPr>
                <w:sz w:val="20"/>
              </w:rPr>
              <w:t>(State or other jurisdiction of incorporation or organization)</w:t>
            </w:r>
          </w:p>
        </w:tc>
        <w:tc>
          <w:tcPr>
            <w:tcW w:w="9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center"/>
              <w:rPr>
                <w:sz w:val="20"/>
              </w:rPr>
            </w:pPr>
            <w:r>
              <w:rPr>
                <w:sz w:val="20"/>
              </w:rPr>
              <w:t>(I.R.S. Employer Identification No.)</w:t>
            </w:r>
          </w:p>
        </w:tc>
      </w:tr>
      <w:tr>
        <w:trPr/>
        <w:tc>
          <w:tcPr>
            <w:tcW w:w="491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pPr>
            <w:r>
              <w:rPr/>
              <w:t> </w:t>
            </w:r>
          </w:p>
        </w:tc>
      </w:tr>
      <w:tr>
        <w:trPr/>
        <w:tc>
          <w:tcPr>
            <w:tcW w:w="4910" w:type="dxa"/>
            <w:tcBorders/>
            <w:vAlign w:val="center"/>
          </w:tcPr>
          <w:p>
            <w:pPr>
              <w:pStyle w:val="TableContents"/>
              <w:shd w:fill="FFFFFF" w:val="clear"/>
              <w:bidi w:val="0"/>
              <w:spacing w:before="0" w:after="0"/>
              <w:jc w:val="center"/>
              <w:rPr>
                <w:b/>
                <w:sz w:val="20"/>
              </w:rPr>
            </w:pPr>
            <w:r>
              <w:rPr>
                <w:b/>
                <w:sz w:val="20"/>
              </w:rPr>
              <w:t>11400 Tomahawk Creek Parkway, Suite 300</w:t>
            </w:r>
          </w:p>
          <w:p>
            <w:pPr>
              <w:pStyle w:val="TableContents"/>
              <w:shd w:fill="FFFFFF" w:val="clear"/>
              <w:bidi w:val="0"/>
              <w:spacing w:before="0" w:after="0"/>
              <w:jc w:val="center"/>
              <w:rPr>
                <w:b/>
                <w:sz w:val="20"/>
              </w:rPr>
            </w:pPr>
            <w:r>
              <w:rPr>
                <w:b/>
                <w:sz w:val="20"/>
              </w:rPr>
              <w:t>Leawood, Kansas</w:t>
            </w:r>
          </w:p>
          <w:p>
            <w:pPr>
              <w:pStyle w:val="TableContents"/>
              <w:shd w:fill="FFFFFF" w:val="clear"/>
              <w:bidi w:val="0"/>
              <w:spacing w:before="0" w:after="0"/>
              <w:jc w:val="center"/>
              <w:rPr>
                <w:sz w:val="20"/>
              </w:rPr>
            </w:pPr>
            <w:r>
              <w:rPr>
                <w:sz w:val="20"/>
              </w:rPr>
              <w:t>(Address of principal executive offices)</w:t>
            </w:r>
          </w:p>
        </w:tc>
        <w:tc>
          <w:tcPr>
            <w:tcW w:w="90" w:type="dxa"/>
            <w:tcBorders/>
            <w:vAlign w:val="center"/>
          </w:tcPr>
          <w:p>
            <w:pPr>
              <w:pStyle w:val="TableContents"/>
              <w:bidi w:val="0"/>
              <w:spacing w:before="0" w:after="0"/>
              <w:jc w:val="left"/>
              <w:rPr/>
            </w:pPr>
            <w:r>
              <w:rPr/>
              <w:t> </w:t>
            </w:r>
          </w:p>
        </w:tc>
        <w:tc>
          <w:tcPr>
            <w:tcW w:w="2975" w:type="dxa"/>
            <w:tcBorders/>
            <w:vAlign w:val="center"/>
          </w:tcPr>
          <w:p>
            <w:pPr>
              <w:pStyle w:val="TableContents"/>
              <w:shd w:fill="FFFFFF" w:val="clear"/>
              <w:bidi w:val="0"/>
              <w:spacing w:before="0" w:after="0"/>
              <w:jc w:val="center"/>
              <w:rPr>
                <w:b/>
                <w:sz w:val="20"/>
              </w:rPr>
            </w:pPr>
            <w:r>
              <w:rPr>
                <w:b/>
                <w:sz w:val="20"/>
              </w:rPr>
              <w:t>66211</w:t>
            </w:r>
          </w:p>
          <w:p>
            <w:pPr>
              <w:pStyle w:val="TableContents"/>
              <w:shd w:fill="FFFFFF" w:val="clear"/>
              <w:bidi w:val="0"/>
              <w:spacing w:before="0" w:after="0"/>
              <w:jc w:val="center"/>
              <w:rPr>
                <w:sz w:val="20"/>
              </w:rPr>
            </w:pPr>
            <w:r>
              <w:rPr>
                <w:sz w:val="20"/>
              </w:rPr>
              <w:t>(Zip Code) </w:t>
            </w:r>
          </w:p>
        </w:tc>
      </w:tr>
    </w:tbl>
    <w:p>
      <w:pPr>
        <w:pStyle w:val="TextBody"/>
        <w:shd w:fill="FFFFFF" w:val="clear"/>
        <w:bidi w:val="0"/>
        <w:spacing w:lineRule="atLeast" w:line="264" w:before="0" w:after="0"/>
        <w:jc w:val="center"/>
        <w:rPr/>
      </w:pPr>
      <w:r>
        <w:rPr/>
        <w:t> </w:t>
      </w:r>
    </w:p>
    <w:p>
      <w:pPr>
        <w:pStyle w:val="TextBody"/>
        <w:shd w:fill="FFFFFF" w:val="clear"/>
        <w:bidi w:val="0"/>
        <w:spacing w:before="0" w:after="0"/>
        <w:jc w:val="center"/>
        <w:rPr>
          <w:b/>
        </w:rPr>
      </w:pPr>
      <w:r>
        <w:rPr>
          <w:b/>
        </w:rPr>
        <w:t>EURONET WORLDWIDE, INC. 2006 STOCK INCENTIVE PLAN,</w:t>
      </w:r>
    </w:p>
    <w:p>
      <w:pPr>
        <w:pStyle w:val="TextBody"/>
        <w:shd w:fill="FFFFFF" w:val="clear"/>
        <w:bidi w:val="0"/>
        <w:spacing w:before="0" w:after="0"/>
        <w:jc w:val="center"/>
        <w:rPr>
          <w:b/>
        </w:rPr>
      </w:pPr>
      <w:r>
        <w:rPr>
          <w:b/>
        </w:rPr>
        <w:t>AMENDED AND RESTATED</w:t>
      </w:r>
    </w:p>
    <w:p>
      <w:pPr>
        <w:pStyle w:val="TextBody"/>
        <w:shd w:fill="FFFFFF" w:val="clear"/>
        <w:bidi w:val="0"/>
        <w:spacing w:before="0" w:after="0"/>
        <w:jc w:val="center"/>
        <w:rPr>
          <w:sz w:val="20"/>
          <w:shd w:fill="FFFFFF" w:val="clear"/>
        </w:rPr>
      </w:pPr>
      <w:r>
        <w:rPr>
          <w:sz w:val="20"/>
          <w:shd w:fill="FFFFFF" w:val="clear"/>
        </w:rPr>
        <w:t>(Full title of the plan)</w:t>
      </w:r>
    </w:p>
    <w:p>
      <w:pPr>
        <w:pStyle w:val="TextBody"/>
        <w:shd w:fill="FFFFFF" w:val="clear"/>
        <w:bidi w:val="0"/>
        <w:spacing w:before="0" w:after="0"/>
        <w:jc w:val="center"/>
        <w:rPr/>
      </w:pPr>
      <w:r>
        <w:rPr/>
        <w:t> </w:t>
      </w:r>
    </w:p>
    <w:p>
      <w:pPr>
        <w:pStyle w:val="TextBody"/>
        <w:shd w:fill="FFFFFF" w:val="clear"/>
        <w:bidi w:val="0"/>
        <w:spacing w:before="0" w:after="0"/>
        <w:jc w:val="center"/>
        <w:rPr>
          <w:b/>
          <w:sz w:val="20"/>
        </w:rPr>
      </w:pPr>
      <w:r>
        <w:rPr>
          <w:b/>
          <w:sz w:val="20"/>
        </w:rPr>
        <w:t>Michael J. Brown</w:t>
      </w:r>
    </w:p>
    <w:p>
      <w:pPr>
        <w:pStyle w:val="TextBody"/>
        <w:shd w:fill="FFFFFF" w:val="clear"/>
        <w:bidi w:val="0"/>
        <w:spacing w:before="0" w:after="0"/>
        <w:jc w:val="center"/>
        <w:rPr>
          <w:b/>
          <w:sz w:val="20"/>
        </w:rPr>
      </w:pPr>
      <w:r>
        <w:rPr>
          <w:b/>
          <w:sz w:val="20"/>
        </w:rPr>
        <w:t>Chairman and Chief Executive Officer</w:t>
      </w:r>
    </w:p>
    <w:p>
      <w:pPr>
        <w:pStyle w:val="TextBody"/>
        <w:shd w:fill="FFFFFF" w:val="clear"/>
        <w:bidi w:val="0"/>
        <w:spacing w:before="0" w:after="0"/>
        <w:jc w:val="center"/>
        <w:rPr>
          <w:sz w:val="20"/>
        </w:rPr>
      </w:pPr>
      <w:r>
        <w:rPr>
          <w:b/>
          <w:sz w:val="20"/>
        </w:rPr>
        <w:t>Euronet</w:t>
      </w:r>
      <w:r>
        <w:rPr>
          <w:sz w:val="20"/>
        </w:rPr>
        <w:t> </w:t>
      </w:r>
      <w:r>
        <w:rPr>
          <w:b/>
          <w:sz w:val="20"/>
        </w:rPr>
        <w:t>Worldwide, Inc.</w:t>
      </w:r>
    </w:p>
    <w:p>
      <w:pPr>
        <w:pStyle w:val="TextBody"/>
        <w:shd w:fill="FFFFFF" w:val="clear"/>
        <w:bidi w:val="0"/>
        <w:spacing w:before="0" w:after="0"/>
        <w:jc w:val="center"/>
        <w:rPr>
          <w:b/>
          <w:sz w:val="20"/>
        </w:rPr>
      </w:pPr>
      <w:r>
        <w:rPr>
          <w:b/>
          <w:sz w:val="20"/>
        </w:rPr>
        <w:t>11400 Tomahawk Creek Parkway, Suite 300</w:t>
      </w:r>
    </w:p>
    <w:p>
      <w:pPr>
        <w:pStyle w:val="TextBody"/>
        <w:shd w:fill="FFFFFF" w:val="clear"/>
        <w:bidi w:val="0"/>
        <w:spacing w:before="0" w:after="0"/>
        <w:jc w:val="center"/>
        <w:rPr>
          <w:sz w:val="20"/>
        </w:rPr>
      </w:pPr>
      <w:r>
        <w:rPr>
          <w:b/>
          <w:sz w:val="20"/>
        </w:rPr>
        <w:t>Leawood, Kansas 66211</w:t>
      </w:r>
      <w:r>
        <w:rPr>
          <w:sz w:val="20"/>
        </w:rPr>
        <w:br/>
        <w:t>(Name and address of agent for service)</w:t>
        <w:br/>
      </w:r>
      <w:r>
        <w:rPr>
          <w:b/>
          <w:sz w:val="20"/>
        </w:rPr>
        <w:t>(913) 327-4200</w:t>
      </w:r>
    </w:p>
    <w:p>
      <w:pPr>
        <w:pStyle w:val="TextBody"/>
        <w:shd w:fill="FFFFFF" w:val="clear"/>
        <w:bidi w:val="0"/>
        <w:spacing w:before="0" w:after="0"/>
        <w:jc w:val="center"/>
        <w:rPr>
          <w:sz w:val="20"/>
          <w:shd w:fill="FFFFFF" w:val="clear"/>
        </w:rPr>
      </w:pPr>
      <w:r>
        <w:rPr>
          <w:sz w:val="20"/>
          <w:shd w:fill="FFFFFF" w:val="clear"/>
        </w:rPr>
        <w:t>(Telephone number, including area code, of agent for service)</w:t>
      </w:r>
    </w:p>
    <w:p>
      <w:pPr>
        <w:pStyle w:val="TextBody"/>
        <w:shd w:fill="FFFFFF" w:val="clear"/>
        <w:bidi w:val="0"/>
        <w:spacing w:before="0" w:after="0"/>
        <w:jc w:val="center"/>
        <w:rPr>
          <w:sz w:val="20"/>
          <w:shd w:fill="FFFFFF" w:val="clear"/>
        </w:rPr>
      </w:pPr>
      <w:r>
        <w:rPr>
          <w:sz w:val="20"/>
          <w:shd w:fill="FFFFFF" w:val="clear"/>
        </w:rPr>
        <w:t>Copies to:</w:t>
      </w:r>
    </w:p>
    <w:tbl>
      <w:tblPr>
        <w:tblW w:w="6445" w:type="dxa"/>
        <w:jc w:val="left"/>
        <w:tblInd w:w="0" w:type="dxa"/>
        <w:tblLayout w:type="fixed"/>
        <w:tblCellMar>
          <w:top w:w="0" w:type="dxa"/>
          <w:left w:w="0" w:type="dxa"/>
          <w:bottom w:w="0" w:type="dxa"/>
          <w:right w:w="0" w:type="dxa"/>
        </w:tblCellMar>
      </w:tblPr>
      <w:tblGrid>
        <w:gridCol w:w="3830"/>
        <w:gridCol w:w="90"/>
        <w:gridCol w:w="2525"/>
      </w:tblGrid>
      <w:tr>
        <w:trPr/>
        <w:tc>
          <w:tcPr>
            <w:tcW w:w="3830" w:type="dxa"/>
            <w:tcBorders/>
            <w:vAlign w:val="center"/>
          </w:tcPr>
          <w:p>
            <w:pPr>
              <w:pStyle w:val="TableContents"/>
              <w:bidi w:val="0"/>
              <w:spacing w:before="0" w:after="0"/>
              <w:ind w:left="2" w:right="0" w:hanging="0"/>
              <w:jc w:val="center"/>
              <w:rPr>
                <w:sz w:val="20"/>
              </w:rPr>
            </w:pPr>
            <w:r>
              <w:rPr>
                <w:b/>
                <w:sz w:val="20"/>
              </w:rPr>
              <w:t xml:space="preserve">Brian Kimzey </w:t>
            </w:r>
            <w:r>
              <w:rPr>
                <w:sz w:val="20"/>
              </w:rPr>
              <w:br/>
            </w:r>
            <w:r>
              <w:rPr>
                <w:b/>
                <w:sz w:val="20"/>
              </w:rPr>
              <w:t>Acting General Counsel and Secretary</w:t>
            </w:r>
            <w:r>
              <w:rPr>
                <w:sz w:val="20"/>
              </w:rPr>
              <w:br/>
            </w:r>
            <w:r>
              <w:rPr>
                <w:b/>
                <w:sz w:val="20"/>
              </w:rPr>
              <w:t>Euronet</w:t>
            </w:r>
            <w:r>
              <w:rPr>
                <w:sz w:val="20"/>
              </w:rPr>
              <w:t> </w:t>
            </w:r>
            <w:r>
              <w:rPr>
                <w:b/>
                <w:sz w:val="20"/>
              </w:rPr>
              <w:t>Worldwide, Inc.</w:t>
            </w:r>
            <w:r>
              <w:rPr>
                <w:sz w:val="20"/>
              </w:rPr>
              <w:br/>
            </w:r>
            <w:r>
              <w:rPr>
                <w:b/>
                <w:sz w:val="20"/>
              </w:rPr>
              <w:t>11400 Tomahawk Creek Parkway, Suite 300</w:t>
            </w:r>
            <w:r>
              <w:rPr>
                <w:sz w:val="20"/>
              </w:rPr>
              <w:br/>
            </w:r>
            <w:r>
              <w:rPr>
                <w:b/>
                <w:sz w:val="20"/>
              </w:rPr>
              <w:t>Leawood, Kansas 66211</w:t>
            </w:r>
            <w:r>
              <w:rPr>
                <w:sz w:val="20"/>
              </w:rPr>
              <w:br/>
            </w:r>
            <w:r>
              <w:rPr>
                <w:b/>
                <w:sz w:val="20"/>
              </w:rPr>
              <w:t>(913) 327-4200</w:t>
            </w:r>
          </w:p>
        </w:tc>
        <w:tc>
          <w:tcPr>
            <w:tcW w:w="9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0"/>
              <w:jc w:val="center"/>
              <w:rPr>
                <w:sz w:val="20"/>
              </w:rPr>
            </w:pPr>
            <w:r>
              <w:rPr>
                <w:b/>
                <w:sz w:val="20"/>
              </w:rPr>
              <w:t>Patrick Respeliers, Esq.</w:t>
            </w:r>
            <w:r>
              <w:rPr>
                <w:sz w:val="20"/>
              </w:rPr>
              <w:br/>
            </w:r>
            <w:r>
              <w:rPr>
                <w:b/>
                <w:sz w:val="20"/>
              </w:rPr>
              <w:t>Stinson LLP</w:t>
            </w:r>
            <w:r>
              <w:rPr>
                <w:sz w:val="20"/>
              </w:rPr>
              <w:br/>
            </w:r>
            <w:r>
              <w:rPr>
                <w:b/>
                <w:sz w:val="20"/>
              </w:rPr>
              <w:t>1201 Walnut, Suite 2900</w:t>
            </w:r>
            <w:r>
              <w:rPr>
                <w:sz w:val="20"/>
              </w:rPr>
              <w:br/>
            </w:r>
            <w:r>
              <w:rPr>
                <w:b/>
                <w:sz w:val="20"/>
              </w:rPr>
              <w:t>Kansas City, Missouri 64106</w:t>
            </w:r>
            <w:r>
              <w:rPr>
                <w:sz w:val="20"/>
              </w:rPr>
              <w:br/>
            </w:r>
            <w:r>
              <w:rPr>
                <w:b/>
                <w:sz w:val="20"/>
              </w:rPr>
              <w:t>(816) 842-8600</w:t>
            </w:r>
          </w:p>
        </w:tc>
      </w:tr>
    </w:tbl>
    <w:p>
      <w:pPr>
        <w:pStyle w:val="TextBody"/>
        <w:shd w:fill="FFFFFF" w:val="clear"/>
        <w:bidi w:val="0"/>
        <w:spacing w:lineRule="atLeast" w:line="264" w:before="0" w:after="0"/>
        <w:jc w:val="center"/>
        <w:rPr/>
      </w:pPr>
      <w:r>
        <w:rPr/>
        <w:t> </w:t>
      </w:r>
    </w:p>
    <w:p>
      <w:pPr>
        <w:pStyle w:val="TextBody"/>
        <w:shd w:fill="FFFFFF" w:val="clear"/>
        <w:bidi w:val="0"/>
        <w:spacing w:lineRule="atLeast" w:line="264" w:before="0" w:after="0"/>
        <w:jc w:val="left"/>
        <w:rPr/>
      </w:pPr>
      <w:r>
        <w:rPr/>
        <w:t> </w:t>
      </w:r>
    </w:p>
    <w:p>
      <w:pPr>
        <w:pStyle w:val="TextBody"/>
        <w:shd w:fill="FFFFFF" w:val="clear"/>
        <w:bidi w:val="0"/>
        <w:spacing w:lineRule="atLeast" w:line="264" w:before="0" w:after="0"/>
        <w:jc w:val="left"/>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w:t>
      </w:r>
      <w:r>
        <w:rPr/>
        <w:t> </w:t>
      </w:r>
      <w:r>
        <w:rPr>
          <w:sz w:val="20"/>
        </w:rPr>
        <w:t>12b-2</w:t>
      </w:r>
      <w:r>
        <w:rPr/>
        <w:t> </w:t>
      </w:r>
      <w:r>
        <w:rPr>
          <w:sz w:val="20"/>
        </w:rPr>
        <w:t>of the Exchange Act.</w:t>
      </w:r>
      <w:r>
        <w:rPr/>
        <w:t xml:space="preserve">  </w:t>
      </w:r>
    </w:p>
    <w:tbl>
      <w:tblPr>
        <w:tblW w:w="4640" w:type="dxa"/>
        <w:jc w:val="left"/>
        <w:tblInd w:w="0" w:type="dxa"/>
        <w:tblLayout w:type="fixed"/>
        <w:tblCellMar>
          <w:top w:w="0" w:type="dxa"/>
          <w:left w:w="0" w:type="dxa"/>
          <w:bottom w:w="0" w:type="dxa"/>
          <w:right w:w="0" w:type="dxa"/>
        </w:tblCellMar>
      </w:tblPr>
      <w:tblGrid>
        <w:gridCol w:w="1880"/>
        <w:gridCol w:w="230"/>
        <w:gridCol w:w="60"/>
        <w:gridCol w:w="2225"/>
        <w:gridCol w:w="245"/>
      </w:tblGrid>
      <w:tr>
        <w:trPr/>
        <w:tc>
          <w:tcPr>
            <w:tcW w:w="1880" w:type="dxa"/>
            <w:tcBorders/>
            <w:vAlign w:val="center"/>
          </w:tcPr>
          <w:p>
            <w:pPr>
              <w:pStyle w:val="TableContents"/>
              <w:bidi w:val="0"/>
              <w:spacing w:before="0" w:after="0"/>
              <w:jc w:val="left"/>
              <w:rPr>
                <w:sz w:val="20"/>
              </w:rPr>
            </w:pPr>
            <w:r>
              <w:rPr>
                <w:sz w:val="20"/>
              </w:rPr>
              <w:t>Large accelerated filer </w:t>
            </w:r>
          </w:p>
        </w:tc>
        <w:tc>
          <w:tcPr>
            <w:tcW w:w="230" w:type="dxa"/>
            <w:tcBorders/>
            <w:vAlign w:val="center"/>
          </w:tcPr>
          <w:p>
            <w:pPr>
              <w:pStyle w:val="TableContents"/>
              <w:bidi w:val="0"/>
              <w:spacing w:before="0" w:after="0"/>
              <w:jc w:val="left"/>
              <w:rPr>
                <w:sz w:val="20"/>
              </w:rPr>
            </w:pPr>
            <w:r>
              <w:rPr>
                <w:sz w:val="20"/>
              </w:rPr>
              <w:br/>
              <w:t></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sz w:val="20"/>
              </w:rPr>
            </w:pPr>
            <w:r>
              <w:rPr>
                <w:sz w:val="20"/>
              </w:rPr>
              <w:t>Accelerated filer </w:t>
            </w:r>
          </w:p>
        </w:tc>
        <w:tc>
          <w:tcPr>
            <w:tcW w:w="245" w:type="dxa"/>
            <w:tcBorders/>
            <w:vAlign w:val="center"/>
          </w:tcPr>
          <w:p>
            <w:pPr>
              <w:pStyle w:val="TableContents"/>
              <w:bidi w:val="0"/>
              <w:spacing w:before="0" w:after="0"/>
              <w:jc w:val="left"/>
              <w:rPr/>
            </w:pPr>
            <w:r>
              <w:rPr/>
              <w:t>☐</w:t>
            </w:r>
          </w:p>
        </w:tc>
      </w:tr>
      <w:tr>
        <w:trPr/>
        <w:tc>
          <w:tcPr>
            <w:tcW w:w="1880" w:type="dxa"/>
            <w:tcBorders/>
            <w:vAlign w:val="center"/>
          </w:tcPr>
          <w:p>
            <w:pPr>
              <w:pStyle w:val="TableContents"/>
              <w:bidi w:val="0"/>
              <w:spacing w:before="0" w:after="0"/>
              <w:jc w:val="left"/>
              <w:rPr>
                <w:sz w:val="20"/>
              </w:rPr>
            </w:pPr>
            <w:r>
              <w:rPr>
                <w:sz w:val="20"/>
              </w:rPr>
              <w:t>Non-accelerated filer </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sz w:val="20"/>
              </w:rPr>
            </w:pPr>
            <w:r>
              <w:rPr>
                <w:sz w:val="20"/>
              </w:rPr>
              <w:t>Smaller reporting company</w:t>
            </w:r>
          </w:p>
        </w:tc>
        <w:tc>
          <w:tcPr>
            <w:tcW w:w="245" w:type="dxa"/>
            <w:tcBorders/>
            <w:vAlign w:val="center"/>
          </w:tcPr>
          <w:p>
            <w:pPr>
              <w:pStyle w:val="TableContents"/>
              <w:bidi w:val="0"/>
              <w:spacing w:before="0" w:after="0"/>
              <w:jc w:val="left"/>
              <w:rPr/>
            </w:pPr>
            <w:r>
              <w:rPr/>
              <w:t>☐</w:t>
            </w:r>
          </w:p>
        </w:tc>
      </w:tr>
      <w:tr>
        <w:trPr/>
        <w:tc>
          <w:tcPr>
            <w:tcW w:w="2110" w:type="dxa"/>
            <w:gridSpan w:val="2"/>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sz w:val="20"/>
              </w:rPr>
            </w:pPr>
            <w:r>
              <w:rPr>
                <w:sz w:val="20"/>
              </w:rPr>
              <w:t>Emerging growth company</w:t>
            </w:r>
          </w:p>
        </w:tc>
        <w:tc>
          <w:tcPr>
            <w:tcW w:w="245" w:type="dxa"/>
            <w:tcBorders/>
            <w:vAlign w:val="center"/>
          </w:tcPr>
          <w:p>
            <w:pPr>
              <w:pStyle w:val="TableContents"/>
              <w:bidi w:val="0"/>
              <w:spacing w:before="0" w:after="0"/>
              <w:jc w:val="left"/>
              <w:rPr/>
            </w:pPr>
            <w:r>
              <w:rPr/>
              <w:t>☐</w:t>
            </w:r>
          </w:p>
        </w:tc>
      </w:tr>
    </w:tbl>
    <w:p>
      <w:pPr>
        <w:pStyle w:val="TextBody"/>
        <w:shd w:fill="FFFFFF" w:val="clear"/>
        <w:bidi w:val="0"/>
        <w:spacing w:before="280" w:after="280"/>
        <w:jc w:val="left"/>
        <w:rPr/>
      </w:pPr>
      <w:r>
        <w:rPr/>
        <w:t> </w:t>
      </w:r>
    </w:p>
    <w:p>
      <w:pPr>
        <w:pStyle w:val="TextBody"/>
        <w:shd w:fill="FFFFFF" w:val="clear"/>
        <w:bidi w:val="0"/>
        <w:spacing w:before="280" w:after="28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TextBody"/>
        <w:bidi w:val="0"/>
        <w:spacing w:before="0" w:after="0"/>
        <w:jc w:val="center"/>
        <w:rPr>
          <w:b/>
          <w:sz w:val="20"/>
        </w:rPr>
      </w:pPr>
      <w:r>
        <w:rPr>
          <w:b/>
          <w:sz w:val="20"/>
        </w:rPr>
        <w:t>PART I</w:t>
      </w:r>
    </w:p>
    <w:p>
      <w:pPr>
        <w:pStyle w:val="TextBody"/>
        <w:bidi w:val="0"/>
        <w:spacing w:before="0" w:after="0"/>
        <w:jc w:val="left"/>
        <w:rPr/>
      </w:pPr>
      <w:r>
        <w:rPr/>
        <w:t> </w:t>
      </w:r>
    </w:p>
    <w:p>
      <w:pPr>
        <w:pStyle w:val="TextBody"/>
        <w:bidi w:val="0"/>
        <w:spacing w:before="0" w:after="0"/>
        <w:ind w:left="0" w:right="0" w:firstLine="700"/>
        <w:jc w:val="both"/>
        <w:rPr>
          <w:sz w:val="20"/>
        </w:rPr>
      </w:pPr>
      <w:r>
        <w:rPr>
          <w:sz w:val="20"/>
        </w:rPr>
        <w:t xml:space="preserve">As permitted by the rules of the Securities and Exchange Commission (the “Commission”), this Registration Statement omits the information specified in Part I of Form S-8. The documents containing the information specified in Part I of this Registration Statement will be sent or given to eligible employees as specified in Rule 428(b)(1) promulgated under the Securities Act. Such documents are not being filed with the Commission either as part of this Registration Statement or as part of any prospectuses or prospectus supplements filed pursuant to Rule 424 promulgated under the Securities Act. These documents and the documents incorporated by reference into this Registration Statement pursuant to Item 3 of Part II of Form S-8, taken together, constitute a prospectus that meets the requirements of Section 10(a) of the Securities Act. </w:t>
      </w:r>
    </w:p>
    <w:p>
      <w:pPr>
        <w:pStyle w:val="TextBody"/>
        <w:bidi w:val="0"/>
        <w:spacing w:before="0" w:after="0"/>
        <w:jc w:val="left"/>
        <w:rPr/>
      </w:pPr>
      <w:r>
        <w:rPr/>
        <w:t> </w:t>
      </w:r>
    </w:p>
    <w:p>
      <w:pPr>
        <w:pStyle w:val="TextBody"/>
        <w:bidi w:val="0"/>
        <w:spacing w:before="0" w:after="0"/>
        <w:jc w:val="center"/>
        <w:rPr>
          <w:b/>
          <w:sz w:val="20"/>
        </w:rPr>
      </w:pPr>
      <w:r>
        <w:rPr>
          <w:b/>
          <w:sz w:val="20"/>
        </w:rPr>
        <w:t>PART II</w:t>
      </w:r>
    </w:p>
    <w:p>
      <w:pPr>
        <w:pStyle w:val="TextBody"/>
        <w:bidi w:val="0"/>
        <w:spacing w:before="0" w:after="0"/>
        <w:jc w:val="center"/>
        <w:rPr/>
      </w:pPr>
      <w:r>
        <w:rPr/>
        <w:t> </w:t>
      </w:r>
    </w:p>
    <w:p>
      <w:pPr>
        <w:pStyle w:val="TextBody"/>
        <w:bidi w:val="0"/>
        <w:spacing w:before="0" w:after="0"/>
        <w:jc w:val="center"/>
        <w:rPr>
          <w:b/>
          <w:sz w:val="20"/>
        </w:rPr>
      </w:pPr>
      <w:r>
        <w:rPr>
          <w:b/>
          <w:sz w:val="20"/>
        </w:rPr>
        <w:t>INFORMATION REQUIRED IN THE REGISTRATION STATEMENT</w:t>
      </w:r>
    </w:p>
    <w:p>
      <w:pPr>
        <w:pStyle w:val="TextBody"/>
        <w:bidi w:val="0"/>
        <w:spacing w:before="0" w:after="0"/>
        <w:jc w:val="center"/>
        <w:rPr/>
      </w:pPr>
      <w:r>
        <w:rPr/>
        <w:t> </w:t>
      </w:r>
    </w:p>
    <w:p>
      <w:pPr>
        <w:pStyle w:val="TextBody"/>
        <w:bidi w:val="0"/>
        <w:spacing w:before="0" w:after="0"/>
        <w:jc w:val="left"/>
        <w:rPr>
          <w:b/>
          <w:sz w:val="20"/>
        </w:rPr>
      </w:pPr>
      <w:r>
        <w:rPr>
          <w:b/>
          <w:sz w:val="20"/>
        </w:rPr>
        <w:t>Item 3. Incorporation of Documents by Reference.</w:t>
      </w:r>
    </w:p>
    <w:p>
      <w:pPr>
        <w:pStyle w:val="TextBody"/>
        <w:bidi w:val="0"/>
        <w:spacing w:before="0" w:after="0"/>
        <w:jc w:val="left"/>
        <w:rPr/>
      </w:pPr>
      <w:r>
        <w:rPr/>
        <w:t> </w:t>
      </w:r>
    </w:p>
    <w:p>
      <w:pPr>
        <w:pStyle w:val="TextBody"/>
        <w:bidi w:val="0"/>
        <w:spacing w:lineRule="atLeast" w:line="240" w:before="0" w:after="0"/>
        <w:ind w:left="0" w:right="0" w:firstLine="720"/>
        <w:jc w:val="both"/>
        <w:rPr>
          <w:sz w:val="20"/>
        </w:rPr>
      </w:pPr>
      <w:r>
        <w:rPr>
          <w:sz w:val="20"/>
        </w:rPr>
        <w:t>The following documents previously filed (other than the portions of those documents furnished or otherwise not deemed to be filed) by the Registrant with the Commission (File No. 001-31648) are incorporated herein by reference and made a part hereof:</w:t>
      </w:r>
    </w:p>
    <w:p>
      <w:pPr>
        <w:pStyle w:val="TextBody"/>
        <w:bidi w:val="0"/>
        <w:spacing w:lineRule="atLeast" w:line="240" w:before="0" w:after="0"/>
        <w:jc w:val="both"/>
        <w:rPr/>
      </w:pPr>
      <w:r>
        <w:rPr/>
        <w:t> </w:t>
      </w:r>
    </w:p>
    <w:p>
      <w:pPr>
        <w:pStyle w:val="TextBody"/>
        <w:bidi w:val="0"/>
        <w:spacing w:lineRule="atLeast" w:line="240" w:before="0" w:after="0"/>
        <w:ind w:left="0" w:right="0" w:firstLine="720"/>
        <w:jc w:val="both"/>
        <w:rPr>
          <w:sz w:val="20"/>
        </w:rPr>
      </w:pPr>
      <w:r>
        <w:rPr>
          <w:sz w:val="20"/>
        </w:rPr>
        <w:t>(i) The Registrant's Annual Report on Form 10-K for the fiscal year ended December 31, 2025, filed with the Commission on February 26, 2026, including portions of the Registrant's Definitive Proxy Statement filed with the Commission on April 13, 2026 that are incorporated by reference therein;</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(ii) The Registrant's Quarterly Reports on Form 10-Q for the period ended March 31, 2026, filed with the Commission on May 7, 2026, the period ended June 30, 2026, filed with the Commission on August 4, 2026;</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(iii) The Registrant's Current Report on Form 8-K filed with the Commission on April 28, 2026 (report pursuant to Item 5.02) and May 22, 2026 (report pursuant to Item 5.07) (excluding any reports that are furnished pursuant to Item 2.02 or Item 7.01);</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(iv) All other reports filed by the Registrant pursuant to Section 13(a) or 15(d) of the Securities Exchange Act of 1934, as amended (the "Exchange Act"), since the end of the fiscal year ended December 31, 2025;</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(v) The description of the Registrant's Common Stock contained in the Registration Statement on Form 8-A/A, filed with the Commission on November 24, 2004 pursuant to Section 12 of the Exchange Act, as updated by the description of the Registrant's Common Stock contained in Exhibit 4.6 to the Registrant's Annual Report on Form 10-K for the fiscal year ended December 31, 2019, including any subsequent amendment or report filed for the purpose of updating such description; and</w:t>
      </w:r>
    </w:p>
    <w:p>
      <w:pPr>
        <w:pStyle w:val="TextBody"/>
        <w:bidi w:val="0"/>
        <w:spacing w:lineRule="atLeast" w:line="240" w:before="0" w:after="0"/>
        <w:ind w:left="0" w:right="0" w:firstLine="720"/>
        <w:jc w:val="both"/>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TextBody"/>
        <w:bidi w:val="0"/>
        <w:spacing w:lineRule="atLeast" w:line="240" w:before="0" w:after="0"/>
        <w:ind w:left="0" w:right="0" w:firstLine="720"/>
        <w:jc w:val="both"/>
        <w:rPr>
          <w:sz w:val="20"/>
        </w:rPr>
      </w:pPr>
      <w:r>
        <w:rPr>
          <w:sz w:val="20"/>
        </w:rPr>
        <w:t>All reports and other documents filed by the Registrant pursuant to Sections 13(a), 13(c), 14 or 15(d) of the Exchange Act (other than the portions of those documents furnished or otherwise not deemed to be filed), subsequent to the date of this filing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the filing of such documents.</w:t>
      </w:r>
    </w:p>
    <w:p>
      <w:pPr>
        <w:pStyle w:val="TextBody"/>
        <w:bidi w:val="0"/>
        <w:spacing w:lineRule="atLeast" w:line="240" w:before="0" w:after="0"/>
        <w:jc w:val="both"/>
        <w:rPr/>
      </w:pPr>
      <w:r>
        <w:rPr/>
        <w:t> </w:t>
      </w:r>
    </w:p>
    <w:p>
      <w:pPr>
        <w:pStyle w:val="TextBody"/>
        <w:bidi w:val="0"/>
        <w:spacing w:lineRule="atLeast" w:line="240" w:before="0" w:after="0"/>
        <w:ind w:left="0" w:right="0" w:firstLine="720"/>
        <w:jc w:val="both"/>
        <w:rPr>
          <w:sz w:val="20"/>
        </w:rPr>
      </w:pPr>
      <w:r>
        <w:rPr>
          <w:sz w:val="20"/>
        </w:rPr>
        <w:t>Any statement contained herein or in a document incorporated or deemed to be incorporated by reference herein shall be deemed to be modified or superseded for purposes of this Registration Statement to the extent that a statement herein, or in any other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pStyle w:val="TextBody"/>
        <w:bidi w:val="0"/>
        <w:spacing w:lineRule="atLeast" w:line="240" w:before="0" w:after="0"/>
        <w:ind w:left="0" w:right="0" w:firstLine="720"/>
        <w:jc w:val="both"/>
        <w:rPr/>
      </w:pPr>
      <w:r>
        <w:rPr/>
        <w:t> </w:t>
      </w:r>
    </w:p>
    <w:p>
      <w:pPr>
        <w:pStyle w:val="TextBody"/>
        <w:bidi w:val="0"/>
        <w:spacing w:lineRule="atLeast" w:line="240" w:before="0" w:after="0"/>
        <w:jc w:val="both"/>
        <w:rPr>
          <w:b/>
          <w:sz w:val="20"/>
        </w:rPr>
      </w:pPr>
      <w:r>
        <w:rPr>
          <w:b/>
          <w:sz w:val="20"/>
        </w:rPr>
        <w:t>Item 4. Description of Securities.</w:t>
      </w:r>
    </w:p>
    <w:p>
      <w:pPr>
        <w:pStyle w:val="TextBody"/>
        <w:bidi w:val="0"/>
        <w:spacing w:lineRule="atLeast" w:line="240" w:before="0" w:after="0"/>
        <w:jc w:val="both"/>
        <w:rPr/>
      </w:pPr>
      <w:r>
        <w:rPr/>
        <w:t> </w:t>
      </w:r>
    </w:p>
    <w:p>
      <w:pPr>
        <w:pStyle w:val="TextBody"/>
        <w:bidi w:val="0"/>
        <w:spacing w:lineRule="atLeast" w:line="240" w:before="0" w:after="0"/>
        <w:ind w:left="0" w:right="0" w:firstLine="700"/>
        <w:jc w:val="both"/>
        <w:rPr>
          <w:sz w:val="20"/>
        </w:rPr>
      </w:pPr>
      <w:r>
        <w:rPr>
          <w:sz w:val="20"/>
        </w:rPr>
        <w:t>Not applicable.</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Item 5. Interests of Named Experts and Counsel.</w:t>
      </w:r>
    </w:p>
    <w:p>
      <w:pPr>
        <w:pStyle w:val="TextBody"/>
        <w:bidi w:val="0"/>
        <w:spacing w:lineRule="atLeast" w:line="240" w:before="0" w:after="0"/>
        <w:jc w:val="both"/>
        <w:rPr/>
      </w:pPr>
      <w:r>
        <w:rPr/>
        <w:t> </w:t>
      </w:r>
    </w:p>
    <w:p>
      <w:pPr>
        <w:pStyle w:val="TextBody"/>
        <w:bidi w:val="0"/>
        <w:spacing w:lineRule="atLeast" w:line="240" w:before="0" w:after="0"/>
        <w:ind w:left="0" w:right="0" w:firstLine="700"/>
        <w:jc w:val="both"/>
        <w:rPr>
          <w:sz w:val="20"/>
        </w:rPr>
      </w:pPr>
      <w:r>
        <w:rPr>
          <w:sz w:val="20"/>
        </w:rPr>
        <w:t>Not applicable.</w:t>
      </w:r>
    </w:p>
    <w:p>
      <w:pPr>
        <w:pStyle w:val="TextBody"/>
        <w:bidi w:val="0"/>
        <w:spacing w:lineRule="atLeast" w:line="240" w:before="0" w:after="0"/>
        <w:jc w:val="both"/>
        <w:rPr/>
      </w:pPr>
      <w:r>
        <w:rPr/>
        <w:t> </w:t>
      </w:r>
    </w:p>
    <w:p>
      <w:pPr>
        <w:pStyle w:val="TextBody"/>
        <w:bidi w:val="0"/>
        <w:spacing w:lineRule="atLeast" w:line="240" w:before="0" w:after="0"/>
        <w:jc w:val="left"/>
        <w:rPr>
          <w:b/>
          <w:sz w:val="20"/>
        </w:rPr>
      </w:pPr>
      <w:r>
        <w:rPr>
          <w:b/>
          <w:sz w:val="20"/>
        </w:rPr>
        <w:t>Item 6. Indemnification of Directors and Officers.</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 xml:space="preserve">Sections 145(a) and (b) of the Delaware General Corporation Law (the “DGCL”) provide that a corporation may indemnify its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in which the person seeking indemnification has been found liable to the corporation. 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by Section 145 of the DGCL. Section 145(e) of the DGCL further provides that such expenses (including attorneys’ fees) incurred by former directors and officers or other employees or agents of the corporation may be so paid upon such terms and conditions as the corporation deems appropriate. </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Article Eighth of the Registrant’s Certificate of Incorporation, as amended (the “Certificate of Incorporation”), and Article VII of the Registrant’s Amended and Restated Bylaws (the “Bylaws”) provide for indemnification of the Registrant’s directors and officers to the maximum extent permitted by the DGCL.</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 xml:space="preserve">Section 102(b)(7) of the DGCL enables a Delaware corporation to provide in its certificate of incorporation for the elimination or limitation of the personal liability of a director to the corporation or its stockholders for monetary damages for breach of fiduciary duty as a director. However, no provision can eliminate or limit a director’s liability: (i) for any breach of the director’s duty of loyalty to the corporation or its stockholders; (ii) for acts or omissions not in good faith or which involve intentional misconduct or a knowing violation of law; (iii) under Section 174 of the DGCL, which imposes liability on directors for unlawful payment of dividends or unlawful stock purchase or redemption; or (iv) for any transaction from which the director derived an improper personal benefit. </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 xml:space="preserve">Article Ninth of the Certificate of Incorporation provides that a director of the Registrant shall not be personally liable to the Registrant or its stockholders for monetary damages for breach of fiduciary duty as a director, except (i) for any breach of the director’s duty of loyalty to the Registrant or its stockholders, (ii) for acts or omissions not in good faith or which involve intentional misconduct or a knowing violation of law, (iii) under Section 174 of the DGCL, or (iv) for any transaction from which the director derived any improper personal benefit. </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Section 145(g) of the DGCL permits a corporation to purchase and maintain insurance on behalf of any person who is or was a director, officer, employee or agent of the corporation,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pStyle w:val="TextBody"/>
        <w:bidi w:val="0"/>
        <w:spacing w:lineRule="atLeast" w:line="240" w:before="0" w:after="0"/>
        <w:ind w:left="0" w:right="0" w:firstLine="720"/>
        <w:jc w:val="both"/>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TextBody"/>
        <w:bidi w:val="0"/>
        <w:spacing w:lineRule="atLeast" w:line="240" w:before="0" w:after="0"/>
        <w:ind w:left="0" w:right="0" w:firstLine="720"/>
        <w:jc w:val="both"/>
        <w:rPr>
          <w:sz w:val="20"/>
        </w:rPr>
      </w:pPr>
      <w:r>
        <w:rPr>
          <w:sz w:val="20"/>
        </w:rPr>
        <w:t>The Registrant maintains, and intends to continue to maintain, insurance for the benefit of its directors and officers to insure these persons against certain liabilities, including liabilities under the securities laws.</w:t>
      </w:r>
    </w:p>
    <w:p>
      <w:pPr>
        <w:pStyle w:val="TextBody"/>
        <w:bidi w:val="0"/>
        <w:spacing w:lineRule="atLeast" w:line="240" w:before="0" w:after="0"/>
        <w:ind w:left="0" w:right="0" w:firstLine="720"/>
        <w:jc w:val="both"/>
        <w:rPr/>
      </w:pPr>
      <w:r>
        <w:rPr/>
        <w:t> </w:t>
      </w:r>
    </w:p>
    <w:p>
      <w:pPr>
        <w:pStyle w:val="TextBody"/>
        <w:bidi w:val="0"/>
        <w:spacing w:lineRule="atLeast" w:line="240" w:before="0" w:after="0"/>
        <w:ind w:left="0" w:right="0" w:firstLine="720"/>
        <w:jc w:val="both"/>
        <w:rPr>
          <w:sz w:val="20"/>
        </w:rPr>
      </w:pPr>
      <w:r>
        <w:rPr>
          <w:sz w:val="20"/>
        </w:rPr>
        <w:t>The Registrant also enters into indemnification agreements with each of its directors and executive officers. The indemnification agreements supplement existing indemnification provisions of the Certificate of Incorporation and Bylaws and, in general, provide for indemnification of and advancement of expenses to the indemnified party, subject to the terms and conditions provided in the indemnification agreement. The indemnification agreements also establish processes and procedures for indemnification claims, advancement of expenses and other determinations with respect to indemnification.</w:t>
      </w:r>
    </w:p>
    <w:p>
      <w:pPr>
        <w:pStyle w:val="TextBody"/>
        <w:bidi w:val="0"/>
        <w:spacing w:lineRule="atLeast" w:line="240" w:before="0" w:after="0"/>
        <w:ind w:left="0" w:right="0" w:firstLine="720"/>
        <w:jc w:val="both"/>
        <w:rPr/>
      </w:pPr>
      <w:r>
        <w:rPr/>
        <w:t> </w:t>
      </w:r>
    </w:p>
    <w:p>
      <w:pPr>
        <w:pStyle w:val="TextBody"/>
        <w:shd w:fill="FFFFFF" w:val="clear"/>
        <w:bidi w:val="0"/>
        <w:spacing w:lineRule="atLeast" w:line="240" w:before="0" w:after="0"/>
        <w:jc w:val="both"/>
        <w:rPr>
          <w:b/>
          <w:sz w:val="20"/>
        </w:rPr>
      </w:pPr>
      <w:r>
        <w:rPr>
          <w:b/>
          <w:sz w:val="20"/>
        </w:rPr>
        <w:t>Item 7. Exemption from Registration Claimed.</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ind w:left="0" w:right="0" w:firstLine="700"/>
        <w:jc w:val="both"/>
        <w:rPr>
          <w:sz w:val="20"/>
        </w:rPr>
      </w:pPr>
      <w:r>
        <w:rPr>
          <w:sz w:val="20"/>
        </w:rPr>
        <w:t>Not applicable.</w:t>
      </w:r>
    </w:p>
    <w:p>
      <w:pPr>
        <w:pStyle w:val="TextBody"/>
        <w:shd w:fill="FFFFFF" w:val="clear"/>
        <w:bidi w:val="0"/>
        <w:spacing w:lineRule="atLeast" w:line="240" w:before="0" w:after="0"/>
        <w:ind w:left="0" w:right="0" w:firstLine="700"/>
        <w:jc w:val="both"/>
        <w:rPr/>
      </w:pPr>
      <w:r>
        <w:rPr/>
        <w:br/>
      </w:r>
      <w:r>
        <w:rPr>
          <w:b/>
          <w:sz w:val="20"/>
        </w:rPr>
        <w:t>Item 8. Exhibits.</w:t>
      </w:r>
    </w:p>
    <w:p>
      <w:pPr>
        <w:pStyle w:val="TextBody"/>
        <w:shd w:fill="FFFFFF" w:val="clear"/>
        <w:bidi w:val="0"/>
        <w:spacing w:lineRule="atLeast" w:line="240" w:before="0" w:after="0"/>
        <w:jc w:val="both"/>
        <w:rPr/>
      </w:pPr>
      <w:r>
        <w:rPr/>
        <w:t> </w:t>
      </w:r>
    </w:p>
    <w:tbl>
      <w:tblPr>
        <w:tblW w:w="10205" w:type="dxa"/>
        <w:jc w:val="left"/>
        <w:tblInd w:w="0" w:type="dxa"/>
        <w:tblLayout w:type="fixed"/>
        <w:tblCellMar>
          <w:top w:w="0" w:type="dxa"/>
          <w:left w:w="0" w:type="dxa"/>
          <w:bottom w:w="30" w:type="dxa"/>
          <w:right w:w="0" w:type="dxa"/>
        </w:tblCellMar>
      </w:tblPr>
      <w:tblGrid>
        <w:gridCol w:w="909"/>
        <w:gridCol w:w="60"/>
        <w:gridCol w:w="9236"/>
      </w:tblGrid>
      <w:tr>
        <w:trPr/>
        <w:tc>
          <w:tcPr>
            <w:tcW w:w="909" w:type="dxa"/>
            <w:tcBorders>
              <w:bottom w:val="single" w:sz="8" w:space="0" w:color="000000"/>
            </w:tcBorders>
            <w:vAlign w:val="center"/>
          </w:tcPr>
          <w:p>
            <w:pPr>
              <w:pStyle w:val="TableContents"/>
              <w:bidi w:val="0"/>
              <w:spacing w:before="0" w:after="0"/>
              <w:jc w:val="center"/>
              <w:rPr>
                <w:sz w:val="20"/>
              </w:rPr>
            </w:pPr>
            <w:r>
              <w:rPr>
                <w:sz w:val="20"/>
              </w:rPr>
              <w:t>Exhibit Number</w:t>
            </w:r>
          </w:p>
        </w:tc>
        <w:tc>
          <w:tcPr>
            <w:tcW w:w="60" w:type="dxa"/>
            <w:tcBorders/>
            <w:tcMar>
              <w:bottom w:w="0" w:type="dxa"/>
            </w:tcMar>
            <w:vAlign w:val="center"/>
          </w:tcPr>
          <w:p>
            <w:pPr>
              <w:pStyle w:val="TableContents"/>
              <w:bidi w:val="0"/>
              <w:spacing w:before="0" w:after="0"/>
              <w:jc w:val="left"/>
              <w:rPr/>
            </w:pPr>
            <w:r>
              <w:rPr/>
              <w:t> </w:t>
            </w:r>
          </w:p>
        </w:tc>
        <w:tc>
          <w:tcPr>
            <w:tcW w:w="9236" w:type="dxa"/>
            <w:tcBorders>
              <w:bottom w:val="single" w:sz="8" w:space="0" w:color="000000"/>
            </w:tcBorders>
            <w:vAlign w:val="center"/>
          </w:tcPr>
          <w:p>
            <w:pPr>
              <w:pStyle w:val="TableContents"/>
              <w:bidi w:val="0"/>
              <w:spacing w:before="0" w:after="0"/>
              <w:jc w:val="center"/>
              <w:rPr>
                <w:sz w:val="20"/>
              </w:rPr>
            </w:pPr>
            <w:r>
              <w:rPr>
                <w:sz w:val="20"/>
              </w:rPr>
              <w:t>Description</w:t>
            </w:r>
          </w:p>
        </w:tc>
      </w:tr>
      <w:tr>
        <w:trPr/>
        <w:tc>
          <w:tcPr>
            <w:tcW w:w="909" w:type="dxa"/>
            <w:tcBorders/>
            <w:tcMar>
              <w:bottom w:w="0" w:type="dxa"/>
            </w:tcMar>
            <w:vAlign w:val="center"/>
          </w:tcPr>
          <w:p>
            <w:pPr>
              <w:pStyle w:val="TableContents"/>
              <w:bidi w:val="0"/>
              <w:spacing w:before="0" w:after="0"/>
              <w:jc w:val="center"/>
              <w:rPr>
                <w:sz w:val="20"/>
              </w:rPr>
            </w:pPr>
            <w:r>
              <w:rPr>
                <w:sz w:val="20"/>
              </w:rPr>
              <w:t>3.1</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r:id="rId2">
              <w:r>
                <w:rPr>
                  <w:rStyle w:val="InternetLink"/>
                  <w:color w:val="0000FF"/>
                  <w:sz w:val="20"/>
                  <w:u w:val="single"/>
                </w:rPr>
                <w:t>Certificate of Incorporation of</w:t>
              </w:r>
            </w:hyperlink>
            <w:hyperlink r:id="rId3">
              <w:r>
                <w:rPr>
                  <w:rStyle w:val="InternetLink"/>
                  <w:color w:val="0000FF"/>
                  <w:u w:val="single"/>
                </w:rPr>
                <w:t> </w:t>
              </w:r>
            </w:hyperlink>
            <w:hyperlink r:id="rId4">
              <w:r>
                <w:rPr>
                  <w:rStyle w:val="InternetLink"/>
                  <w:color w:val="0000FF"/>
                  <w:sz w:val="20"/>
                  <w:u w:val="single"/>
                </w:rPr>
                <w:t>Euronet</w:t>
              </w:r>
            </w:hyperlink>
            <w:hyperlink r:id="rId5">
              <w:r>
                <w:rPr>
                  <w:rStyle w:val="InternetLink"/>
                  <w:color w:val="0000FF"/>
                  <w:u w:val="single"/>
                </w:rPr>
                <w:t> </w:t>
              </w:r>
            </w:hyperlink>
            <w:hyperlink r:id="rId6">
              <w:r>
                <w:rPr>
                  <w:rStyle w:val="InternetLink"/>
                  <w:color w:val="0000FF"/>
                  <w:sz w:val="20"/>
                  <w:u w:val="single"/>
                </w:rPr>
                <w:t>Worldwide,</w:t>
              </w:r>
            </w:hyperlink>
            <w:hyperlink r:id="rId7">
              <w:r>
                <w:rPr>
                  <w:rStyle w:val="InternetLink"/>
                  <w:color w:val="0000FF"/>
                  <w:u w:val="single"/>
                </w:rPr>
                <w:t> </w:t>
              </w:r>
            </w:hyperlink>
            <w:hyperlink r:id="rId8">
              <w:r>
                <w:rPr>
                  <w:rStyle w:val="InternetLink"/>
                  <w:color w:val="0000FF"/>
                  <w:sz w:val="20"/>
                  <w:u w:val="single"/>
                </w:rPr>
                <w:t>Inc., as amended (filed as Exhibit 3.2 to the Company's Current Report on Form 8-K filed on May 22, 2009 and incorporated by reference herein)</w:t>
              </w:r>
            </w:hyperlink>
          </w:p>
        </w:tc>
      </w:tr>
      <w:tr>
        <w:trPr/>
        <w:tc>
          <w:tcPr>
            <w:tcW w:w="90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3.2</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r:id="rId9">
              <w:r>
                <w:rPr>
                  <w:rStyle w:val="InternetLink"/>
                  <w:color w:val="0000FF"/>
                  <w:sz w:val="20"/>
                  <w:u w:val="single"/>
                </w:rPr>
                <w:t>Certificate of Amendment to Certificate of Incorporation of</w:t>
              </w:r>
            </w:hyperlink>
            <w:hyperlink r:id="rId10">
              <w:r>
                <w:rPr>
                  <w:rStyle w:val="InternetLink"/>
                  <w:color w:val="0000FF"/>
                  <w:u w:val="single"/>
                </w:rPr>
                <w:t> </w:t>
              </w:r>
            </w:hyperlink>
            <w:hyperlink r:id="rId11">
              <w:r>
                <w:rPr>
                  <w:rStyle w:val="InternetLink"/>
                  <w:color w:val="0000FF"/>
                  <w:sz w:val="20"/>
                  <w:u w:val="single"/>
                </w:rPr>
                <w:t>Euronet</w:t>
              </w:r>
            </w:hyperlink>
            <w:hyperlink r:id="rId12">
              <w:r>
                <w:rPr>
                  <w:rStyle w:val="InternetLink"/>
                  <w:color w:val="0000FF"/>
                  <w:u w:val="single"/>
                </w:rPr>
                <w:t> </w:t>
              </w:r>
            </w:hyperlink>
            <w:hyperlink r:id="rId13">
              <w:r>
                <w:rPr>
                  <w:rStyle w:val="InternetLink"/>
                  <w:color w:val="0000FF"/>
                  <w:sz w:val="20"/>
                  <w:u w:val="single"/>
                </w:rPr>
                <w:t>Worldwide,</w:t>
              </w:r>
            </w:hyperlink>
            <w:hyperlink r:id="rId14">
              <w:r>
                <w:rPr>
                  <w:rStyle w:val="InternetLink"/>
                  <w:color w:val="0000FF"/>
                  <w:u w:val="single"/>
                </w:rPr>
                <w:t> </w:t>
              </w:r>
            </w:hyperlink>
            <w:hyperlink r:id="rId15">
              <w:r>
                <w:rPr>
                  <w:rStyle w:val="InternetLink"/>
                  <w:color w:val="0000FF"/>
                  <w:sz w:val="20"/>
                  <w:u w:val="single"/>
                </w:rPr>
                <w:t>Inc. (filed as Exhibit 3.1 to the Company's Current Report on Form 8-K filed on May 22, 2009 and incorporated by reference herein)</w:t>
              </w:r>
            </w:hyperlink>
          </w:p>
        </w:tc>
      </w:tr>
      <w:tr>
        <w:trPr/>
        <w:tc>
          <w:tcPr>
            <w:tcW w:w="909" w:type="dxa"/>
            <w:tcBorders/>
            <w:tcMar>
              <w:bottom w:w="0" w:type="dxa"/>
            </w:tcMar>
            <w:vAlign w:val="center"/>
          </w:tcPr>
          <w:p>
            <w:pPr>
              <w:pStyle w:val="TableContents"/>
              <w:bidi w:val="0"/>
              <w:spacing w:before="0" w:after="0"/>
              <w:jc w:val="center"/>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3.3</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r:id="rId16">
              <w:r>
                <w:rPr>
                  <w:rStyle w:val="InternetLink"/>
                  <w:color w:val="0000FF"/>
                  <w:sz w:val="20"/>
                  <w:u w:val="single"/>
                </w:rPr>
                <w:t>Amended and Restated Certificate of Designations, Preferences and Rights of Series A Junior Participating Preferred Stock (filed as Exhibit 3.1 to the Company's Current Report on Form 8-K filed on March 29, 2013 (File No. 001-31648), and incorporated herein by reference)</w:t>
              </w:r>
            </w:hyperlink>
          </w:p>
        </w:tc>
      </w:tr>
      <w:tr>
        <w:trPr/>
        <w:tc>
          <w:tcPr>
            <w:tcW w:w="909" w:type="dxa"/>
            <w:tcBorders/>
            <w:tcMar>
              <w:bottom w:w="0" w:type="dxa"/>
            </w:tcMar>
            <w:vAlign w:val="center"/>
          </w:tcPr>
          <w:p>
            <w:pPr>
              <w:pStyle w:val="TableContents"/>
              <w:bidi w:val="0"/>
              <w:spacing w:before="0" w:after="0"/>
              <w:jc w:val="center"/>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3.4</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r:id="rId17">
              <w:r>
                <w:rPr>
                  <w:rStyle w:val="InternetLink"/>
                  <w:color w:val="0000FF"/>
                  <w:sz w:val="20"/>
                  <w:u w:val="single"/>
                </w:rPr>
                <w:t>Amended and Restated Bylaws of</w:t>
              </w:r>
            </w:hyperlink>
            <w:hyperlink r:id="rId18">
              <w:r>
                <w:rPr>
                  <w:rStyle w:val="InternetLink"/>
                  <w:color w:val="0000FF"/>
                  <w:u w:val="single"/>
                </w:rPr>
                <w:t> </w:t>
              </w:r>
            </w:hyperlink>
            <w:hyperlink r:id="rId19">
              <w:r>
                <w:rPr>
                  <w:rStyle w:val="InternetLink"/>
                  <w:color w:val="0000FF"/>
                  <w:sz w:val="20"/>
                  <w:u w:val="single"/>
                </w:rPr>
                <w:t>Euronet</w:t>
              </w:r>
            </w:hyperlink>
            <w:hyperlink r:id="rId20">
              <w:r>
                <w:rPr>
                  <w:rStyle w:val="InternetLink"/>
                  <w:color w:val="0000FF"/>
                  <w:u w:val="single"/>
                </w:rPr>
                <w:t> </w:t>
              </w:r>
            </w:hyperlink>
            <w:hyperlink r:id="rId21">
              <w:r>
                <w:rPr>
                  <w:rStyle w:val="InternetLink"/>
                  <w:color w:val="0000FF"/>
                  <w:sz w:val="20"/>
                  <w:u w:val="single"/>
                </w:rPr>
                <w:t>Worldwide,</w:t>
              </w:r>
            </w:hyperlink>
            <w:hyperlink r:id="rId22">
              <w:r>
                <w:rPr>
                  <w:rStyle w:val="InternetLink"/>
                  <w:color w:val="0000FF"/>
                  <w:u w:val="single"/>
                </w:rPr>
                <w:t> </w:t>
              </w:r>
            </w:hyperlink>
            <w:hyperlink r:id="rId23">
              <w:r>
                <w:rPr>
                  <w:rStyle w:val="InternetLink"/>
                  <w:color w:val="0000FF"/>
                  <w:sz w:val="20"/>
                  <w:u w:val="single"/>
                </w:rPr>
                <w:t>Inc. (filed as Exhibit 3.2 to the Company's Report on Form 8-K filed on February 28, 2017 (File No. 001-31648), and incorporated herein by reference)</w:t>
              </w:r>
            </w:hyperlink>
          </w:p>
        </w:tc>
      </w:tr>
      <w:tr>
        <w:trPr/>
        <w:tc>
          <w:tcPr>
            <w:tcW w:w="90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4.1</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r:id="rId24">
              <w:r>
                <w:rPr>
                  <w:rStyle w:val="InternetLink"/>
                  <w:color w:val="0000FF"/>
                  <w:sz w:val="20"/>
                  <w:u w:val="single"/>
                </w:rPr>
                <w:t>Euronet</w:t>
              </w:r>
            </w:hyperlink>
            <w:hyperlink r:id="rId25">
              <w:r>
                <w:rPr>
                  <w:rStyle w:val="InternetLink"/>
                  <w:color w:val="0000FF"/>
                  <w:u w:val="single"/>
                </w:rPr>
                <w:t> </w:t>
              </w:r>
            </w:hyperlink>
            <w:hyperlink r:id="rId26">
              <w:r>
                <w:rPr>
                  <w:rStyle w:val="InternetLink"/>
                  <w:color w:val="0000FF"/>
                  <w:sz w:val="20"/>
                  <w:u w:val="single"/>
                </w:rPr>
                <w:t>Worldwide,</w:t>
              </w:r>
            </w:hyperlink>
            <w:hyperlink r:id="rId27">
              <w:r>
                <w:rPr>
                  <w:rStyle w:val="InternetLink"/>
                  <w:color w:val="0000FF"/>
                  <w:u w:val="single"/>
                </w:rPr>
                <w:t> </w:t>
              </w:r>
            </w:hyperlink>
            <w:hyperlink r:id="rId28">
              <w:r>
                <w:rPr>
                  <w:rStyle w:val="InternetLink"/>
                  <w:color w:val="0000FF"/>
                  <w:sz w:val="20"/>
                  <w:u w:val="single"/>
                </w:rPr>
                <w:t>Inc. 2006 Stock Incentive Plan, Amended and Restated (filed as Appendix A to the Company's Definitive Proxy statement on Schedule 14A filed on April 13, 2026)</w:t>
              </w:r>
            </w:hyperlink>
          </w:p>
        </w:tc>
      </w:tr>
      <w:tr>
        <w:trPr/>
        <w:tc>
          <w:tcPr>
            <w:tcW w:w="90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5.1</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w:anchor="ex51_1.htm">
              <w:r>
                <w:rPr>
                  <w:rStyle w:val="InternetLink"/>
                  <w:color w:val="0000FF"/>
                  <w:sz w:val="20"/>
                  <w:u w:val="single"/>
                </w:rPr>
                <w:t>Opinion of Stinson LLP</w:t>
              </w:r>
            </w:hyperlink>
          </w:p>
        </w:tc>
      </w:tr>
      <w:tr>
        <w:trPr/>
        <w:tc>
          <w:tcPr>
            <w:tcW w:w="90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23.1</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w:anchor="ex231_2.htm">
              <w:r>
                <w:rPr>
                  <w:rStyle w:val="InternetLink"/>
                  <w:color w:val="0000FF"/>
                  <w:sz w:val="20"/>
                  <w:u w:val="single"/>
                </w:rPr>
                <w:t>Consent of KPMG LLP, Independent Registered Public Accounting Firm</w:t>
              </w:r>
            </w:hyperlink>
          </w:p>
        </w:tc>
      </w:tr>
      <w:tr>
        <w:trPr/>
        <w:tc>
          <w:tcPr>
            <w:tcW w:w="90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23.2</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hyperlink w:anchor="ex51_1.htm">
              <w:r>
                <w:rPr>
                  <w:rStyle w:val="InternetLink"/>
                  <w:color w:val="0000FF"/>
                  <w:sz w:val="20"/>
                  <w:u w:val="single"/>
                </w:rPr>
                <w:t>Consent of Stinson LLP (included in Exhibit 5.1)</w:t>
              </w:r>
            </w:hyperlink>
          </w:p>
        </w:tc>
      </w:tr>
      <w:tr>
        <w:trPr/>
        <w:tc>
          <w:tcPr>
            <w:tcW w:w="909" w:type="dxa"/>
            <w:tcBorders/>
            <w:tcMar>
              <w:bottom w:w="0" w:type="dxa"/>
            </w:tcMar>
            <w:vAlign w:val="center"/>
          </w:tcPr>
          <w:p>
            <w:pPr>
              <w:pStyle w:val="TableContents"/>
              <w:bidi w:val="0"/>
              <w:spacing w:before="0" w:after="0"/>
              <w:jc w:val="center"/>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left"/>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24.1</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sz w:val="20"/>
              </w:rPr>
            </w:pPr>
            <w:r>
              <w:rPr>
                <w:sz w:val="20"/>
              </w:rPr>
              <w:t>Power of Attorney (included on signature page hereto)</w:t>
            </w:r>
          </w:p>
        </w:tc>
      </w:tr>
      <w:tr>
        <w:trPr/>
        <w:tc>
          <w:tcPr>
            <w:tcW w:w="909" w:type="dxa"/>
            <w:tcBorders/>
            <w:tcMar>
              <w:bottom w:w="0" w:type="dxa"/>
            </w:tcMar>
            <w:vAlign w:val="center"/>
          </w:tcPr>
          <w:p>
            <w:pPr>
              <w:pStyle w:val="TableContents"/>
              <w:bidi w:val="0"/>
              <w:spacing w:before="0" w:after="0"/>
              <w:jc w:val="center"/>
              <w:rPr/>
            </w:pPr>
            <w:r>
              <w:rPr/>
              <w:t> </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r>
              <w:rPr/>
              <w:t> </w:t>
            </w:r>
          </w:p>
        </w:tc>
      </w:tr>
      <w:tr>
        <w:trPr/>
        <w:tc>
          <w:tcPr>
            <w:tcW w:w="909" w:type="dxa"/>
            <w:tcBorders/>
            <w:tcMar>
              <w:bottom w:w="0" w:type="dxa"/>
            </w:tcMar>
            <w:vAlign w:val="center"/>
          </w:tcPr>
          <w:p>
            <w:pPr>
              <w:pStyle w:val="TableContents"/>
              <w:bidi w:val="0"/>
              <w:spacing w:before="0" w:after="0"/>
              <w:jc w:val="center"/>
              <w:rPr>
                <w:sz w:val="20"/>
              </w:rPr>
            </w:pPr>
            <w:r>
              <w:rPr>
                <w:sz w:val="20"/>
              </w:rPr>
              <w:t>107</w:t>
            </w:r>
          </w:p>
        </w:tc>
        <w:tc>
          <w:tcPr>
            <w:tcW w:w="60" w:type="dxa"/>
            <w:tcBorders/>
            <w:tcMar>
              <w:bottom w:w="0" w:type="dxa"/>
            </w:tcMar>
            <w:vAlign w:val="center"/>
          </w:tcPr>
          <w:p>
            <w:pPr>
              <w:pStyle w:val="TableContents"/>
              <w:bidi w:val="0"/>
              <w:spacing w:before="0" w:after="0"/>
              <w:jc w:val="left"/>
              <w:rPr/>
            </w:pPr>
            <w:r>
              <w:rPr/>
              <w:t> </w:t>
            </w:r>
          </w:p>
        </w:tc>
        <w:tc>
          <w:tcPr>
            <w:tcW w:w="9236" w:type="dxa"/>
            <w:tcBorders/>
            <w:tcMar>
              <w:bottom w:w="0" w:type="dxa"/>
            </w:tcMar>
            <w:vAlign w:val="center"/>
          </w:tcPr>
          <w:p>
            <w:pPr>
              <w:pStyle w:val="TableContents"/>
              <w:bidi w:val="0"/>
              <w:spacing w:before="0" w:after="0"/>
              <w:jc w:val="both"/>
              <w:rPr/>
            </w:pPr>
            <w:hyperlink w:anchor="exfilingfees_3.htm">
              <w:r>
                <w:rPr>
                  <w:rStyle w:val="InternetLink"/>
                  <w:color w:val="0000FF"/>
                  <w:sz w:val="20"/>
                  <w:u w:val="single"/>
                </w:rPr>
                <w:t>Filing Fee Table</w:t>
              </w:r>
            </w:hyperlink>
          </w:p>
        </w:tc>
      </w:tr>
    </w:tbl>
    <w:p>
      <w:pPr>
        <w:pStyle w:val="TextBody"/>
        <w:bidi w:val="0"/>
        <w:spacing w:lineRule="atLeast" w:line="240"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lineRule="atLeast" w:line="240" w:before="0" w:after="0"/>
        <w:jc w:val="center"/>
        <w:rPr>
          <w:b/>
          <w:sz w:val="20"/>
        </w:rPr>
      </w:pPr>
      <w:r>
        <w:rPr>
          <w:b/>
          <w:sz w:val="20"/>
        </w:rPr>
        <w:t>SIGNATURES</w:t>
      </w:r>
    </w:p>
    <w:p>
      <w:pPr>
        <w:pStyle w:val="TextBody"/>
        <w:bidi w:val="0"/>
        <w:spacing w:lineRule="atLeast" w:line="240" w:before="0" w:after="0"/>
        <w:jc w:val="both"/>
        <w:rPr/>
      </w:pPr>
      <w:r>
        <w:rPr/>
        <w:t> </w:t>
      </w:r>
    </w:p>
    <w:p>
      <w:pPr>
        <w:pStyle w:val="TextBody"/>
        <w:bidi w:val="0"/>
        <w:spacing w:lineRule="atLeast" w:line="240" w:before="0" w:after="0"/>
        <w:ind w:left="0" w:right="0" w:firstLine="720"/>
        <w:jc w:val="both"/>
        <w:rPr>
          <w:sz w:val="20"/>
        </w:rPr>
      </w:pPr>
      <w:r>
        <w:rPr>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Leawood, State of Kansas, on August 4, 2026.</w:t>
      </w:r>
    </w:p>
    <w:p>
      <w:pPr>
        <w:pStyle w:val="TextBody"/>
        <w:bidi w:val="0"/>
        <w:spacing w:lineRule="atLeast" w:line="240" w:before="0" w:after="0"/>
        <w:ind w:left="0" w:right="0" w:firstLine="720"/>
        <w:jc w:val="both"/>
        <w:rPr/>
      </w:pPr>
      <w:r>
        <w:rPr/>
        <w:t> </w:t>
      </w:r>
    </w:p>
    <w:tbl>
      <w:tblPr>
        <w:tblW w:w="8635" w:type="dxa"/>
        <w:jc w:val="left"/>
        <w:tblInd w:w="0" w:type="dxa"/>
        <w:tblLayout w:type="fixed"/>
        <w:tblCellMar>
          <w:top w:w="0" w:type="dxa"/>
          <w:left w:w="0" w:type="dxa"/>
          <w:bottom w:w="0" w:type="dxa"/>
          <w:right w:w="0" w:type="dxa"/>
        </w:tblCellMar>
      </w:tblPr>
      <w:tblGrid>
        <w:gridCol w:w="75"/>
        <w:gridCol w:w="320"/>
        <w:gridCol w:w="8240"/>
      </w:tblGrid>
      <w:tr>
        <w:trPr/>
        <w:tc>
          <w:tcPr>
            <w:tcW w:w="7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0"/>
              <w:jc w:val="left"/>
              <w:rPr/>
            </w:pPr>
            <w:r>
              <w:rPr/>
              <w:t> </w:t>
            </w:r>
            <w:r>
              <w:rPr>
                <w:b/>
                <w:sz w:val="20"/>
              </w:rPr>
              <w:t>EURONET WORLDWIDE, INC.</w:t>
            </w:r>
          </w:p>
          <w:p>
            <w:pPr>
              <w:pStyle w:val="TableContents"/>
              <w:bidi w:val="0"/>
              <w:spacing w:before="0" w:after="0"/>
              <w:jc w:val="left"/>
              <w:rPr/>
            </w:pPr>
            <w:r>
              <w:rPr/>
              <w:t> </w:t>
            </w:r>
          </w:p>
        </w:tc>
      </w:tr>
      <w:tr>
        <w:trPr/>
        <w:tc>
          <w:tcPr>
            <w:tcW w:w="75" w:type="dxa"/>
            <w:tcBorders>
              <w:bottom w:val="single" w:sz="6" w:space="0" w:color="FFFFFF"/>
            </w:tcBorders>
            <w:tcMar>
              <w:bottom w:w="30" w:type="dxa"/>
            </w:tcMar>
            <w:vAlign w:val="center"/>
          </w:tcPr>
          <w:p>
            <w:pPr>
              <w:pStyle w:val="TableContents"/>
              <w:bidi w:val="0"/>
              <w:spacing w:before="0" w:after="0"/>
              <w:jc w:val="left"/>
              <w:rPr/>
            </w:pPr>
            <w:r>
              <w:rPr/>
              <w:t> </w:t>
            </w:r>
          </w:p>
        </w:tc>
        <w:tc>
          <w:tcPr>
            <w:tcW w:w="320" w:type="dxa"/>
            <w:tcBorders>
              <w:bottom w:val="single" w:sz="6" w:space="0" w:color="FFFFFF"/>
            </w:tcBorders>
            <w:tcMar>
              <w:bottom w:w="30" w:type="dxa"/>
            </w:tcMar>
            <w:vAlign w:val="center"/>
          </w:tcPr>
          <w:p>
            <w:pPr>
              <w:pStyle w:val="TableContents"/>
              <w:bidi w:val="0"/>
              <w:spacing w:before="0" w:after="0"/>
              <w:jc w:val="right"/>
              <w:rPr>
                <w:sz w:val="20"/>
              </w:rPr>
            </w:pPr>
            <w:r>
              <w:rPr>
                <w:sz w:val="20"/>
              </w:rPr>
              <w:t>By:</w:t>
            </w:r>
          </w:p>
        </w:tc>
        <w:tc>
          <w:tcPr>
            <w:tcW w:w="8240" w:type="dxa"/>
            <w:tcBorders>
              <w:bottom w:val="single" w:sz="6" w:space="0" w:color="000000"/>
            </w:tcBorders>
            <w:tcMar>
              <w:bottom w:w="30" w:type="dxa"/>
            </w:tcMar>
            <w:vAlign w:val="center"/>
          </w:tcPr>
          <w:p>
            <w:pPr>
              <w:pStyle w:val="TableContents"/>
              <w:bidi w:val="0"/>
              <w:spacing w:before="0" w:after="0"/>
              <w:jc w:val="left"/>
              <w:rPr>
                <w:sz w:val="20"/>
              </w:rPr>
            </w:pPr>
            <w:r>
              <w:rPr>
                <w:sz w:val="20"/>
              </w:rPr>
              <w:t>/s/ Michael J. Brown</w:t>
            </w:r>
          </w:p>
        </w:tc>
      </w:tr>
      <w:tr>
        <w:trPr/>
        <w:tc>
          <w:tcPr>
            <w:tcW w:w="7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0"/>
              <w:jc w:val="left"/>
              <w:rPr>
                <w:sz w:val="20"/>
              </w:rPr>
            </w:pPr>
            <w:r>
              <w:rPr>
                <w:sz w:val="20"/>
              </w:rPr>
              <w:t>Michael J. Brown</w:t>
            </w:r>
          </w:p>
        </w:tc>
      </w:tr>
      <w:tr>
        <w:trPr/>
        <w:tc>
          <w:tcPr>
            <w:tcW w:w="7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0"/>
              <w:jc w:val="left"/>
              <w:rPr>
                <w:sz w:val="20"/>
              </w:rPr>
            </w:pPr>
            <w:r>
              <w:rPr>
                <w:sz w:val="20"/>
              </w:rPr>
              <w:t>Chairman of the Board of Directors, Chief Executive Officer and Director (principal executive officer)</w:t>
            </w:r>
          </w:p>
        </w:tc>
      </w:tr>
    </w:tbl>
    <w:p>
      <w:pPr>
        <w:pStyle w:val="TextBody"/>
        <w:bidi w:val="0"/>
        <w:spacing w:lineRule="atLeast" w:line="240" w:before="0" w:after="0"/>
        <w:ind w:left="0" w:right="0" w:firstLine="720"/>
        <w:jc w:val="left"/>
        <w:rPr/>
      </w:pPr>
      <w:r>
        <w:rPr/>
        <w:t> </w:t>
      </w:r>
    </w:p>
    <w:p>
      <w:pPr>
        <w:pStyle w:val="TextBody"/>
        <w:bidi w:val="0"/>
        <w:spacing w:lineRule="atLeast" w:line="288" w:before="0" w:after="0"/>
        <w:jc w:val="center"/>
        <w:rPr/>
      </w:pPr>
      <w:r>
        <w:rPr/>
        <w:t>POWER OF ATTORNEY</w:t>
      </w:r>
    </w:p>
    <w:p>
      <w:pPr>
        <w:pStyle w:val="TextBody"/>
        <w:bidi w:val="0"/>
        <w:spacing w:lineRule="atLeast" w:line="288" w:before="0" w:after="0"/>
        <w:jc w:val="center"/>
        <w:rPr/>
      </w:pPr>
      <w:r>
        <w:rPr/>
        <w:t> </w:t>
      </w:r>
    </w:p>
    <w:p>
      <w:pPr>
        <w:pStyle w:val="TextBody"/>
        <w:bidi w:val="0"/>
        <w:spacing w:lineRule="atLeast" w:line="240" w:before="0" w:after="240"/>
        <w:ind w:left="0" w:right="0" w:firstLine="720"/>
        <w:jc w:val="both"/>
        <w:rPr>
          <w:sz w:val="20"/>
        </w:rPr>
      </w:pPr>
      <w:r>
        <w:rPr>
          <w:sz w:val="20"/>
        </w:rPr>
        <w:t>KNOW ALL PERSONS BY THESE PRESENTS, that each individual whose signature appears below constitutes and appoints Michael J. Brown and Rick L. Weller, each of them, the undersigned's true and lawful attorneys-in-fact and agents with full power of substitution for the undersigned and in the undersigned's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 undersigned might or could do in person, hereby ratifying and confirming all that said attorneys-in-fact and agents or any of them, or his, her or their substitute or substitutes, may lawfully do or cause to be done by virtue thereof.</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lineRule="atLeast" w:line="240" w:before="0" w:after="0"/>
        <w:ind w:left="0" w:right="0" w:firstLine="720"/>
        <w:jc w:val="both"/>
        <w:rPr>
          <w:sz w:val="20"/>
        </w:rPr>
      </w:pPr>
      <w:r>
        <w:rPr>
          <w:sz w:val="20"/>
        </w:rPr>
        <w:t>Pursuant to the requirements of the Securities Act, this Registration Statement has been signed by the following persons in the capacities indicated on August 4, 2026.</w:t>
      </w:r>
    </w:p>
    <w:p>
      <w:pPr>
        <w:pStyle w:val="TextBody"/>
        <w:bidi w:val="0"/>
        <w:spacing w:lineRule="atLeast" w:line="240"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7"/>
        <w:gridCol w:w="60"/>
        <w:gridCol w:w="8103"/>
      </w:tblGrid>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center"/>
              <w:rPr>
                <w:sz w:val="20"/>
              </w:rPr>
            </w:pPr>
            <w:r>
              <w:rPr>
                <w:sz w:val="20"/>
              </w:rPr>
              <w:t>SIGNATURE</w:t>
            </w:r>
          </w:p>
        </w:tc>
        <w:tc>
          <w:tcPr>
            <w:tcW w:w="60" w:type="dxa"/>
            <w:tcBorders/>
            <w:vAlign w:val="center"/>
          </w:tcPr>
          <w:p>
            <w:pPr>
              <w:pStyle w:val="TableContents"/>
              <w:bidi w:val="0"/>
              <w:spacing w:before="0" w:after="0"/>
              <w:jc w:val="left"/>
              <w:rPr/>
            </w:pPr>
            <w:r>
              <w:rPr/>
              <w:t> </w:t>
            </w:r>
          </w:p>
        </w:tc>
        <w:tc>
          <w:tcPr>
            <w:tcW w:w="8103" w:type="dxa"/>
            <w:tcBorders>
              <w:bottom w:val="single" w:sz="6" w:space="0" w:color="000000"/>
            </w:tcBorders>
            <w:tcMar>
              <w:bottom w:w="30" w:type="dxa"/>
            </w:tcMar>
            <w:vAlign w:val="center"/>
          </w:tcPr>
          <w:p>
            <w:pPr>
              <w:pStyle w:val="TableContents"/>
              <w:bidi w:val="0"/>
              <w:spacing w:before="0" w:after="0"/>
              <w:jc w:val="center"/>
              <w:rPr>
                <w:sz w:val="20"/>
              </w:rPr>
            </w:pPr>
            <w:r>
              <w:rPr>
                <w:sz w:val="20"/>
              </w:rPr>
              <w:t>TITLE</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Michael J. Brown</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Michael J. Brown</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Chairman of the Board of Directors, Chief Executive Officer and Director (principal executive officer)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Rick L. Weller</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Rick L. Weller</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Chief Financial Officer and Chief Accounting Officer (principal financial officer and principal accounting officer)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Paul S. Althasen</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Paul S. Althasen</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Director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Michael N. Frumkin</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Michael N. Frumkin</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sz w:val="20"/>
              </w:rPr>
            </w:pPr>
            <w:r>
              <w:rPr>
                <w:sz w:val="20"/>
              </w:rPr>
              <w:t>Director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Thomas A. McDonnell</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Thomas A. McDonnell</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Director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Ligia Torres Fentanes</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Ligia Torres Fentanes</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Director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Sergi N. Herrero</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Sergi N. Herrero</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Director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Sara Baack</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Sara Baack</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Director</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bottom w:val="single" w:sz="6" w:space="0" w:color="000000"/>
            </w:tcBorders>
            <w:tcMar>
              <w:bottom w:w="30" w:type="dxa"/>
            </w:tcMar>
            <w:vAlign w:val="center"/>
          </w:tcPr>
          <w:p>
            <w:pPr>
              <w:pStyle w:val="TableContents"/>
              <w:bidi w:val="0"/>
              <w:spacing w:before="0" w:after="0"/>
              <w:jc w:val="both"/>
              <w:rPr>
                <w:sz w:val="20"/>
              </w:rPr>
            </w:pPr>
            <w:r>
              <w:rPr>
                <w:sz w:val="20"/>
              </w:rPr>
              <w:t>/s/ Brad Sprong</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967" w:type="dxa"/>
            <w:tcBorders/>
            <w:vAlign w:val="center"/>
          </w:tcPr>
          <w:p>
            <w:pPr>
              <w:pStyle w:val="TableContents"/>
              <w:bidi w:val="0"/>
              <w:spacing w:before="0" w:after="0"/>
              <w:jc w:val="both"/>
              <w:rPr>
                <w:b/>
                <w:sz w:val="20"/>
              </w:rPr>
            </w:pPr>
            <w:r>
              <w:rPr>
                <w:b/>
                <w:sz w:val="20"/>
              </w:rPr>
              <w:t>Brad Sprong</w:t>
            </w:r>
          </w:p>
        </w:tc>
        <w:tc>
          <w:tcPr>
            <w:tcW w:w="60" w:type="dxa"/>
            <w:tcBorders/>
            <w:vAlign w:val="center"/>
          </w:tcPr>
          <w:p>
            <w:pPr>
              <w:pStyle w:val="TableContents"/>
              <w:bidi w:val="0"/>
              <w:spacing w:before="0" w:after="0"/>
              <w:jc w:val="left"/>
              <w:rPr/>
            </w:pPr>
            <w:r>
              <w:rPr/>
              <w:t> </w:t>
            </w:r>
          </w:p>
        </w:tc>
        <w:tc>
          <w:tcPr>
            <w:tcW w:w="8103" w:type="dxa"/>
            <w:tcBorders/>
            <w:vAlign w:val="center"/>
          </w:tcPr>
          <w:p>
            <w:pPr>
              <w:pStyle w:val="TableContents"/>
              <w:bidi w:val="0"/>
              <w:spacing w:before="0" w:after="0"/>
              <w:jc w:val="both"/>
              <w:rPr>
                <w:sz w:val="20"/>
              </w:rPr>
            </w:pPr>
            <w:r>
              <w:rPr>
                <w:sz w:val="20"/>
              </w:rPr>
              <w:t>Director</w:t>
            </w:r>
          </w:p>
        </w:tc>
      </w:tr>
    </w:tbl>
    <w:p>
      <w:pPr>
        <w:pStyle w:val="TextBody"/>
        <w:bidi w:val="0"/>
        <w:spacing w:lineRule="atLeast" w:line="240" w:before="0" w:after="0"/>
        <w:jc w:val="left"/>
        <w:rPr/>
      </w:pPr>
      <w:r>
        <w:rPr/>
        <w:t> </w:t>
      </w:r>
    </w:p>
    <w:p>
      <w:pPr>
        <w:pStyle w:val="TextBody"/>
        <w:bidi w:val="0"/>
        <w:spacing w:before="0" w:after="0"/>
        <w:jc w:val="center"/>
        <w:rPr>
          <w:sz w:val="20"/>
        </w:rPr>
      </w:pPr>
      <w:r>
        <w:rPr>
          <w:sz w:val="20"/>
        </w:rPr>
        <w:t>6</w:t>
      </w:r>
    </w:p>
    <w:p>
      <w:pPr>
        <w:pStyle w:val="HorizontalLine"/>
        <w:pBdr>
          <w:bottom w:val="double" w:sz="2" w:space="0" w:color="808080"/>
        </w:pBdr>
        <w:bidi w:val="0"/>
        <w:jc w:val="center"/>
        <w:rPr/>
      </w:pPr>
      <w:r>
        <w:rPr/>
      </w:r>
    </w:p>
    <w:p>
      <w:pPr>
        <w:pStyle w:val="TextBody"/>
        <w:bidi w:val="0"/>
        <w:spacing w:before="160" w:after="160"/>
        <w:jc w:val="right"/>
        <w:rPr>
          <w:rFonts w:ascii="Times New Roman" w:hAnsi="Times New Roman"/>
          <w:b/>
          <w:sz w:val="20"/>
        </w:rPr>
      </w:pPr>
      <w:bookmarkStart w:id="2" w:name="ex51_1.htm"/>
      <w:bookmarkStart w:id="3" w:name="ksex51_1"/>
      <w:bookmarkEnd w:id="2"/>
      <w:bookmarkEnd w:id="3"/>
      <w:r>
        <w:rPr>
          <w:rFonts w:ascii="Times New Roman" w:hAnsi="Times New Roman"/>
          <w:b/>
          <w:sz w:val="20"/>
        </w:rPr>
        <w:t>Exhibit 5.1</w:t>
      </w:r>
      <w:r>
        <w:br w:type="page"/>
      </w:r>
    </w:p>
    <w:p>
      <w:pPr>
        <w:pStyle w:val="TextBody"/>
        <w:bidi w:val="0"/>
        <w:spacing w:before="160" w:after="160"/>
        <w:jc w:val="left"/>
        <w:rPr/>
      </w:pPr>
      <w:r>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81125" cy="209550"/>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9"/>
                    <a:stretch>
                      <a:fillRect/>
                    </a:stretch>
                  </pic:blipFill>
                  <pic:spPr bwMode="auto">
                    <a:xfrm>
                      <a:off x="0" y="0"/>
                      <a:ext cx="1381125" cy="209550"/>
                    </a:xfrm>
                    <a:prstGeom prst="rect">
                      <a:avLst/>
                    </a:prstGeom>
                  </pic:spPr>
                </pic:pic>
              </a:graphicData>
            </a:graphic>
          </wp:anchor>
        </w:drawing>
      </w:r>
      <w:r>
        <w:rPr/>
        <w:t> </w:t>
      </w:r>
    </w:p>
    <w:p>
      <w:pPr>
        <w:pStyle w:val="TextBody"/>
        <w:bidi w:val="0"/>
        <w:spacing w:before="160" w:after="160"/>
        <w:jc w:val="left"/>
        <w:rPr/>
      </w:pPr>
      <w:r>
        <w:rPr/>
        <w:t> </w:t>
      </w:r>
    </w:p>
    <w:p>
      <w:pPr>
        <w:pStyle w:val="TextBody"/>
        <w:bidi w:val="0"/>
        <w:spacing w:before="160" w:after="160"/>
        <w:jc w:val="left"/>
        <w:rPr>
          <w:rFonts w:ascii="Times New Roman" w:hAnsi="Times New Roman"/>
          <w:sz w:val="20"/>
        </w:rPr>
      </w:pPr>
      <w:r>
        <w:rPr>
          <w:rFonts w:ascii="Times New Roman" w:hAnsi="Times New Roman"/>
          <w:sz w:val="20"/>
        </w:rPr>
        <w:t>August 4, 2026</w:t>
      </w:r>
    </w:p>
    <w:p>
      <w:pPr>
        <w:pStyle w:val="TextBody"/>
        <w:bidi w:val="0"/>
        <w:spacing w:before="0" w:after="0"/>
        <w:jc w:val="left"/>
        <w:rPr>
          <w:rFonts w:ascii="Times New Roman" w:hAnsi="Times New Roman"/>
          <w:sz w:val="20"/>
        </w:rPr>
      </w:pPr>
      <w:r>
        <w:rPr>
          <w:rFonts w:ascii="Times New Roman" w:hAnsi="Times New Roman"/>
          <w:sz w:val="20"/>
        </w:rPr>
        <w:t>Euronet Worldwide, Inc.</w:t>
      </w:r>
    </w:p>
    <w:p>
      <w:pPr>
        <w:pStyle w:val="TextBody"/>
        <w:bidi w:val="0"/>
        <w:spacing w:before="0" w:after="0"/>
        <w:jc w:val="left"/>
        <w:rPr>
          <w:rFonts w:ascii="Times New Roman" w:hAnsi="Times New Roman"/>
          <w:sz w:val="20"/>
        </w:rPr>
      </w:pPr>
      <w:r>
        <w:rPr>
          <w:rFonts w:ascii="Times New Roman" w:hAnsi="Times New Roman"/>
          <w:sz w:val="20"/>
        </w:rPr>
        <w:t>11400 Tomahawk Creek Parkway, Suite 300</w:t>
      </w:r>
    </w:p>
    <w:p>
      <w:pPr>
        <w:pStyle w:val="TextBody"/>
        <w:bidi w:val="0"/>
        <w:spacing w:before="0" w:after="0"/>
        <w:jc w:val="left"/>
        <w:rPr>
          <w:rFonts w:ascii="Times New Roman" w:hAnsi="Times New Roman"/>
          <w:sz w:val="20"/>
        </w:rPr>
      </w:pPr>
      <w:r>
        <w:rPr>
          <w:rFonts w:ascii="Times New Roman" w:hAnsi="Times New Roman"/>
          <w:sz w:val="20"/>
        </w:rPr>
        <w:t>Leawood, Kansas 66211</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365"/>
        <w:gridCol w:w="5705"/>
      </w:tblGrid>
      <w:tr>
        <w:trPr/>
        <w:tc>
          <w:tcPr>
            <w:tcW w:w="365" w:type="dxa"/>
            <w:tcBorders/>
            <w:vAlign w:val="center"/>
          </w:tcPr>
          <w:p>
            <w:pPr>
              <w:pStyle w:val="TableContents"/>
              <w:bidi w:val="0"/>
              <w:spacing w:before="0" w:after="0"/>
              <w:jc w:val="left"/>
              <w:rPr>
                <w:sz w:val="20"/>
              </w:rPr>
            </w:pPr>
            <w:r>
              <w:rPr>
                <w:rFonts w:ascii="Times New Roman" w:hAnsi="Times New Roman"/>
                <w:sz w:val="20"/>
              </w:rPr>
              <w:t>Re:</w:t>
            </w:r>
            <w:r>
              <w:rPr>
                <w:sz w:val="20"/>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Securities Covered by Registration Statement on Form S-8</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Ladies and Gentlemen:</w:t>
      </w:r>
    </w:p>
    <w:p>
      <w:pPr>
        <w:pStyle w:val="TextBody"/>
        <w:bidi w:val="0"/>
        <w:spacing w:before="0" w:after="0"/>
        <w:jc w:val="left"/>
        <w:rPr/>
      </w:pPr>
      <w:r>
        <w:rPr/>
        <w:t> </w:t>
      </w:r>
    </w:p>
    <w:p>
      <w:pPr>
        <w:pStyle w:val="TextBody"/>
        <w:bidi w:val="0"/>
        <w:spacing w:before="0" w:after="220"/>
        <w:jc w:val="both"/>
        <w:rPr>
          <w:rFonts w:ascii="Times New Roman" w:hAnsi="Times New Roman"/>
          <w:sz w:val="20"/>
        </w:rPr>
      </w:pPr>
      <w:r>
        <w:rPr>
          <w:rFonts w:ascii="Times New Roman" w:hAnsi="Times New Roman"/>
          <w:sz w:val="20"/>
        </w:rPr>
        <w:t>We have acted as counsel to Euronet Worldwide, Inc., a Delaware corporation (the “Company”), in connection with the Registration Statement on Form S-8 (the “Registration Statement”) filed with the Securities and Exchange Commission (the “Commission”) by the Company on or about the date hereof under the Securities Act of 1933, as amended (the “Act”). The Registration Statement relates to up to 2,070,000 shares (the “Shares”) of the Company’s common stock, $0.02 par value per share (the “Common Stock”), to be issued pursuant to the Euronet Worldwide, Inc. 2006 Stock Incentive Plan, as amended and restated (the “Plan”). The Registration Statement also relates to such additional shares of Common Stock as may become issuable pursuant to the anti-dilution provisions of the Plan (collectively with the Shares, the “Securities”).</w:t>
      </w:r>
    </w:p>
    <w:p>
      <w:pPr>
        <w:pStyle w:val="TextBody"/>
        <w:bidi w:val="0"/>
        <w:spacing w:before="0" w:after="220"/>
        <w:jc w:val="both"/>
        <w:rPr>
          <w:rFonts w:ascii="Times New Roman" w:hAnsi="Times New Roman"/>
          <w:sz w:val="20"/>
        </w:rPr>
      </w:pPr>
      <w:r>
        <w:rPr>
          <w:rFonts w:ascii="Times New Roman" w:hAnsi="Times New Roman"/>
          <w:sz w:val="20"/>
        </w:rPr>
        <w:t>In connection with this opinion, we have examined the Registration Statement and originals or copies, certified or otherwise identified to our satisfaction, of such records, agreements and instruments of the Company, certificates of public officials and of officers of the Company and such other documents and records, and such matters of law, as we have deemed necessary as a basis for the opinions hereinafter expressed, including the Company’s Certificate of Incorporation, as amended (the “Charter”), and the Company’s Amended and Restated Bylaws, as amended (the “Bylaws”).</w:t>
      </w:r>
    </w:p>
    <w:p>
      <w:pPr>
        <w:pStyle w:val="TextBody"/>
        <w:bidi w:val="0"/>
        <w:spacing w:before="0" w:after="220"/>
        <w:jc w:val="both"/>
        <w:rPr>
          <w:rFonts w:ascii="Times New Roman" w:hAnsi="Times New Roman"/>
          <w:sz w:val="20"/>
        </w:rPr>
      </w:pPr>
      <w:r>
        <w:rPr>
          <w:rFonts w:ascii="Times New Roman" w:hAnsi="Times New Roman"/>
          <w:sz w:val="20"/>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genuineness of the signatures of persons signing all documents in connection with which this opinion is rendered, the authority of such persons signing on behalf of the parties thereto other than the Company and the due authorization, execution, delivery and binding effect of all documents by the parties thereto other than the Company. As to any facts material to the opinion expressed herein which we have not independently established or verified, we have relied upon the statements and representations of officers and other representatives of the Company and others. This opinion assumes that the provisions of the Charter and the Bylaws will not be amended after the date hereof. This opinion further assumes compliance both in the past and in the future with the terms of the Plan by the Company and its employees, officers, board of directors and any committee and/or trustee appointed to administer the Plan.</w:t>
      </w:r>
    </w:p>
    <w:p>
      <w:pPr>
        <w:pStyle w:val="TextBody"/>
        <w:bidi w:val="0"/>
        <w:spacing w:before="0" w:after="220"/>
        <w:jc w:val="both"/>
        <w:rPr>
          <w:rFonts w:ascii="Times New Roman" w:hAnsi="Times New Roman"/>
          <w:sz w:val="20"/>
        </w:rPr>
      </w:pPr>
      <w:r>
        <w:rPr>
          <w:rFonts w:ascii="Times New Roman" w:hAnsi="Times New Roman"/>
          <w:sz w:val="20"/>
        </w:rPr>
        <w:t>We express no opinion as to matters under or involving the laws of any jurisdiction other than the federal laws of the United States of America and the laws of the State of Delaware. We advise you that the issues addressed by this opinion may be governed in whole or in part by other laws, and we express no opinion as to whether any relevant difference exists between the laws upon which our opinion is based and any other laws that may actually govern.</w:t>
      </w:r>
    </w:p>
    <w:p>
      <w:pPr>
        <w:pStyle w:val="TextBody"/>
        <w:bidi w:val="0"/>
        <w:spacing w:lineRule="auto" w:line="276" w:before="0" w:after="200"/>
        <w:jc w:val="both"/>
        <w:rPr>
          <w:rFonts w:ascii="Times New Roman" w:hAnsi="Times New Roman"/>
          <w:sz w:val="20"/>
        </w:rPr>
      </w:pPr>
      <w:r>
        <w:rPr>
          <w:rFonts w:ascii="Times New Roman" w:hAnsi="Times New Roman"/>
          <w:sz w:val="20"/>
        </w:rPr>
        <w:t>Based upon and subject to the foregoing, and having regard for such legal considerations as we have deemed relevant, upon the issuance and sale of said Securities for the consideration and upon the terms and conditions set forth in the Plan, said Securities will be legally issued, fully paid and non-assessable.</w:t>
      </w:r>
    </w:p>
    <w:p>
      <w:pPr>
        <w:pStyle w:val="TextBody"/>
        <w:bidi w:val="0"/>
        <w:spacing w:before="0" w:after="220"/>
        <w:jc w:val="both"/>
        <w:rPr>
          <w:rFonts w:ascii="Times New Roman" w:hAnsi="Times New Roman"/>
          <w:sz w:val="20"/>
        </w:rPr>
      </w:pPr>
      <w:r>
        <w:rPr>
          <w:rFonts w:ascii="Times New Roman" w:hAnsi="Times New Roman"/>
          <w:sz w:val="20"/>
        </w:rPr>
        <w:t>This opinion is limited to the specific issues addressed herein, and no opinion may be inferred or implied beyond that expressly stated herein. This opinion is rendered on the date hereof and we have no continuing obligation hereunder to inform you of changes of law, including judicial interpretations of law, or of facts of which we become aware after the date hereof.</w:t>
      </w:r>
    </w:p>
    <w:p>
      <w:pPr>
        <w:pStyle w:val="TextBody"/>
        <w:bidi w:val="0"/>
        <w:spacing w:before="0" w:after="220"/>
        <w:jc w:val="both"/>
        <w:rPr>
          <w:rFonts w:ascii="Times New Roman" w:hAnsi="Times New Roman"/>
          <w:sz w:val="20"/>
        </w:rPr>
      </w:pPr>
      <w:r>
        <w:rPr>
          <w:rFonts w:ascii="Times New Roman" w:hAnsi="Times New Roman"/>
          <w:sz w:val="20"/>
        </w:rPr>
        <w:t>We consent to the filing of this opinion with the Commission as an exhibit to the Registration Statement. In giving such consent, we do not thereby admit that we are in the category of persons whose consent is required under Section 7 of the Act or the rules of the Commission.</w:t>
      </w:r>
    </w:p>
    <w:p>
      <w:pPr>
        <w:pStyle w:val="TextBody"/>
        <w:keepNext w:val="true"/>
        <w:bidi w:val="0"/>
        <w:spacing w:before="0" w:after="0"/>
        <w:jc w:val="left"/>
        <w:rPr/>
      </w:pPr>
      <w:r>
        <w:rPr/>
        <w:t> </w:t>
      </w:r>
    </w:p>
    <w:p>
      <w:pPr>
        <w:pStyle w:val="TextBody"/>
        <w:keepNext w:val="true"/>
        <w:bidi w:val="0"/>
        <w:spacing w:before="0" w:after="0"/>
        <w:jc w:val="left"/>
        <w:rPr>
          <w:rFonts w:ascii="Times New Roman" w:hAnsi="Times New Roman"/>
          <w:sz w:val="20"/>
        </w:rPr>
      </w:pPr>
      <w:r>
        <w:rPr>
          <w:rFonts w:ascii="Times New Roman" w:hAnsi="Times New Roman"/>
          <w:sz w:val="20"/>
        </w:rPr>
        <w:t>Very truly yours,</w:t>
      </w:r>
    </w:p>
    <w:p>
      <w:pPr>
        <w:pStyle w:val="TextBody"/>
        <w:keepNext w:val="true"/>
        <w:bidi w:val="0"/>
        <w:spacing w:before="0" w:after="0"/>
        <w:jc w:val="left"/>
        <w:rPr/>
      </w:pPr>
      <w:r>
        <w:rPr/>
        <w:t> </w:t>
      </w:r>
    </w:p>
    <w:p>
      <w:pPr>
        <w:pStyle w:val="TextBody"/>
        <w:keepNext w:val="true"/>
        <w:bidi w:val="0"/>
        <w:spacing w:before="0" w:after="0"/>
        <w:jc w:val="left"/>
        <w:rPr>
          <w:rFonts w:ascii="Times New Roman" w:hAnsi="Times New Roman"/>
          <w:sz w:val="20"/>
        </w:rPr>
      </w:pPr>
      <w:r>
        <w:rPr>
          <w:rFonts w:ascii="Times New Roman" w:hAnsi="Times New Roman"/>
          <w:sz w:val="20"/>
        </w:rPr>
        <w:t>/s/ Stinson LLP</w:t>
      </w:r>
    </w:p>
    <w:p>
      <w:pPr>
        <w:pStyle w:val="TextBody"/>
        <w:bidi w:val="0"/>
        <w:spacing w:lineRule="auto" w:line="276" w:before="0" w:after="200"/>
        <w:jc w:val="left"/>
        <w:rPr>
          <w:rFonts w:ascii="Times New Roman" w:hAnsi="Times New Roman"/>
          <w:b/>
          <w:sz w:val="20"/>
        </w:rPr>
      </w:pPr>
      <w:r>
        <w:rPr>
          <w:rFonts w:ascii="Times New Roman" w:hAnsi="Times New Roman"/>
          <w:b/>
          <w:sz w:val="20"/>
        </w:rPr>
        <w:t>Stinson LLP</w:t>
      </w:r>
    </w:p>
    <w:p>
      <w:pPr>
        <w:pStyle w:val="TextBody"/>
        <w:bidi w:val="0"/>
        <w:spacing w:lineRule="auto" w:line="276" w:before="0" w:after="0"/>
        <w:jc w:val="right"/>
        <w:rPr>
          <w:rFonts w:ascii="Times New Roman" w:hAnsi="Times New Roman"/>
          <w:b/>
          <w:sz w:val="20"/>
        </w:rPr>
      </w:pPr>
      <w:bookmarkStart w:id="4" w:name="ex231_2.htm"/>
      <w:bookmarkStart w:id="5" w:name="ksex231_2"/>
      <w:bookmarkEnd w:id="4"/>
      <w:bookmarkEnd w:id="5"/>
      <w:r>
        <w:rPr>
          <w:rFonts w:ascii="Times New Roman" w:hAnsi="Times New Roman"/>
          <w:b/>
          <w:sz w:val="20"/>
        </w:rPr>
        <w:t>Exhibit 23.1</w:t>
      </w:r>
      <w:r>
        <w:br w:type="page"/>
      </w:r>
    </w:p>
    <w:p>
      <w:pPr>
        <w:pStyle w:val="TextBody"/>
        <w:bidi w:val="0"/>
        <w:spacing w:lineRule="atLeast" w:line="240" w:before="0" w:after="200"/>
        <w:jc w:val="center"/>
        <w:rPr>
          <w:rFonts w:ascii="Times New Roman" w:hAnsi="Times New Roman"/>
          <w:b/>
          <w:sz w:val="20"/>
        </w:rPr>
      </w:pPr>
      <w:r>
        <w:rPr>
          <w:rFonts w:ascii="Times New Roman" w:hAnsi="Times New Roman"/>
          <w:b/>
          <w:sz w:val="20"/>
        </w:rPr>
        <w:t>Consent of Independent Registered Public Accounting Firm</w:t>
      </w:r>
    </w:p>
    <w:p>
      <w:pPr>
        <w:pStyle w:val="TextBody"/>
        <w:keepNext w:val="true"/>
        <w:bidi w:val="0"/>
        <w:spacing w:lineRule="atLeast" w:line="240" w:before="0" w:after="200"/>
        <w:jc w:val="both"/>
        <w:rPr>
          <w:rFonts w:ascii="Times New Roman" w:hAnsi="Times New Roman"/>
          <w:sz w:val="20"/>
        </w:rPr>
      </w:pPr>
      <w:r>
        <w:rPr>
          <w:rFonts w:ascii="Times New Roman" w:hAnsi="Times New Roman"/>
          <w:sz w:val="20"/>
        </w:rPr>
        <w:t>We consent to the use of our report dated February 26, 2026, with respect to the consolidated financial statements of Euronet Worldwide, Inc., and the effectiveness of internal control over financial reporting, incorporated herein by reference.</w:t>
      </w:r>
    </w:p>
    <w:p>
      <w:pPr>
        <w:pStyle w:val="TextBody"/>
        <w:keepNext w:val="true"/>
        <w:bidi w:val="0"/>
        <w:spacing w:lineRule="atLeast" w:line="240" w:before="0" w:after="0"/>
        <w:jc w:val="left"/>
        <w:rPr>
          <w:rFonts w:ascii="Times New Roman" w:hAnsi="Times New Roman"/>
          <w:sz w:val="20"/>
        </w:rPr>
      </w:pPr>
      <w:r>
        <w:rPr>
          <w:rFonts w:ascii="Times New Roman" w:hAnsi="Times New Roman"/>
          <w:sz w:val="20"/>
        </w:rPr>
        <w:t>/s/ KPMG LLP</w:t>
      </w:r>
    </w:p>
    <w:p>
      <w:pPr>
        <w:pStyle w:val="TextBody"/>
        <w:bidi w:val="0"/>
        <w:spacing w:lineRule="auto" w:line="276" w:before="0" w:after="0"/>
        <w:jc w:val="left"/>
        <w:rPr>
          <w:sz w:val="20"/>
        </w:rPr>
      </w:pPr>
      <w:r>
        <w:rPr>
          <w:rFonts w:ascii="Times New Roman" w:hAnsi="Times New Roman"/>
          <w:sz w:val="20"/>
        </w:rPr>
        <w:t>Kansas City, Missouri</w:t>
      </w:r>
      <w:r>
        <w:rPr>
          <w:sz w:val="20"/>
        </w:rPr>
        <w:br/>
      </w:r>
      <w:r>
        <w:rPr>
          <w:rFonts w:ascii="Times New Roman" w:hAnsi="Times New Roman"/>
          <w:sz w:val="20"/>
        </w:rPr>
        <w:t>August 4, 2026</w:t>
      </w:r>
    </w:p>
    <w:p>
      <w:pPr>
        <w:pStyle w:val="Normal"/>
        <w:bidi w:val="0"/>
        <w:spacing w:before="0" w:after="0"/>
        <w:jc w:val="left"/>
        <w:rPr>
          <w:sz w:val="4"/>
          <w:szCs w:val="4"/>
        </w:rPr>
      </w:pPr>
      <w:r>
        <w:rPr>
          <w:sz w:val="4"/>
          <w:szCs w:val="4"/>
        </w:rPr>
      </w:r>
      <w:bookmarkStart w:id="6" w:name="exfilingfees_3.htm"/>
      <w:bookmarkStart w:id="7" w:name="ksexfilingfees_3"/>
      <w:bookmarkStart w:id="8" w:name="exfilingfees_3.htm"/>
      <w:bookmarkStart w:id="9" w:name="ksexfilingfees_3"/>
      <w:bookmarkEnd w:id="8"/>
      <w:bookmarkEnd w:id="9"/>
      <w:r>
        <w:br w:type="page"/>
      </w:r>
    </w:p>
    <w:tbl>
      <w:tblPr>
        <w:tblW w:w="3860" w:type="dxa"/>
        <w:jc w:val="left"/>
        <w:tblInd w:w="0" w:type="dxa"/>
        <w:tblLayout w:type="fixed"/>
        <w:tblCellMar>
          <w:top w:w="28" w:type="dxa"/>
          <w:left w:w="28" w:type="dxa"/>
          <w:bottom w:w="28" w:type="dxa"/>
          <w:right w:w="28" w:type="dxa"/>
        </w:tblCellMar>
      </w:tblPr>
      <w:tblGrid>
        <w:gridCol w:w="3706"/>
        <w:gridCol w:w="154"/>
      </w:tblGrid>
      <w:tr>
        <w:trPr/>
        <w:tc>
          <w:tcPr>
            <w:tcW w:w="38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b/>
              </w:rPr>
            </w:pPr>
            <w:r>
              <w:rPr>
                <w:b/>
              </w:rPr>
              <w:t xml:space="preserve">EURONET WORLDWIDE,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001"/>
        <w:gridCol w:w="1285"/>
        <w:gridCol w:w="1194"/>
        <w:gridCol w:w="1188"/>
        <w:gridCol w:w="1804"/>
        <w:gridCol w:w="1126"/>
        <w:gridCol w:w="1415"/>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0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5"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001" w:type="dxa"/>
            <w:tcBorders/>
            <w:shd w:fill="E7E7E2" w:val="clear"/>
            <w:vAlign w:val="center"/>
          </w:tcPr>
          <w:p>
            <w:pPr>
              <w:pStyle w:val="TableContents"/>
              <w:bidi w:val="0"/>
              <w:spacing w:before="0" w:after="283"/>
              <w:jc w:val="left"/>
              <w:rPr/>
            </w:pPr>
            <w:r>
              <w:rPr/>
              <w:t xml:space="preserve">Common Stock </w:t>
            </w:r>
          </w:p>
        </w:tc>
        <w:tc>
          <w:tcPr>
            <w:tcW w:w="1285" w:type="dxa"/>
            <w:tcBorders/>
            <w:shd w:fill="E7E7E2" w:val="clear"/>
            <w:vAlign w:val="center"/>
          </w:tcPr>
          <w:p>
            <w:pPr>
              <w:pStyle w:val="TableContents"/>
              <w:bidi w:val="0"/>
              <w:spacing w:before="0" w:after="283"/>
              <w:jc w:val="center"/>
              <w:rPr/>
            </w:pPr>
            <w:r>
              <w:rPr/>
              <w:t xml:space="preserve">Other </w:t>
            </w:r>
          </w:p>
        </w:tc>
        <w:tc>
          <w:tcPr>
            <w:tcW w:w="1194" w:type="dxa"/>
            <w:tcBorders/>
            <w:shd w:fill="E7E7E2" w:val="clear"/>
            <w:vAlign w:val="center"/>
          </w:tcPr>
          <w:p>
            <w:pPr>
              <w:pStyle w:val="TableContents"/>
              <w:bidi w:val="0"/>
              <w:spacing w:before="0" w:after="283"/>
              <w:jc w:val="right"/>
              <w:rPr/>
            </w:pPr>
            <w:r>
              <w:rPr/>
              <w:t xml:space="preserve">2,070,000 </w:t>
            </w:r>
          </w:p>
        </w:tc>
        <w:tc>
          <w:tcPr>
            <w:tcW w:w="1188" w:type="dxa"/>
            <w:tcBorders/>
            <w:shd w:fill="E7E7E2" w:val="clear"/>
            <w:vAlign w:val="center"/>
          </w:tcPr>
          <w:p>
            <w:pPr>
              <w:pStyle w:val="TableContents"/>
              <w:bidi w:val="0"/>
              <w:spacing w:before="0" w:after="283"/>
              <w:jc w:val="right"/>
              <w:rPr/>
            </w:pPr>
            <w:r>
              <w:rPr/>
              <w:t xml:space="preserve">$ 77.65 </w:t>
            </w:r>
          </w:p>
        </w:tc>
        <w:tc>
          <w:tcPr>
            <w:tcW w:w="1804" w:type="dxa"/>
            <w:tcBorders/>
            <w:shd w:fill="E7E7E2" w:val="clear"/>
            <w:vAlign w:val="center"/>
          </w:tcPr>
          <w:p>
            <w:pPr>
              <w:pStyle w:val="TableContents"/>
              <w:bidi w:val="0"/>
              <w:spacing w:before="0" w:after="283"/>
              <w:jc w:val="right"/>
              <w:rPr/>
            </w:pPr>
            <w:r>
              <w:rPr/>
              <w:t xml:space="preserve">$ 160,735,500.00 </w:t>
            </w:r>
          </w:p>
        </w:tc>
        <w:tc>
          <w:tcPr>
            <w:tcW w:w="1126" w:type="dxa"/>
            <w:tcBorders/>
            <w:shd w:fill="E7E7E2" w:val="clear"/>
            <w:vAlign w:val="center"/>
          </w:tcPr>
          <w:p>
            <w:pPr>
              <w:pStyle w:val="TableContents"/>
              <w:bidi w:val="0"/>
              <w:spacing w:before="0" w:after="283"/>
              <w:jc w:val="right"/>
              <w:rPr/>
            </w:pPr>
            <w:r>
              <w:rPr/>
              <w:t xml:space="preserve">0.0001381 </w:t>
            </w:r>
          </w:p>
        </w:tc>
        <w:tc>
          <w:tcPr>
            <w:tcW w:w="1415" w:type="dxa"/>
            <w:tcBorders/>
            <w:shd w:fill="E7E7E2" w:val="clear"/>
            <w:vAlign w:val="center"/>
          </w:tcPr>
          <w:p>
            <w:pPr>
              <w:pStyle w:val="TableContents"/>
              <w:bidi w:val="0"/>
              <w:spacing w:before="0" w:after="283"/>
              <w:jc w:val="right"/>
              <w:rPr/>
            </w:pPr>
            <w:r>
              <w:rPr/>
              <w:t xml:space="preserve">$ 22,197.57 </w:t>
            </w:r>
          </w:p>
        </w:tc>
      </w:tr>
      <w:tr>
        <w:trPr/>
        <w:tc>
          <w:tcPr>
            <w:tcW w:w="4672" w:type="dxa"/>
            <w:gridSpan w:val="5"/>
            <w:tcBorders/>
            <w:vAlign w:val="center"/>
          </w:tcPr>
          <w:p>
            <w:pPr>
              <w:pStyle w:val="TableContents"/>
              <w:bidi w:val="0"/>
              <w:spacing w:before="0" w:after="0"/>
              <w:ind w:left="0" w:right="0" w:hanging="0"/>
              <w:jc w:val="right"/>
              <w:rPr/>
            </w:pPr>
            <w:r>
              <w:rPr/>
              <w:t>Total Offering Amounts:</w:t>
            </w:r>
          </w:p>
        </w:tc>
        <w:tc>
          <w:tcPr>
            <w:tcW w:w="118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0"/>
              <w:ind w:left="0" w:right="0" w:hanging="0"/>
              <w:jc w:val="right"/>
              <w:rPr/>
            </w:pPr>
            <w:bookmarkStart w:id="10" w:name="MaxAggtOfferingPrice"/>
            <w:bookmarkEnd w:id="10"/>
            <w:r>
              <w:rPr/>
              <w:t xml:space="preserve">$ 160,735,500.00 </w:t>
            </w:r>
          </w:p>
        </w:tc>
        <w:tc>
          <w:tcPr>
            <w:tcW w:w="1126" w:type="dxa"/>
            <w:tcBorders/>
            <w:vAlign w:val="center"/>
          </w:tcPr>
          <w:p>
            <w:pPr>
              <w:pStyle w:val="TableContents"/>
              <w:bidi w:val="0"/>
              <w:spacing w:before="0" w:after="283"/>
              <w:jc w:val="left"/>
              <w:rPr>
                <w:sz w:val="4"/>
                <w:szCs w:val="4"/>
              </w:rPr>
            </w:pPr>
            <w:r>
              <w:rPr>
                <w:sz w:val="4"/>
                <w:szCs w:val="4"/>
              </w:rPr>
            </w:r>
          </w:p>
        </w:tc>
        <w:tc>
          <w:tcPr>
            <w:tcW w:w="1415"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$ 22,197.57 </w:t>
            </w:r>
          </w:p>
        </w:tc>
      </w:tr>
      <w:tr>
        <w:trPr/>
        <w:tc>
          <w:tcPr>
            <w:tcW w:w="4672" w:type="dxa"/>
            <w:gridSpan w:val="5"/>
            <w:tcBorders/>
            <w:vAlign w:val="center"/>
          </w:tcPr>
          <w:p>
            <w:pPr>
              <w:pStyle w:val="TableContents"/>
              <w:bidi w:val="0"/>
              <w:spacing w:before="0" w:after="0"/>
              <w:ind w:left="0" w:right="0" w:hanging="0"/>
              <w:jc w:val="right"/>
              <w:rPr/>
            </w:pPr>
            <w:r>
              <w:rPr/>
              <w:t xml:space="preserve">Total Fee Offsets: </w:t>
            </w:r>
          </w:p>
        </w:tc>
        <w:tc>
          <w:tcPr>
            <w:tcW w:w="118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0"/>
              <w:ind w:left="0" w:right="0" w:hanging="0"/>
              <w:jc w:val="right"/>
              <w:rPr/>
            </w:pPr>
            <w:bookmarkStart w:id="12" w:name="TotalOffsetAmt"/>
            <w:bookmarkEnd w:id="12"/>
            <w:r>
              <w:rPr/>
              <w:t xml:space="preserve">$ 0.00 </w:t>
            </w:r>
          </w:p>
        </w:tc>
      </w:tr>
      <w:tr>
        <w:trPr/>
        <w:tc>
          <w:tcPr>
            <w:tcW w:w="4672" w:type="dxa"/>
            <w:gridSpan w:val="5"/>
            <w:tcBorders/>
            <w:vAlign w:val="center"/>
          </w:tcPr>
          <w:p>
            <w:pPr>
              <w:pStyle w:val="TableContents"/>
              <w:bidi w:val="0"/>
              <w:spacing w:before="0" w:after="0"/>
              <w:ind w:left="0" w:right="0" w:hanging="0"/>
              <w:jc w:val="right"/>
              <w:rPr/>
            </w:pPr>
            <w:r>
              <w:rPr/>
              <w:t xml:space="preserve">Net Fee Due: </w:t>
            </w:r>
          </w:p>
        </w:tc>
        <w:tc>
          <w:tcPr>
            <w:tcW w:w="118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0"/>
              <w:ind w:left="0" w:right="0" w:hanging="0"/>
              <w:jc w:val="right"/>
              <w:rPr/>
            </w:pPr>
            <w:bookmarkStart w:id="13" w:name="NetFeeAmt"/>
            <w:bookmarkEnd w:id="13"/>
            <w:r>
              <w:rPr/>
              <w:t xml:space="preserve">$ 22,197.57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1a. Pursuant to Rule 416(a) under the Securities Act of 1933, as amended (the "Securities Act"), this Registration Statement shall also cover any additional shares of common stock that become issuable under the Euronet Worldwide, Inc. 2006 Stock Incentive Plan, as amended and restated (the "Plan"), by reason of any stock split, stock dividend or other similar transaction effected without the receipt of consideration which results in an increase in the number of shares of outstanding common stock. 1b. Estimated solely for the purpose of calculating the registration fee in accordance with Rule 457(c) and Rule 457(h) of the Securities Act. The proposed maximum offering price per share is calculated on the basis of $77.65 the average of the high and low price of the Registrant's common stock on July 30 2026, as reported on the Nasdaq Global Select Market, which is within five business days prior to filing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29199/000101410809000126/ewi-ex32toform8k_8353998v3.htm" TargetMode="External"/><Relationship Id="rId3" Type="http://schemas.openxmlformats.org/officeDocument/2006/relationships/hyperlink" Target="http://www.sec.gov/Archives/edgar/data/1029199/000101410809000126/ewi-ex32toform8k_8353998v3.htm" TargetMode="External"/><Relationship Id="rId4" Type="http://schemas.openxmlformats.org/officeDocument/2006/relationships/hyperlink" Target="http://www.sec.gov/Archives/edgar/data/1029199/000101410809000126/ewi-ex32toform8k_8353998v3.htm" TargetMode="External"/><Relationship Id="rId5" Type="http://schemas.openxmlformats.org/officeDocument/2006/relationships/hyperlink" Target="http://www.sec.gov/Archives/edgar/data/1029199/000101410809000126/ewi-ex32toform8k_8353998v3.htm" TargetMode="External"/><Relationship Id="rId6" Type="http://schemas.openxmlformats.org/officeDocument/2006/relationships/hyperlink" Target="http://www.sec.gov/Archives/edgar/data/1029199/000101410809000126/ewi-ex32toform8k_8353998v3.htm" TargetMode="External"/><Relationship Id="rId7" Type="http://schemas.openxmlformats.org/officeDocument/2006/relationships/hyperlink" Target="http://www.sec.gov/Archives/edgar/data/1029199/000101410809000126/ewi-ex32toform8k_8353998v3.htm" TargetMode="External"/><Relationship Id="rId8" Type="http://schemas.openxmlformats.org/officeDocument/2006/relationships/hyperlink" Target="http://www.sec.gov/Archives/edgar/data/1029199/000101410809000126/ewi-ex32toform8k_8353998v3.htm" TargetMode="External"/><Relationship Id="rId9" Type="http://schemas.openxmlformats.org/officeDocument/2006/relationships/hyperlink" Target="http://www.sec.gov/Archives/edgar/data/1029199/000101410809000126/ewi-ex31toform8k_8353998v3.htm" TargetMode="External"/><Relationship Id="rId10" Type="http://schemas.openxmlformats.org/officeDocument/2006/relationships/hyperlink" Target="http://www.sec.gov/Archives/edgar/data/1029199/000101410809000126/ewi-ex31toform8k_8353998v3.htm" TargetMode="External"/><Relationship Id="rId11" Type="http://schemas.openxmlformats.org/officeDocument/2006/relationships/hyperlink" Target="http://www.sec.gov/Archives/edgar/data/1029199/000101410809000126/ewi-ex31toform8k_8353998v3.htm" TargetMode="External"/><Relationship Id="rId12" Type="http://schemas.openxmlformats.org/officeDocument/2006/relationships/hyperlink" Target="http://www.sec.gov/Archives/edgar/data/1029199/000101410809000126/ewi-ex31toform8k_8353998v3.htm" TargetMode="External"/><Relationship Id="rId13" Type="http://schemas.openxmlformats.org/officeDocument/2006/relationships/hyperlink" Target="http://www.sec.gov/Archives/edgar/data/1029199/000101410809000126/ewi-ex31toform8k_8353998v3.htm" TargetMode="External"/><Relationship Id="rId14" Type="http://schemas.openxmlformats.org/officeDocument/2006/relationships/hyperlink" Target="http://www.sec.gov/Archives/edgar/data/1029199/000101410809000126/ewi-ex31toform8k_8353998v3.htm" TargetMode="External"/><Relationship Id="rId15" Type="http://schemas.openxmlformats.org/officeDocument/2006/relationships/hyperlink" Target="http://www.sec.gov/Archives/edgar/data/1029199/000101410809000126/ewi-ex31toform8k_8353998v3.htm" TargetMode="External"/><Relationship Id="rId16" Type="http://schemas.openxmlformats.org/officeDocument/2006/relationships/hyperlink" Target="http://www.sec.gov/Archives/edgar/data/1029199/000101410813000094/ex31-certofrights.htm" TargetMode="External"/><Relationship Id="rId17" Type="http://schemas.openxmlformats.org/officeDocument/2006/relationships/hyperlink" Target="http://www.sec.gov/Archives/edgar/data/1029199/000102919917000004/exhibit32-amendedandrestat.htm" TargetMode="External"/><Relationship Id="rId18" Type="http://schemas.openxmlformats.org/officeDocument/2006/relationships/hyperlink" Target="http://www.sec.gov/Archives/edgar/data/1029199/000102919917000004/exhibit32-amendedandrestat.htm" TargetMode="External"/><Relationship Id="rId19" Type="http://schemas.openxmlformats.org/officeDocument/2006/relationships/hyperlink" Target="http://www.sec.gov/Archives/edgar/data/1029199/000102919917000004/exhibit32-amendedandrestat.htm" TargetMode="External"/><Relationship Id="rId20" Type="http://schemas.openxmlformats.org/officeDocument/2006/relationships/hyperlink" Target="http://www.sec.gov/Archives/edgar/data/1029199/000102919917000004/exhibit32-amendedandrestat.htm" TargetMode="External"/><Relationship Id="rId21" Type="http://schemas.openxmlformats.org/officeDocument/2006/relationships/hyperlink" Target="http://www.sec.gov/Archives/edgar/data/1029199/000102919917000004/exhibit32-amendedandrestat.htm" TargetMode="External"/><Relationship Id="rId22" Type="http://schemas.openxmlformats.org/officeDocument/2006/relationships/hyperlink" Target="http://www.sec.gov/Archives/edgar/data/1029199/000102919917000004/exhibit32-amendedandrestat.htm" TargetMode="External"/><Relationship Id="rId23" Type="http://schemas.openxmlformats.org/officeDocument/2006/relationships/hyperlink" Target="http://www.sec.gov/Archives/edgar/data/1029199/000102919917000004/exhibit32-amendedandrestat.htm" TargetMode="External"/><Relationship Id="rId24" Type="http://schemas.openxmlformats.org/officeDocument/2006/relationships/hyperlink" Target="https://www.sec.gov/ix?doc=/Archives/edgar/data/1029199/000155485526000595/eeft-20251231.htm" TargetMode="External"/><Relationship Id="rId25" Type="http://schemas.openxmlformats.org/officeDocument/2006/relationships/hyperlink" Target="https://www.sec.gov/ix?doc=/Archives/edgar/data/1029199/000155485526000595/eeft-20251231.htm" TargetMode="External"/><Relationship Id="rId26" Type="http://schemas.openxmlformats.org/officeDocument/2006/relationships/hyperlink" Target="https://www.sec.gov/ix?doc=/Archives/edgar/data/1029199/000155485526000595/eeft-20251231.htm" TargetMode="External"/><Relationship Id="rId27" Type="http://schemas.openxmlformats.org/officeDocument/2006/relationships/hyperlink" Target="https://www.sec.gov/ix?doc=/Archives/edgar/data/1029199/000155485526000595/eeft-20251231.htm" TargetMode="External"/><Relationship Id="rId28" Type="http://schemas.openxmlformats.org/officeDocument/2006/relationships/hyperlink" Target="https://www.sec.gov/ix?doc=/Archives/edgar/data/1029199/000155485526000595/eeft-20251231.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3360</Words>
  <Characters>18131</Characters>
  <CharactersWithSpaces>21535</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