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65" w:lineRule="exact"/>
        <w:rPr>
          <w:sz w:val="24"/>
          <w:szCs w:val="24"/>
          <w:color w:val="auto"/>
        </w:rPr>
      </w:pPr>
    </w:p>
    <w:p>
      <w:pPr>
        <w:ind w:left="4060" w:right="2540" w:hanging="3759"/>
        <w:spacing w:after="0" w:line="304" w:lineRule="auto"/>
        <w:tabs>
          <w:tab w:leader="none" w:pos="517"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149" w:lineRule="exact"/>
        <w:rPr>
          <w:rFonts w:ascii="MS PGothic" w:cs="MS PGothic" w:eastAsia="MS PGothic" w:hAnsi="MS PGothic"/>
          <w:sz w:val="18"/>
          <w:szCs w:val="18"/>
          <w:color w:val="auto"/>
        </w:rPr>
      </w:pPr>
    </w:p>
    <w:p>
      <w:pPr>
        <w:ind w:left="520" w:hanging="217"/>
        <w:spacing w:after="0"/>
        <w:tabs>
          <w:tab w:leader="none" w:pos="520"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w:t>
      </w:r>
      <w:r>
        <w:rPr>
          <w:rFonts w:ascii="Arial" w:cs="Arial" w:eastAsia="Arial" w:hAnsi="Arial"/>
          <w:sz w:val="17"/>
          <w:szCs w:val="17"/>
          <w:b w:val="1"/>
          <w:bCs w:val="1"/>
          <w:color w:val="auto"/>
        </w:rPr>
        <w:t>13 OR 15(d) OF THE SECURITIES EXCHANGE ACT OF 1934</w:t>
      </w:r>
    </w:p>
    <w:p>
      <w:pPr>
        <w:spacing w:after="0" w:line="187" w:lineRule="exact"/>
        <w:rPr>
          <w:sz w:val="24"/>
          <w:szCs w:val="24"/>
          <w:color w:val="auto"/>
        </w:rPr>
      </w:pPr>
    </w:p>
    <w:p>
      <w:pPr>
        <w:ind w:left="3920"/>
        <w:spacing w:after="0"/>
        <w:tabs>
          <w:tab w:leader="none" w:pos="61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EURONET WORLDWIDE, INC.</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48"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42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59"/>
              <w:spacing w:after="0"/>
              <w:rPr>
                <w:sz w:val="20"/>
                <w:szCs w:val="20"/>
                <w:color w:val="auto"/>
              </w:rPr>
            </w:pPr>
            <w:r>
              <w:rPr>
                <w:rFonts w:ascii="Arial" w:cs="Arial" w:eastAsia="Arial" w:hAnsi="Arial"/>
                <w:sz w:val="16"/>
                <w:szCs w:val="16"/>
                <w:b w:val="1"/>
                <w:bCs w:val="1"/>
                <w:color w:val="auto"/>
              </w:rPr>
              <w:t>74-2806888</w:t>
            </w:r>
          </w:p>
        </w:tc>
      </w:tr>
      <w:tr>
        <w:trPr>
          <w:trHeight w:val="284"/>
        </w:trPr>
        <w:tc>
          <w:tcPr>
            <w:tcW w:w="42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70"/>
        </w:trPr>
        <w:tc>
          <w:tcPr>
            <w:tcW w:w="42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11400 Tomahawk Creek Parkway, Suite 300</w:t>
            </w:r>
          </w:p>
        </w:tc>
        <w:tc>
          <w:tcPr>
            <w:tcW w:w="4660" w:type="dxa"/>
            <w:vAlign w:val="bottom"/>
          </w:tcPr>
          <w:p>
            <w:pPr>
              <w:spacing w:after="0"/>
              <w:rPr>
                <w:sz w:val="23"/>
                <w:szCs w:val="23"/>
                <w:color w:val="auto"/>
              </w:rPr>
            </w:pPr>
          </w:p>
        </w:tc>
      </w:tr>
      <w:tr>
        <w:trPr>
          <w:trHeight w:val="283"/>
        </w:trPr>
        <w:tc>
          <w:tcPr>
            <w:tcW w:w="4280" w:type="dxa"/>
            <w:vAlign w:val="bottom"/>
          </w:tcPr>
          <w:p>
            <w:pPr>
              <w:ind w:left="140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70"/>
        </w:trPr>
        <w:tc>
          <w:tcPr>
            <w:tcW w:w="42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6"/>
              </w:rPr>
              <w:t>(Zip Code)</w:t>
            </w:r>
          </w:p>
        </w:tc>
      </w:tr>
      <w:tr>
        <w:trPr>
          <w:trHeight w:val="324"/>
        </w:trPr>
        <w:tc>
          <w:tcPr>
            <w:tcW w:w="428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5"/>
              </w:rPr>
              <w:t>Trading</w:t>
            </w: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5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508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20"/>
              <w:spacing w:after="0" w:line="183" w:lineRule="exact"/>
              <w:rPr>
                <w:sz w:val="20"/>
                <w:szCs w:val="20"/>
                <w:color w:val="auto"/>
              </w:rPr>
            </w:pPr>
            <w:r>
              <w:rPr>
                <w:rFonts w:ascii="Arial" w:cs="Arial" w:eastAsia="Arial" w:hAnsi="Arial"/>
                <w:sz w:val="16"/>
                <w:szCs w:val="16"/>
                <w:b w:val="1"/>
                <w:bCs w:val="1"/>
                <w:color w:val="auto"/>
                <w:w w:val="90"/>
              </w:rPr>
              <w:t>Symbol(s)</w:t>
            </w:r>
          </w:p>
        </w:tc>
        <w:tc>
          <w:tcPr>
            <w:tcW w:w="5040" w:type="dxa"/>
            <w:vAlign w:val="bottom"/>
            <w:gridSpan w:val="3"/>
          </w:tcPr>
          <w:p>
            <w:pPr>
              <w:jc w:val="center"/>
              <w:ind w:right="20"/>
              <w:spacing w:after="0" w:line="183" w:lineRule="exact"/>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2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508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6"/>
                <w:szCs w:val="16"/>
                <w:color w:val="auto"/>
                <w:w w:val="92"/>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16"/>
                <w:szCs w:val="16"/>
                <w:color w:val="auto"/>
                <w:w w:val="91"/>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17"/>
        </w:trPr>
        <w:tc>
          <w:tcPr>
            <w:tcW w:w="508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6"/>
                <w:szCs w:val="16"/>
                <w:color w:val="auto"/>
                <w:w w:val="91"/>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16"/>
                <w:szCs w:val="16"/>
                <w:color w:val="auto"/>
                <w:w w:val="91"/>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44" w:lineRule="exact"/>
        <w:rPr>
          <w:sz w:val="24"/>
          <w:szCs w:val="24"/>
          <w:color w:val="auto"/>
        </w:rPr>
      </w:pPr>
    </w:p>
    <w:p>
      <w:pPr>
        <w:jc w:val="both"/>
        <w:ind w:right="20"/>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ind w:right="24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48"/>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52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left="40" w:right="560"/>
        <w:spacing w:after="0" w:line="26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000"/>
        <w:spacing w:after="0" w:line="27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August 1, 2023, Euronet Worldwide, Inc. had 49,659,298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8"/>
          </w:tcPr>
          <w:p>
            <w:pPr>
              <w:jc w:val="center"/>
              <w:ind w:right="1780"/>
              <w:spacing w:after="0"/>
              <w:rPr>
                <w:sz w:val="20"/>
                <w:szCs w:val="20"/>
                <w:color w:val="auto"/>
              </w:rPr>
            </w:pPr>
            <w:r>
              <w:rPr>
                <w:rFonts w:ascii="Arial" w:cs="Arial" w:eastAsia="Arial" w:hAnsi="Arial"/>
                <w:sz w:val="18"/>
                <w:szCs w:val="18"/>
                <w:b w:val="1"/>
                <w:bCs w:val="1"/>
                <w:color w:val="auto"/>
              </w:rPr>
              <w:t>EURONET WORLDWIDE, INC. AND SUBSIDIARIES</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40" w:type="dxa"/>
            <w:vAlign w:val="bottom"/>
            <w:gridSpan w:val="8"/>
          </w:tcPr>
          <w:p>
            <w:pPr>
              <w:jc w:val="center"/>
              <w:ind w:right="1760"/>
              <w:spacing w:after="0"/>
              <w:rPr>
                <w:sz w:val="20"/>
                <w:szCs w:val="20"/>
                <w:color w:val="auto"/>
              </w:rPr>
            </w:pPr>
            <w:r>
              <w:rPr>
                <w:rFonts w:ascii="Arial" w:cs="Arial" w:eastAsia="Arial" w:hAnsi="Arial"/>
                <w:sz w:val="18"/>
                <w:szCs w:val="18"/>
                <w:b w:val="1"/>
                <w:bCs w:val="1"/>
                <w:color w:val="auto"/>
                <w:w w:val="92"/>
              </w:rPr>
              <w:t>Table of Contents</w:t>
            </w:r>
            <w:r>
              <w:rPr>
                <w:rFonts w:ascii="Arial" w:cs="Arial" w:eastAsia="Arial" w:hAnsi="Arial"/>
                <w:sz w:val="18"/>
                <w:szCs w:val="18"/>
                <w:color w:val="auto"/>
                <w:w w:val="92"/>
              </w:rPr>
              <w:t>​</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1020"/>
              <w:spacing w:after="0" w:line="176" w:lineRule="exact"/>
              <w:rPr>
                <w:sz w:val="20"/>
                <w:szCs w:val="20"/>
                <w:color w:val="auto"/>
              </w:rPr>
            </w:pPr>
            <w:r>
              <w:rPr>
                <w:rFonts w:ascii="Arial" w:cs="Arial" w:eastAsia="Arial" w:hAnsi="Arial"/>
                <w:sz w:val="18"/>
                <w:szCs w:val="18"/>
                <w:b w:val="1"/>
                <w:bCs w:val="1"/>
                <w:color w:val="auto"/>
              </w:rPr>
              <w:t>Page</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6"/>
        </w:trPr>
        <w:tc>
          <w:tcPr>
            <w:tcW w:w="96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PART I—FINANCIAL INFORMATION</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Financial Statements (unaudited)</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Consolidated Balance Sheets as of June 30, 2023 and December 31, 2022</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Consolidated Statements of Operations for the Three and Six Months Ended June 30, 2023 and 2022</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w w:val="89"/>
              </w:rPr>
              <w:t>Consolidated Statements of Comprehensive Income (loss) for the Three and Six Months Ended June 30, 2023 and 2022</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w w:val="99"/>
              </w:rPr>
              <w:t>Consolidated Statements of Changes in Equity for the Three and Six Months Ended June 30, 2023 and 2022</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Consolidated Statements of Cash Flows for the Six Months Ended June 30, 2023 and 2022</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99"/>
              </w:rPr>
              <w:t>6</w:t>
            </w:r>
          </w:p>
        </w:tc>
        <w:tc>
          <w:tcPr>
            <w:tcW w:w="2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Notes to the Unaudited Consolidated Financial Statements</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99"/>
              </w:rPr>
              <w:t>7</w:t>
            </w:r>
          </w:p>
        </w:tc>
        <w:tc>
          <w:tcPr>
            <w:tcW w:w="20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25</w:t>
            </w:r>
          </w:p>
        </w:tc>
        <w:tc>
          <w:tcPr>
            <w:tcW w:w="2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Controls and Procedures</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42</w:t>
            </w:r>
          </w:p>
        </w:tc>
        <w:tc>
          <w:tcPr>
            <w:tcW w:w="2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40" w:type="dxa"/>
            <w:vAlign w:val="bottom"/>
            <w:gridSpan w:val="18"/>
          </w:tcPr>
          <w:p>
            <w:pPr>
              <w:spacing w:after="0" w:line="176" w:lineRule="exact"/>
              <w:rPr>
                <w:sz w:val="20"/>
                <w:szCs w:val="20"/>
                <w:color w:val="auto"/>
              </w:rPr>
            </w:pPr>
            <w:r>
              <w:rPr>
                <w:rFonts w:ascii="Arial" w:cs="Arial" w:eastAsia="Arial" w:hAnsi="Arial"/>
                <w:sz w:val="18"/>
                <w:szCs w:val="18"/>
                <w:color w:val="0000EE"/>
              </w:rPr>
              <w:t>PART II—OTHER INFORMATION</w:t>
            </w: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Legal Proceedings</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42</w:t>
            </w:r>
          </w:p>
        </w:tc>
        <w:tc>
          <w:tcPr>
            <w:tcW w:w="2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43</w:t>
            </w:r>
          </w:p>
        </w:tc>
        <w:tc>
          <w:tcPr>
            <w:tcW w:w="2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800" w:type="dxa"/>
            <w:vAlign w:val="bottom"/>
            <w:gridSpan w:val="17"/>
          </w:tcPr>
          <w:p>
            <w:pPr>
              <w:ind w:left="180"/>
              <w:spacing w:after="0" w:line="176" w:lineRule="exact"/>
              <w:rPr>
                <w:sz w:val="20"/>
                <w:szCs w:val="20"/>
                <w:color w:val="auto"/>
              </w:rPr>
            </w:pPr>
            <w:r>
              <w:rPr>
                <w:rFonts w:ascii="Arial" w:cs="Arial" w:eastAsia="Arial" w:hAnsi="Arial"/>
                <w:sz w:val="18"/>
                <w:szCs w:val="18"/>
                <w:color w:val="0000EE"/>
              </w:rPr>
              <w:t>Exhibits</w:t>
            </w:r>
          </w:p>
        </w:tc>
        <w:tc>
          <w:tcPr>
            <w:tcW w:w="1400" w:type="dxa"/>
            <w:vAlign w:val="bottom"/>
            <w:gridSpan w:val="2"/>
          </w:tcPr>
          <w:p>
            <w:pPr>
              <w:jc w:val="center"/>
              <w:ind w:left="930"/>
              <w:spacing w:after="0" w:line="176" w:lineRule="exact"/>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8800" w:type="dxa"/>
            <w:vAlign w:val="bottom"/>
            <w:gridSpan w:val="17"/>
            <w:shd w:val="clear" w:color="auto" w:fill="CCEEFF"/>
          </w:tcPr>
          <w:p>
            <w:pPr>
              <w:ind w:left="180"/>
              <w:spacing w:after="0" w:line="176" w:lineRule="exact"/>
              <w:rPr>
                <w:sz w:val="20"/>
                <w:szCs w:val="20"/>
                <w:color w:val="auto"/>
              </w:rPr>
            </w:pPr>
            <w:r>
              <w:rPr>
                <w:rFonts w:ascii="Arial" w:cs="Arial" w:eastAsia="Arial" w:hAnsi="Arial"/>
                <w:sz w:val="18"/>
                <w:szCs w:val="18"/>
                <w:color w:val="0000EE"/>
              </w:rPr>
              <w:t>Signatures</w:t>
            </w:r>
          </w:p>
        </w:tc>
        <w:tc>
          <w:tcPr>
            <w:tcW w:w="1400" w:type="dxa"/>
            <w:vAlign w:val="bottom"/>
            <w:gridSpan w:val="2"/>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45</w:t>
            </w:r>
          </w:p>
        </w:tc>
        <w:tc>
          <w:tcPr>
            <w:tcW w:w="200" w:type="dxa"/>
            <w:vAlign w:val="bottom"/>
            <w:shd w:val="clear" w:color="auto" w:fill="CCEEFF"/>
          </w:tcPr>
          <w:p>
            <w:pPr>
              <w:spacing w:after="0"/>
              <w:rPr>
                <w:sz w:val="17"/>
                <w:szCs w:val="17"/>
                <w:color w:val="auto"/>
              </w:rPr>
            </w:pPr>
          </w:p>
        </w:tc>
      </w:tr>
      <w:tr>
        <w:trPr>
          <w:trHeight w:val="318"/>
        </w:trPr>
        <w:tc>
          <w:tcPr>
            <w:tcW w:w="8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02"/>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ATM cash</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$4.6 and $4.0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8"/>
                <w:szCs w:val="18"/>
                <w:color w:val="auto"/>
              </w:rPr>
            </w:pPr>
          </w:p>
        </w:tc>
      </w:tr>
      <w:tr>
        <w:trPr>
          <w:trHeight w:val="210"/>
        </w:trPr>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$624.0 and $576.4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$213.6 and $199.2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Other assets, net of accumulated amortization of $72.6 and $68.0</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r>
      <w:tr>
        <w:trPr>
          <w:trHeight w:val="249"/>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440" w:type="dxa"/>
            <w:vAlign w:val="bottom"/>
          </w:tcPr>
          <w:p>
            <w:pPr>
              <w:ind w:left="40"/>
              <w:spacing w:after="0" w:line="196" w:lineRule="exact"/>
              <w:rPr>
                <w:sz w:val="20"/>
                <w:szCs w:val="20"/>
                <w:color w:val="auto"/>
              </w:rPr>
            </w:pPr>
            <w:r>
              <w:rPr>
                <w:rFonts w:ascii="Arial" w:cs="Arial" w:eastAsia="Arial" w:hAnsi="Arial"/>
                <w:sz w:val="18"/>
                <w:szCs w:val="18"/>
                <w:color w:val="auto"/>
              </w:rPr>
              <w:t>LIABILITIES AND EQUITY</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1,068.9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r>
      <w:tr>
        <w:trPr>
          <w:trHeight w:val="210"/>
        </w:trPr>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r>
      <w:tr>
        <w:trPr>
          <w:trHeight w:val="21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4,159.2</w:t>
            </w:r>
          </w:p>
        </w:tc>
        <w:tc>
          <w:tcPr>
            <w:tcW w:w="100" w:type="dxa"/>
            <w:vAlign w:val="bottom"/>
          </w:tcPr>
          <w:p>
            <w:pPr>
              <w:spacing w:after="0"/>
              <w:rPr>
                <w:sz w:val="18"/>
                <w:szCs w:val="18"/>
                <w:color w:val="auto"/>
              </w:rPr>
            </w:pPr>
          </w:p>
        </w:tc>
      </w:tr>
      <w:tr>
        <w:trPr>
          <w:trHeight w:val="21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w w:val="94"/>
              </w:rPr>
              <w:t>Common Stock, $0.02 par value. 90,000,000 shares authorized; shares issued 64,194,917 and 64,091,387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Treasury stock, at cost, shares issued 14,539,373 and 14,269,645</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(1,133.7)</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(1,105.8)</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(251.0)</w:t>
            </w:r>
          </w:p>
        </w:tc>
      </w:tr>
      <w:tr>
        <w:trPr>
          <w:trHeight w:val="210"/>
        </w:trPr>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0"/>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10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9"/>
                <w:szCs w:val="19"/>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r>
      <w:tr>
        <w:trPr>
          <w:trHeight w:val="209"/>
        </w:trPr>
        <w:tc>
          <w:tcPr>
            <w:tcW w:w="5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 (losses),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520" w:type="dxa"/>
            <w:vAlign w:val="bottom"/>
          </w:tcPr>
          <w:p>
            <w:pPr>
              <w:ind w:left="6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09"/>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4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1"/>
                <w:szCs w:val="21"/>
                <w:color w:val="auto"/>
              </w:rPr>
            </w:pPr>
          </w:p>
        </w:tc>
      </w:tr>
      <w:tr>
        <w:trPr>
          <w:trHeight w:val="197"/>
        </w:trPr>
        <w:tc>
          <w:tcPr>
            <w:tcW w:w="55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02"/>
        </w:trPr>
        <w:tc>
          <w:tcPr>
            <w:tcW w:w="5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49,637,589</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50,394,610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49,724,478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50,726,281</w:t>
            </w:r>
          </w:p>
        </w:tc>
        <w:tc>
          <w:tcPr>
            <w:tcW w:w="100" w:type="dxa"/>
            <w:vAlign w:val="bottom"/>
          </w:tcPr>
          <w:p>
            <w:pPr>
              <w:spacing w:after="0"/>
              <w:rPr>
                <w:sz w:val="22"/>
                <w:szCs w:val="22"/>
                <w:color w:val="auto"/>
              </w:rPr>
            </w:pPr>
          </w:p>
        </w:tc>
      </w:tr>
      <w:tr>
        <w:trPr>
          <w:trHeight w:val="196"/>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52,871,415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53,766,914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52,918,519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54,133,724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258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86.0</w:t>
            </w:r>
          </w:p>
        </w:tc>
        <w:tc>
          <w:tcPr>
            <w:tcW w:w="9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5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(109.3)</w:t>
            </w:r>
          </w:p>
        </w:tc>
      </w:tr>
      <w:tr>
        <w:trPr>
          <w:trHeight w:val="209"/>
        </w:trPr>
        <w:tc>
          <w:tcPr>
            <w:tcW w:w="5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20" w:type="dxa"/>
            <w:vAlign w:val="bottom"/>
          </w:tcPr>
          <w:p>
            <w:pPr>
              <w:ind w:left="380"/>
              <w:spacing w:after="0"/>
              <w:rPr>
                <w:sz w:val="20"/>
                <w:szCs w:val="20"/>
                <w:color w:val="auto"/>
              </w:rPr>
            </w:pPr>
            <w:r>
              <w:rPr>
                <w:rFonts w:ascii="Arial" w:cs="Arial" w:eastAsia="Arial" w:hAnsi="Arial"/>
                <w:sz w:val="18"/>
                <w:szCs w:val="18"/>
                <w:color w:val="auto"/>
                <w:w w:val="92"/>
              </w:rPr>
              <w:t>Comprehensive income (loss) attributable to noncontrolling interests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80" w:type="dxa"/>
            <w:vAlign w:val="bottom"/>
            <w:gridSpan w:val="3"/>
            <w:shd w:val="clear" w:color="auto" w:fill="CCEEFF"/>
          </w:tcPr>
          <w:p>
            <w:pPr>
              <w:jc w:val="right"/>
              <w:ind w:right="708"/>
              <w:spacing w:after="0"/>
              <w:rPr>
                <w:sz w:val="20"/>
                <w:szCs w:val="20"/>
                <w:color w:val="auto"/>
              </w:rPr>
            </w:pPr>
            <w:r>
              <w:rPr>
                <w:rFonts w:ascii="Arial" w:cs="Arial" w:eastAsia="Arial" w:hAnsi="Arial"/>
                <w:sz w:val="18"/>
                <w:szCs w:val="18"/>
                <w:color w:val="auto"/>
                <w:w w:val="99"/>
              </w:rPr>
              <w:t>Comprehensive income (loss) attributable to Euronet Worldwide, Inc. $</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95.9</w:t>
            </w:r>
          </w:p>
        </w:tc>
        <w:tc>
          <w:tcPr>
            <w:tcW w:w="9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Shares Outstanding</w:t>
            </w:r>
          </w:p>
        </w:tc>
        <w:tc>
          <w:tcPr>
            <w:tcW w:w="100" w:type="dxa"/>
            <w:vAlign w:val="bottom"/>
          </w:tcPr>
          <w:p>
            <w:pPr>
              <w:spacing w:after="0"/>
              <w:rPr>
                <w:sz w:val="14"/>
                <w:szCs w:val="14"/>
                <w:color w:val="auto"/>
              </w:rPr>
            </w:pP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51,147,884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40,173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(639,535)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2020-06</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Balance as of March 31, 2022</w:t>
            </w:r>
          </w:p>
        </w:tc>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50,548,522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1,211.8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49,579,755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1,223.2</w:t>
            </w:r>
          </w:p>
        </w:tc>
        <w:tc>
          <w:tcPr>
            <w:tcW w:w="14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49,822,707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79,859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(276,400)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49,626,166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(1,133.6)</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333333"/>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333333"/>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33333"/>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333333"/>
              </w:rPr>
              <w:t>30,188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333333"/>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33333"/>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33333"/>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333333"/>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333333"/>
              </w:rPr>
              <w:t>(0.1</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49,655,544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left="340" w:right="252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CHANGES IN EQUITY (CONTINUED) (Unaudited,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7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1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Retained Earnings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5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Loss</w:t>
            </w:r>
          </w:p>
        </w:tc>
        <w:tc>
          <w:tcPr>
            <w:tcW w:w="130" w:type="dxa"/>
            <w:vAlign w:val="bottom"/>
            <w:tcBorders>
              <w:bottom w:val="single" w:sz="8" w:color="CCEEFF"/>
            </w:tcBorders>
          </w:tcPr>
          <w:p>
            <w:pPr>
              <w:spacing w:after="0"/>
              <w:rPr>
                <w:sz w:val="14"/>
                <w:szCs w:val="14"/>
                <w:color w:val="auto"/>
              </w:rPr>
            </w:pPr>
          </w:p>
        </w:tc>
        <w:tc>
          <w:tcPr>
            <w:tcW w:w="11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5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(172.6)</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2020-06</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Balance as of March 31, 2022</w:t>
            </w:r>
          </w:p>
        </w:tc>
        <w:tc>
          <w:tcPr>
            <w:tcW w:w="1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1,125.6</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70"/>
              <w:spacing w:after="0"/>
              <w:rPr>
                <w:sz w:val="20"/>
                <w:szCs w:val="20"/>
                <w:color w:val="auto"/>
              </w:rPr>
            </w:pPr>
            <w:r>
              <w:rPr>
                <w:rFonts w:ascii="Arial" w:cs="Arial" w:eastAsia="Arial" w:hAnsi="Arial"/>
                <w:sz w:val="18"/>
                <w:szCs w:val="18"/>
                <w:color w:val="auto"/>
              </w:rPr>
              <w:t>(193.7)</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70"/>
              <w:spacing w:after="0"/>
              <w:rPr>
                <w:sz w:val="20"/>
                <w:szCs w:val="20"/>
                <w:color w:val="auto"/>
              </w:rPr>
            </w:pPr>
            <w:r>
              <w:rPr>
                <w:rFonts w:ascii="Arial" w:cs="Arial" w:eastAsia="Arial" w:hAnsi="Arial"/>
                <w:sz w:val="18"/>
                <w:szCs w:val="18"/>
                <w:color w:val="auto"/>
              </w:rPr>
              <w:t>(88.2)</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1260" w:type="dxa"/>
            <w:vAlign w:val="bottom"/>
            <w:vMerge w:val="continue"/>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50" w:type="dxa"/>
            <w:vAlign w:val="bottom"/>
            <w:gridSpan w:val="2"/>
          </w:tcPr>
          <w:p>
            <w:pPr>
              <w:jc w:val="right"/>
              <w:ind w:right="70"/>
              <w:spacing w:after="0"/>
              <w:rPr>
                <w:sz w:val="20"/>
                <w:szCs w:val="20"/>
                <w:color w:val="auto"/>
              </w:rPr>
            </w:pPr>
            <w:r>
              <w:rPr>
                <w:rFonts w:ascii="Arial" w:cs="Arial" w:eastAsia="Arial" w:hAnsi="Arial"/>
                <w:sz w:val="18"/>
                <w:szCs w:val="18"/>
                <w:color w:val="auto"/>
              </w:rPr>
              <w:t>(281.9)</w:t>
            </w:r>
          </w:p>
        </w:tc>
        <w:tc>
          <w:tcPr>
            <w:tcW w:w="11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7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Retained Earnings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5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Loss</w:t>
            </w:r>
          </w:p>
        </w:tc>
        <w:tc>
          <w:tcPr>
            <w:tcW w:w="130" w:type="dxa"/>
            <w:vAlign w:val="bottom"/>
            <w:tcBorders>
              <w:bottom w:val="single" w:sz="8" w:color="CCEEFF"/>
            </w:tcBorders>
          </w:tcPr>
          <w:p>
            <w:pPr>
              <w:spacing w:after="0"/>
              <w:rPr>
                <w:sz w:val="14"/>
                <w:szCs w:val="14"/>
                <w:color w:val="auto"/>
              </w:rPr>
            </w:pPr>
          </w:p>
        </w:tc>
        <w:tc>
          <w:tcPr>
            <w:tcW w:w="11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5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3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0" w:type="dxa"/>
            <w:vAlign w:val="bottom"/>
            <w:shd w:val="clear" w:color="auto" w:fill="CCEEFF"/>
          </w:tcPr>
          <w:p>
            <w:pPr>
              <w:spacing w:after="0" w:line="20" w:lineRule="exact"/>
              <w:rPr>
                <w:sz w:val="1"/>
                <w:szCs w:val="1"/>
                <w:color w:val="auto"/>
              </w:rPr>
            </w:pPr>
          </w:p>
        </w:tc>
        <w:tc>
          <w:tcPr>
            <w:tcW w:w="11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(230.2)</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5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12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0" w:type="dxa"/>
            <w:vAlign w:val="bottom"/>
            <w:shd w:val="clear" w:color="auto" w:fill="CCEEFF"/>
          </w:tcPr>
          <w:p>
            <w:pPr>
              <w:spacing w:after="0" w:line="20" w:lineRule="exact"/>
              <w:rPr>
                <w:sz w:val="1"/>
                <w:szCs w:val="1"/>
                <w:color w:val="auto"/>
              </w:rPr>
            </w:pPr>
          </w:p>
        </w:tc>
        <w:tc>
          <w:tcPr>
            <w:tcW w:w="11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5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(220.2)</w:t>
            </w:r>
          </w:p>
        </w:tc>
        <w:tc>
          <w:tcPr>
            <w:tcW w:w="11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CCEEFF"/>
            </w:tcBorders>
          </w:tcPr>
          <w:p>
            <w:pPr>
              <w:spacing w:after="0" w:line="20" w:lineRule="exact"/>
              <w:rPr>
                <w:sz w:val="1"/>
                <w:szCs w:val="1"/>
                <w:color w:val="auto"/>
              </w:rPr>
            </w:pPr>
          </w:p>
        </w:tc>
        <w:tc>
          <w:tcPr>
            <w:tcW w:w="11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-3274060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84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Trade accounts receivable, including amounts in settlement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 including amounts in settlement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(153.3)</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Trade accounts payable, including amounts in settlement obligations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(298.5)</w:t>
            </w:r>
          </w:p>
        </w:tc>
        <w:tc>
          <w:tcPr>
            <w:tcW w:w="3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(119.5)</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 including amounts in settlement obligations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(21.1)</w:t>
            </w:r>
          </w:p>
        </w:tc>
      </w:tr>
      <w:tr>
        <w:trPr>
          <w:trHeight w:val="210"/>
        </w:trPr>
        <w:tc>
          <w:tcPr>
            <w:tcW w:w="8440" w:type="dxa"/>
            <w:vAlign w:val="bottom"/>
            <w:tcBorders>
              <w:top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top w:val="single" w:sz="8" w:color="CCEEFF"/>
            </w:tcBorders>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(330.0)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and proceeds of property and equipment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(53.1)</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(3.9)</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w:t>
            </w:r>
          </w:p>
        </w:tc>
      </w:tr>
      <w:tr>
        <w:trPr>
          <w:trHeight w:val="20"/>
        </w:trPr>
        <w:tc>
          <w:tcPr>
            <w:tcW w:w="8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84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(387.0)</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(175.3)</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Borrowings from credit agreements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credit agreements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(3,385.4)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(2.2)</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r>
      <w:tr>
        <w:trPr>
          <w:trHeight w:val="175"/>
        </w:trPr>
        <w:tc>
          <w:tcPr>
            <w:tcW w:w="8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2,192.6</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2,175.8</w:t>
            </w:r>
          </w:p>
        </w:tc>
        <w:tc>
          <w:tcPr>
            <w:tcW w:w="100" w:type="dxa"/>
            <w:vAlign w:val="bottom"/>
            <w:tcBorders>
              <w:bottom w:val="single" w:sz="8" w:color="CCEEFF"/>
            </w:tcBorders>
          </w:tcPr>
          <w:p>
            <w:pPr>
              <w:spacing w:after="0"/>
              <w:rPr>
                <w:sz w:val="21"/>
                <w:szCs w:val="21"/>
                <w:color w:val="auto"/>
              </w:rPr>
            </w:pPr>
          </w:p>
        </w:tc>
      </w:tr>
      <w:tr>
        <w:trPr>
          <w:trHeight w:val="156"/>
        </w:trPr>
        <w:tc>
          <w:tcPr>
            <w:tcW w:w="8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2022, including the notes thereto, set forth in the Company's 2022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Euronet’s EFT Processing Segment normally experiences its heaviest demand for dynamic currency conversion ("DCC") services during the third quarter of the fiscal year, normally coinciding with the tourism season.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ASU 2020-06, </w:t>
      </w:r>
      <w:r>
        <w:rPr>
          <w:rFonts w:ascii="Arial" w:cs="Arial" w:eastAsia="Arial" w:hAnsi="Arial"/>
          <w:sz w:val="17"/>
          <w:szCs w:val="17"/>
          <w:i w:val="1"/>
          <w:iCs w:val="1"/>
          <w:color w:val="auto"/>
        </w:rPr>
        <w:t>"Accounting for Convertible Instruments and Contracts in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which simplifies the accounting for convertible instruments by eliminating certain accounting models when the conversion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Company adopted this standard on January 1, 2022 using the modified retrospective approach, which resulted in the Company's Convertible Senior Notes Due 2049 being recognized as a single liability. As a result of the adoption of this standard, the Company recorded a $99.7 million decrease to additional paid-in capital, a $56.8 million decrease in debt discounts and a $42.9 million increase in retained earnings. The adoption of this standard also impacted the Company's deferred tax liability by decreasing the Company's deferred tax liability by $15.0 million, decreasing retained earnings by $10.6 million, and increasing additional paid-in capital by $25.6 million. Additionally, the elimination of the treasury stock method increased the number of dilutive shares used in the diluted earnings per share calculation, if dilutive, by 2.8 million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15, 2022, the Company completed the acquisition of the Merchant Acquiring Business of Piraeus Bank ("PBMA"). The acquisition includes 205,000 POS terminals at 170,000 merchants throughout Greece, as well as Piraeus Bank’s online merchant acquiring business and expands Euronet’s omnichannel payments strategy where the Company uses its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was €317.8 million, or approximately $350.6 million, which includes $331.0 million cash paid at closing, $4.4 million cash paid for surplus working capital and $15.2 million of estimated contingent consideration for a ten-year earn 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acquisition has been accounted for as a business combination in accordance with U.S. GAAP and the results of operations have been included from the date of acquisition in the EFT Processing Segment.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final fair value that was allocated to PBMA's Euronet Merchant Services' (EMS) assets and liabilities based upon fair values as determined by the Company. The valuation process to determine the fair values is complete. For the year ended December 31, 2022, the Company made measurement period adjustments to reflect facts and circumstances in existence as of the effective time of the acquisition. These adjustments primarily included an adjustment to the accrued expenses and other current liabilities related to the surplus working capital of $4.4 million and some other immaterial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Settlement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Accrued expenses and other current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long-term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jc w:val="center"/>
        <w:ind w:right="114"/>
        <w:spacing w:after="0"/>
        <w:rPr>
          <w:sz w:val="20"/>
          <w:szCs w:val="20"/>
          <w:color w:val="auto"/>
        </w:rPr>
      </w:pPr>
      <w:r>
        <w:rPr>
          <w:rFonts w:ascii="Arial" w:cs="Arial" w:eastAsia="Arial" w:hAnsi="Arial"/>
          <w:sz w:val="14"/>
          <w:szCs w:val="14"/>
          <w:b w:val="1"/>
          <w:bCs w:val="1"/>
          <w:color w:val="auto"/>
        </w:rPr>
        <w:t>As of March 15,</w:t>
      </w:r>
    </w:p>
    <w:p>
      <w:pPr>
        <w:spacing w:after="0" w:line="55" w:lineRule="exact"/>
        <w:rPr>
          <w:sz w:val="20"/>
          <w:szCs w:val="20"/>
          <w:color w:val="auto"/>
        </w:rPr>
      </w:pPr>
    </w:p>
    <w:p>
      <w:pPr>
        <w:jc w:val="center"/>
        <w:ind w:right="114"/>
        <w:spacing w:after="0"/>
        <w:rPr>
          <w:sz w:val="20"/>
          <w:szCs w:val="20"/>
          <w:color w:val="auto"/>
        </w:rPr>
      </w:pPr>
      <w:r>
        <w:rPr>
          <w:rFonts w:ascii="Arial" w:cs="Arial" w:eastAsia="Arial" w:hAnsi="Arial"/>
          <w:sz w:val="14"/>
          <w:szCs w:val="14"/>
          <w:b w:val="1"/>
          <w:bCs w:val="1"/>
          <w:color w:val="auto"/>
        </w:rPr>
        <w:t>2022</w:t>
      </w:r>
    </w:p>
    <w:p>
      <w:pPr>
        <w:spacing w:after="0" w:line="50" w:lineRule="exact"/>
        <w:rPr>
          <w:sz w:val="20"/>
          <w:szCs w:val="20"/>
          <w:color w:val="auto"/>
        </w:rPr>
      </w:pPr>
    </w:p>
    <w:p>
      <w:pPr>
        <w:ind w:left="1006" w:hanging="1006"/>
        <w:spacing w:after="0"/>
        <w:tabs>
          <w:tab w:leader="none" w:pos="1006" w:val="left"/>
        </w:tabs>
        <w:numPr>
          <w:ilvl w:val="0"/>
          <w:numId w:val="3"/>
        </w:numPr>
        <w:rPr>
          <w:rFonts w:ascii="Arial" w:cs="Arial" w:eastAsia="Arial" w:hAnsi="Arial"/>
          <w:sz w:val="18"/>
          <w:szCs w:val="18"/>
          <w:color w:val="auto"/>
        </w:rPr>
      </w:pPr>
      <w:r>
        <w:rPr>
          <w:rFonts w:ascii="Arial" w:cs="Arial" w:eastAsia="Arial" w:hAnsi="Arial"/>
          <w:sz w:val="18"/>
          <w:szCs w:val="18"/>
          <w:color w:val="auto"/>
        </w:rPr>
        <w:t>1.8</w:t>
      </w:r>
    </w:p>
    <w:p>
      <w:pPr>
        <w:spacing w:after="0" w:line="11" w:lineRule="exact"/>
        <w:rPr>
          <w:rFonts w:ascii="Arial" w:cs="Arial" w:eastAsia="Arial" w:hAnsi="Arial"/>
          <w:sz w:val="18"/>
          <w:szCs w:val="18"/>
          <w:color w:val="auto"/>
        </w:rPr>
      </w:pPr>
    </w:p>
    <w:p>
      <w:pPr>
        <w:ind w:left="926"/>
        <w:spacing w:after="0"/>
        <w:rPr>
          <w:rFonts w:ascii="Arial" w:cs="Arial" w:eastAsia="Arial" w:hAnsi="Arial"/>
          <w:sz w:val="18"/>
          <w:szCs w:val="18"/>
          <w:color w:val="auto"/>
        </w:rPr>
      </w:pPr>
      <w:r>
        <w:rPr>
          <w:rFonts w:ascii="Arial" w:cs="Arial" w:eastAsia="Arial" w:hAnsi="Arial"/>
          <w:sz w:val="18"/>
          <w:szCs w:val="18"/>
          <w:color w:val="auto"/>
        </w:rPr>
        <w:t>77.6</w:t>
      </w:r>
    </w:p>
    <w:p>
      <w:pPr>
        <w:spacing w:after="0" w:line="7" w:lineRule="exact"/>
        <w:rPr>
          <w:rFonts w:ascii="Arial" w:cs="Arial" w:eastAsia="Arial" w:hAnsi="Arial"/>
          <w:sz w:val="18"/>
          <w:szCs w:val="18"/>
          <w:color w:val="auto"/>
        </w:rPr>
      </w:pPr>
    </w:p>
    <w:p>
      <w:pPr>
        <w:ind w:left="1006"/>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8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826"/>
        <w:spacing w:after="0"/>
        <w:rPr>
          <w:sz w:val="20"/>
          <w:szCs w:val="20"/>
          <w:color w:val="auto"/>
        </w:rPr>
      </w:pPr>
      <w:r>
        <w:rPr>
          <w:rFonts w:ascii="Arial" w:cs="Arial" w:eastAsia="Arial" w:hAnsi="Arial"/>
          <w:sz w:val="18"/>
          <w:szCs w:val="18"/>
          <w:color w:val="auto"/>
        </w:rPr>
        <w:t>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8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 w:lineRule="exact"/>
        <w:rPr>
          <w:sz w:val="20"/>
          <w:szCs w:val="20"/>
          <w:color w:val="auto"/>
        </w:rPr>
      </w:pPr>
    </w:p>
    <w:p>
      <w:pPr>
        <w:ind w:left="826" w:hanging="826"/>
        <w:spacing w:after="0"/>
        <w:tabs>
          <w:tab w:leader="none" w:pos="826" w:val="left"/>
        </w:tabs>
        <w:numPr>
          <w:ilvl w:val="0"/>
          <w:numId w:val="4"/>
        </w:numPr>
        <w:rPr>
          <w:rFonts w:ascii="Arial" w:cs="Arial" w:eastAsia="Arial" w:hAnsi="Arial"/>
          <w:sz w:val="18"/>
          <w:szCs w:val="18"/>
          <w:color w:val="auto"/>
        </w:rPr>
      </w:pPr>
      <w:r>
        <w:rPr>
          <w:rFonts w:ascii="Arial" w:cs="Arial" w:eastAsia="Arial" w:hAnsi="Arial"/>
          <w:sz w:val="18"/>
          <w:szCs w:val="18"/>
          <w:color w:val="auto"/>
        </w:rPr>
        <w:t>207.6</w:t>
      </w:r>
    </w:p>
    <w:p>
      <w:pPr>
        <w:spacing w:after="0" w:line="212" w:lineRule="exact"/>
        <w:rPr>
          <w:sz w:val="20"/>
          <w:szCs w:val="20"/>
          <w:color w:val="auto"/>
        </w:rPr>
      </w:pPr>
    </w:p>
    <w:p>
      <w:pPr>
        <w:ind w:left="946" w:hanging="946"/>
        <w:spacing w:after="0"/>
        <w:tabs>
          <w:tab w:leader="none" w:pos="946" w:val="left"/>
        </w:tabs>
        <w:numPr>
          <w:ilvl w:val="0"/>
          <w:numId w:val="5"/>
        </w:numPr>
        <w:rPr>
          <w:rFonts w:ascii="Arial" w:cs="Arial" w:eastAsia="Arial" w:hAnsi="Arial"/>
          <w:sz w:val="16"/>
          <w:szCs w:val="16"/>
          <w:color w:val="auto"/>
        </w:rPr>
      </w:pPr>
      <w:r>
        <w:rPr>
          <w:rFonts w:ascii="Arial" w:cs="Arial" w:eastAsia="Arial" w:hAnsi="Arial"/>
          <w:sz w:val="16"/>
          <w:szCs w:val="16"/>
          <w:color w:val="auto"/>
        </w:rPr>
        <w:t>(2.1)</w:t>
      </w:r>
    </w:p>
    <w:p>
      <w:pPr>
        <w:spacing w:after="0" w:line="48" w:lineRule="exact"/>
        <w:rPr>
          <w:rFonts w:ascii="Arial" w:cs="Arial" w:eastAsia="Arial" w:hAnsi="Arial"/>
          <w:sz w:val="16"/>
          <w:szCs w:val="16"/>
          <w:color w:val="auto"/>
        </w:rPr>
      </w:pPr>
    </w:p>
    <w:p>
      <w:pPr>
        <w:ind w:left="866"/>
        <w:spacing w:after="0"/>
        <w:rPr>
          <w:rFonts w:ascii="Arial" w:cs="Arial" w:eastAsia="Arial" w:hAnsi="Arial"/>
          <w:sz w:val="16"/>
          <w:szCs w:val="16"/>
          <w:color w:val="auto"/>
        </w:rPr>
      </w:pPr>
      <w:r>
        <w:rPr>
          <w:rFonts w:ascii="Arial" w:cs="Arial" w:eastAsia="Arial" w:hAnsi="Arial"/>
          <w:sz w:val="16"/>
          <w:szCs w:val="16"/>
          <w:color w:val="auto"/>
        </w:rPr>
        <w:t>(65.9)</w:t>
      </w:r>
    </w:p>
    <w:p>
      <w:pPr>
        <w:spacing w:after="0" w:line="32" w:lineRule="exact"/>
        <w:rPr>
          <w:rFonts w:ascii="Arial" w:cs="Arial" w:eastAsia="Arial" w:hAnsi="Arial"/>
          <w:sz w:val="16"/>
          <w:szCs w:val="16"/>
          <w:color w:val="auto"/>
        </w:rPr>
      </w:pPr>
    </w:p>
    <w:p>
      <w:pPr>
        <w:ind w:left="946"/>
        <w:spacing w:after="0"/>
        <w:rPr>
          <w:rFonts w:ascii="Arial" w:cs="Arial" w:eastAsia="Arial" w:hAnsi="Arial"/>
          <w:sz w:val="16"/>
          <w:szCs w:val="16"/>
          <w:color w:val="auto"/>
        </w:rPr>
      </w:pPr>
      <w:r>
        <w:rPr>
          <w:rFonts w:ascii="Arial" w:cs="Arial" w:eastAsia="Arial" w:hAnsi="Arial"/>
          <w:sz w:val="16"/>
          <w:szCs w:val="16"/>
          <w:color w:val="auto"/>
        </w:rPr>
        <w:t>(1.3)</w:t>
      </w:r>
    </w:p>
    <w:p>
      <w:pPr>
        <w:spacing w:after="0" w:line="32" w:lineRule="exact"/>
        <w:rPr>
          <w:rFonts w:ascii="Arial" w:cs="Arial" w:eastAsia="Arial" w:hAnsi="Arial"/>
          <w:sz w:val="16"/>
          <w:szCs w:val="16"/>
          <w:color w:val="auto"/>
        </w:rPr>
      </w:pPr>
    </w:p>
    <w:p>
      <w:pPr>
        <w:ind w:left="946"/>
        <w:spacing w:after="0"/>
        <w:rPr>
          <w:rFonts w:ascii="Arial" w:cs="Arial" w:eastAsia="Arial" w:hAnsi="Arial"/>
          <w:sz w:val="16"/>
          <w:szCs w:val="16"/>
          <w:color w:val="auto"/>
        </w:rPr>
      </w:pPr>
      <w:r>
        <w:rPr>
          <w:rFonts w:ascii="Arial" w:cs="Arial" w:eastAsia="Arial" w:hAnsi="Arial"/>
          <w:sz w:val="16"/>
          <w:szCs w:val="16"/>
          <w:color w:val="auto"/>
        </w:rPr>
        <w:t>(0.3)</w:t>
      </w:r>
    </w:p>
    <w:p>
      <w:pPr>
        <w:spacing w:after="0" w:line="43" w:lineRule="exact"/>
        <w:rPr>
          <w:rFonts w:ascii="Arial" w:cs="Arial" w:eastAsia="Arial" w:hAnsi="Arial"/>
          <w:sz w:val="16"/>
          <w:szCs w:val="16"/>
          <w:color w:val="auto"/>
        </w:rPr>
      </w:pPr>
    </w:p>
    <w:p>
      <w:pPr>
        <w:ind w:left="946"/>
        <w:spacing w:after="0"/>
        <w:rPr>
          <w:rFonts w:ascii="Arial" w:cs="Arial" w:eastAsia="Arial" w:hAnsi="Arial"/>
          <w:sz w:val="16"/>
          <w:szCs w:val="16"/>
          <w:color w:val="auto"/>
        </w:rPr>
      </w:pPr>
      <w:r>
        <w:rPr>
          <w:rFonts w:ascii="Arial" w:cs="Arial" w:eastAsia="Arial" w:hAnsi="Arial"/>
          <w:sz w:val="16"/>
          <w:szCs w:val="16"/>
          <w:color w:val="auto"/>
        </w:rPr>
        <w:t>(0.1)</w:t>
      </w:r>
    </w:p>
    <w:p>
      <w:pPr>
        <w:spacing w:after="0" w:line="32" w:lineRule="exact"/>
        <w:rPr>
          <w:sz w:val="20"/>
          <w:szCs w:val="20"/>
          <w:color w:val="auto"/>
        </w:rPr>
      </w:pPr>
    </w:p>
    <w:p>
      <w:pPr>
        <w:ind w:left="926" w:hanging="926"/>
        <w:spacing w:after="0"/>
        <w:tabs>
          <w:tab w:leader="none" w:pos="926" w:val="left"/>
        </w:tabs>
        <w:numPr>
          <w:ilvl w:val="0"/>
          <w:numId w:val="6"/>
        </w:numPr>
        <w:rPr>
          <w:rFonts w:ascii="Arial" w:cs="Arial" w:eastAsia="Arial" w:hAnsi="Arial"/>
          <w:sz w:val="18"/>
          <w:szCs w:val="18"/>
          <w:color w:val="auto"/>
        </w:rPr>
      </w:pPr>
      <w:r>
        <w:rPr>
          <w:rFonts w:ascii="Arial" w:cs="Arial" w:eastAsia="Arial" w:hAnsi="Arial"/>
          <w:sz w:val="18"/>
          <w:szCs w:val="18"/>
          <w:color w:val="auto"/>
        </w:rPr>
        <w:t>69.7</w:t>
      </w:r>
    </w:p>
    <w:p>
      <w:pPr>
        <w:spacing w:after="0" w:line="224" w:lineRule="exact"/>
        <w:rPr>
          <w:rFonts w:ascii="Arial" w:cs="Arial" w:eastAsia="Arial" w:hAnsi="Arial"/>
          <w:sz w:val="18"/>
          <w:szCs w:val="18"/>
          <w:color w:val="auto"/>
        </w:rPr>
      </w:pPr>
    </w:p>
    <w:p>
      <w:pPr>
        <w:ind w:left="826"/>
        <w:spacing w:after="0"/>
        <w:rPr>
          <w:rFonts w:ascii="Arial" w:cs="Arial" w:eastAsia="Arial" w:hAnsi="Arial"/>
          <w:sz w:val="18"/>
          <w:szCs w:val="18"/>
          <w:color w:val="auto"/>
        </w:rPr>
      </w:pPr>
      <w:r>
        <w:rPr>
          <w:rFonts w:ascii="Arial" w:cs="Arial" w:eastAsia="Arial" w:hAnsi="Arial"/>
          <w:sz w:val="18"/>
          <w:szCs w:val="18"/>
          <w:color w:val="auto"/>
        </w:rPr>
        <w:t>212.7</w:t>
      </w:r>
    </w:p>
    <w:p>
      <w:pPr>
        <w:spacing w:after="0" w:line="239" w:lineRule="exact"/>
        <w:rPr>
          <w:sz w:val="20"/>
          <w:szCs w:val="20"/>
          <w:color w:val="auto"/>
        </w:rPr>
      </w:pPr>
    </w:p>
    <w:p>
      <w:pPr>
        <w:ind w:left="826" w:hanging="826"/>
        <w:spacing w:after="0"/>
        <w:tabs>
          <w:tab w:leader="none" w:pos="826" w:val="left"/>
        </w:tabs>
        <w:numPr>
          <w:ilvl w:val="0"/>
          <w:numId w:val="7"/>
        </w:numPr>
        <w:rPr>
          <w:rFonts w:ascii="Arial" w:cs="Arial" w:eastAsia="Arial" w:hAnsi="Arial"/>
          <w:sz w:val="18"/>
          <w:szCs w:val="18"/>
          <w:color w:val="auto"/>
        </w:rPr>
      </w:pPr>
      <w:r>
        <w:rPr>
          <w:rFonts w:ascii="Arial" w:cs="Arial" w:eastAsia="Arial" w:hAnsi="Arial"/>
          <w:sz w:val="18"/>
          <w:szCs w:val="18"/>
          <w:color w:val="auto"/>
        </w:rPr>
        <w:t>350.6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88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78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74" w:space="720"/>
            <w:col w:w="1346"/>
          </w:cols>
          <w:pgMar w:left="320" w:top="576" w:right="339" w:bottom="1440" w:gutter="0" w:footer="0" w:header="0"/>
        </w:sectPr>
      </w:pP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acquired a customer relationship intangible asset with a fair value of $112.2 million that is being amortized on a straight-line basis over 15 years and a contract related intangible asset of $10.3 million that is being amortized on a straight-line basis over 10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with a value of $212.7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PBMA operations are included in the Company's consolidated results of operation, as part of the EFT Processing business segment, beginning on March 16, 2022. For the period beginning on the acquisition date through June 30, 2022, PBMA had $31.2 million in revenue. PBMA had $56.2 million in revenue in the first six months of 2023. The PBMA business is impacted by higher transaction volumes during the tourism season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8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295"/>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1"/>
                <w:szCs w:val="11"/>
                <w:color w:val="auto"/>
              </w:rPr>
            </w:pPr>
          </w:p>
        </w:tc>
      </w:tr>
      <w:tr>
        <w:trPr>
          <w:trHeight w:val="171"/>
        </w:trPr>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Settlement cash and cash equivalents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restricted cash</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credit losses of $40.6 and $33.0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19"/>
                <w:szCs w:val="19"/>
                <w:color w:val="auto"/>
              </w:rPr>
            </w:pPr>
          </w:p>
        </w:tc>
      </w:tr>
      <w:tr>
        <w:trPr>
          <w:trHeight w:val="23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settlement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19"/>
                <w:szCs w:val="19"/>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Trade account payables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r>
      <w:tr>
        <w:trPr>
          <w:trHeight w:val="229"/>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settlement obligations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33"/>
        </w:trPr>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18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ATM cash</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Settlement cash and cash equivalents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1,990.9</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provides the computation of diluted earnings and diluted weighted average number of common shares outstanding: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4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earnings:</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106.2</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r>
      <w:tr>
        <w:trPr>
          <w:trHeight w:val="215"/>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Add: Interest expense from assumed conversion of convertible notes,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r>
      <w:tr>
        <w:trPr>
          <w:trHeight w:val="223"/>
        </w:trPr>
        <w:tc>
          <w:tcPr>
            <w:tcW w:w="5460" w:type="dxa"/>
            <w:vAlign w:val="bottom"/>
          </w:tcPr>
          <w:p>
            <w:pPr>
              <w:ind w:left="280"/>
              <w:spacing w:after="0"/>
              <w:rPr>
                <w:sz w:val="20"/>
                <w:szCs w:val="20"/>
                <w:color w:val="auto"/>
              </w:rPr>
            </w:pPr>
            <w:r>
              <w:rPr>
                <w:rFonts w:ascii="Arial" w:cs="Arial" w:eastAsia="Arial" w:hAnsi="Arial"/>
                <w:sz w:val="18"/>
                <w:szCs w:val="18"/>
                <w:color w:val="auto"/>
              </w:rPr>
              <w:t>Net income for diluted earnings per share calculation</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r>
      <w:tr>
        <w:trPr>
          <w:trHeight w:val="230"/>
        </w:trPr>
        <w:tc>
          <w:tcPr>
            <w:tcW w:w="5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49,637,589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50,394,610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49,724,478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50,726,281</w:t>
            </w:r>
          </w:p>
        </w:tc>
        <w:tc>
          <w:tcPr>
            <w:tcW w:w="100" w:type="dxa"/>
            <w:vAlign w:val="bottom"/>
            <w:shd w:val="clear" w:color="auto" w:fill="CCEEFF"/>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w w:val="92"/>
              </w:rPr>
              <w:t>Incremental shares from assumed exercise of stock options and vesting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6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590,486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412,223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625,625</w:t>
            </w:r>
          </w:p>
        </w:tc>
        <w:tc>
          <w:tcPr>
            <w:tcW w:w="100" w:type="dxa"/>
            <w:vAlign w:val="bottom"/>
          </w:tcPr>
          <w:p>
            <w:pPr>
              <w:spacing w:after="0"/>
              <w:rPr>
                <w:sz w:val="20"/>
                <w:szCs w:val="20"/>
                <w:color w:val="auto"/>
              </w:rPr>
            </w:pP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conversion of convertible debt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2,781,818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2,781,818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2,781,818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2,781,818</w:t>
            </w:r>
          </w:p>
        </w:tc>
        <w:tc>
          <w:tcPr>
            <w:tcW w:w="100" w:type="dxa"/>
            <w:vAlign w:val="bottom"/>
            <w:shd w:val="clear" w:color="auto" w:fill="CCEEFF"/>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52,871,415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53,766,914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52,918,519</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54,133,724</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includes all stock options and restricted stock units that are dilutive to the Company's weighted average common shares outstanding during the period. The calculation of diluted earnings (loss) per share excludes stock options or shares of restricted stock units that are anti-dilutive to the Company's weighted average common shares outstanding of approximately 2.6 million and 2.6 million for the three and six months ended June 30, 2023 and 3.0 million and 3.0 million for the three and six months ended June 30, 2022, respectively.</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(loss)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8, 2021, the Company put a repurchase program in place to repurchase up to $300 million in value, but not more than 5.0 million shares of common stock through December 8, 2023. On September 13, 2022, the Company put a repurchase program in place to repurchase up to $350 million in value, but not more than 7.0 million shares of common stock through September 13, 2024. Under the repurchase programs, we repurchased $0.1 million and $28.4 million of stock, for the three and six months ended June 30, 2023and we repurchased $104.6 million and $175.0 million of stock, for the three and six months ended June 30,2022, respectively. Repurchases under the current program may take place in the open market or in privately negotiated transactions, including derivative transactions, and may be made under a Rule 10b5-1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foreign currency translation result of $10.0 million and $30.8 million for the three and six months ended June 30, 2023and ($88.3) million and ($109.3) million for the three and six months ended June 30, 2022, respectively. There were no reclassifications of foreign currency translation adjustments into the consolidated statements of income for the three and six months ended June 30, 2023 and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2023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00" w:type="dxa"/>
            <w:vAlign w:val="bottom"/>
          </w:tcPr>
          <w:p>
            <w:pPr>
              <w:spacing w:after="0"/>
              <w:rPr>
                <w:sz w:val="12"/>
                <w:szCs w:val="12"/>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Arial" w:cs="Arial" w:eastAsia="Arial" w:hAnsi="Arial"/>
                <w:sz w:val="18"/>
                <w:szCs w:val="18"/>
                <w:color w:val="auto"/>
              </w:rPr>
              <w:t>Increases (decreases):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40"/>
              <w:spacing w:after="0"/>
              <w:rPr>
                <w:sz w:val="20"/>
                <w:szCs w:val="20"/>
                <w:color w:val="auto"/>
              </w:rPr>
            </w:pPr>
            <w:r>
              <w:rPr>
                <w:rFonts w:ascii="Arial" w:cs="Arial" w:eastAsia="Arial" w:hAnsi="Arial"/>
                <w:sz w:val="18"/>
                <w:szCs w:val="18"/>
                <w:color w:val="auto"/>
              </w:rPr>
              <w:t>Balance as of June 30, 2023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$838.0 million as of June 30, 2023, $386.5 million relates to the Money Transfer Segment, $326.8 million relates to the EFT Processing Segment and the remaining $124.7 million relates to the epay Segment. Estimated amortization expense on acquired intangible assets with finite lives as of June 30, 2023, is expected to total $11.0 million for the remainder of 2023, $18.1 million for 2024, $14.8 million for 2025, $14.5 million for 2026, $13.2 million for 2027 and $12.8 million for 2028.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16"/>
        </w:trPr>
        <w:tc>
          <w:tcPr>
            <w:tcW w:w="82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tax payables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8260" w:type="dxa"/>
            <w:vAlign w:val="bottom"/>
          </w:tcPr>
          <w:p>
            <w:pPr>
              <w:ind w:left="40"/>
              <w:spacing w:after="0"/>
              <w:rPr>
                <w:sz w:val="20"/>
                <w:szCs w:val="20"/>
                <w:color w:val="auto"/>
              </w:rPr>
            </w:pPr>
            <w:r>
              <w:rPr>
                <w:rFonts w:ascii="Arial" w:cs="Arial" w:eastAsia="Arial" w:hAnsi="Arial"/>
                <w:sz w:val="18"/>
                <w:szCs w:val="18"/>
                <w:color w:val="auto"/>
              </w:rPr>
              <w:t>Accrued payroll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435.1</w:t>
            </w:r>
          </w:p>
        </w:tc>
        <w:tc>
          <w:tcPr>
            <w:tcW w:w="220" w:type="dxa"/>
            <w:vAlign w:val="bottom"/>
          </w:tcPr>
          <w:p>
            <w:pPr>
              <w:spacing w:after="0"/>
              <w:rPr>
                <w:sz w:val="18"/>
                <w:szCs w:val="18"/>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The decrease in the deferred revenue balance for the six months ended June 30, 2023 is the result of $93.6 million of cash payments received in the current year for which the Company has not yet satisfied the performance obligations, offset by $98.7 million of revenues recognized.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30, 2023</w:t>
            </w:r>
          </w:p>
        </w:tc>
        <w:tc>
          <w:tcPr>
            <w:tcW w:w="200" w:type="dxa"/>
            <w:vAlign w:val="bottom"/>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21"/>
                <w:szCs w:val="21"/>
                <w:color w:val="auto"/>
              </w:rPr>
            </w:pPr>
          </w:p>
        </w:tc>
      </w:tr>
      <w:tr>
        <w:trPr>
          <w:trHeight w:val="209"/>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Uncommitted credit agreements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8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Total debt obligations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Pr>
          <w:p>
            <w:pPr>
              <w:spacing w:after="0"/>
              <w:rPr>
                <w:sz w:val="18"/>
                <w:szCs w:val="18"/>
                <w:color w:val="auto"/>
              </w:rPr>
            </w:pPr>
          </w:p>
        </w:tc>
      </w:tr>
      <w:tr>
        <w:trPr>
          <w:trHeight w:val="209"/>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10"/>
        </w:trPr>
        <w:tc>
          <w:tcPr>
            <w:tcW w:w="844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1,756.6</w:t>
            </w: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Borders>
              <w:top w:val="single" w:sz="8" w:color="CCEEFF"/>
            </w:tcBorders>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09"/>
        </w:trPr>
        <w:tc>
          <w:tcPr>
            <w:tcW w:w="844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Borders>
              <w:top w:val="single" w:sz="8" w:color="CCEEFF"/>
            </w:tcBorders>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June 30, 2023.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may redeem for cash all or any portion of the Convertible Notes, at its option, (i)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June 30, 2023, the conversion threshold was not met. On January 1, 2022, the Company adopted ASU 2020-06,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which simplifies the accounting for convertible instruments by eliminating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models when the conversion features are not required to be accounted for as derivatives under Topic 815, Derivatives and Hedging, or that do not result in substantial premiums accounted for as paid-in-capital. ASU 2020-06 amended the accounting for convertible instruments with ASC Topic 470 Debt. Contractual interest expense for the Convertible Notes was $1.0 million and $2.0 million for the three and six months ended June 30, 2023, respectively. Contractual expense for the Convertible Notes was $1.0 million and $2.0 million for the three and six months ended June 30, 2022, respectively. Accretion expense is no longer applicable after January 1, 2022 due to adoption of ASU 2020-06.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1.375% Senior Notes due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are due in May 2026 (the “Senior Notes”). The Senior Notes accrue interest at a rate of 1.375% per year, payable annually in arrears commencing May 22, 2020, until maturity or earlier redemption. As of June 30, 2023, the Company has outstanding €600 million ($654.6 million) principal amount of the Senior Notes. In addition, the Company may redeem some or all of these notes on or after February 22, 2026 at their principal amount plus any accrued and unpaid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Credit Agreements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27, 2023, the Company entered into an Uncommitted Credit Agreement for $300 million, fully drawn and outstanding at June 30, 2023, for the sole purpose of providing vault cash for ATMs, that expires no later than November 30, 2023. The loan bears interest at the rate per annum equal to the secured overnight financing rate (“SOFR”) plus 1.125%. The weighted-average interest rate from the loan inception date to June 30, 2023 was 6.18%.</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26, 2023, the Company entered into an Uncommitted Loan Agreement for $150 million, fully drawn and outstanding at June 30, 2023, for the sole purpose of providing vault cash for ATMs, that expires no later than June 21, 2024. The loan is a Prime rate loan, a Bloomberg Short-term Bank Yield ("BSBY") rate loan plus 0.95% or bears interest at the rate agreed to by the Bank and the Company at the time such loan is made. The weighted-average interest rate from the loan inception date to June 30, 2023 was 6.12%.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June 30, 2023 and December 31, 2022, borrowings under these arrangements were $0.2 million each.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had unamortized debt issuance costs of $3.5 million for the Credit Facility, $3.8 million for the Convertible Notes and $3.5 million for the Senior Notes that will be amortized through October 2027, March 2025 and May 2026,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$436.4 million and $398.6 million as of June 30, 2023 and December 31, 2022, respectively. The foreign currency forward contracts consist primarily in Australian dollars, Canadian dollars, British pounds sterling, euro and Mexican pesos.</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$68.0 million and $228.4 million as of June 30, 2023 and December 31, 2022, respectively, primarily in euro.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$21.5 million and $41.6 million for the three and six months ended June 30, 2023, respectively, and $21.7 million and $44.2 million for the three and six months ended June 30, 2022, respectively. All of the derivative contracts used in the Company's xe operations are economic hedges and are not designated as hedges under ASC 815. The duration of these derivative contracts is generally less than one year.</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equivalent U.S. dollar notional amount of foreign currency derivative customer contracts held by the Company in its xe operations as of June 30, 2023 and December 31, 2022 was $1.2 billion and $1.0 billion, respectively. The significant majority of customer contracts are written in major currencies such as the euro, U.S. dollar, British pounds sterling, Australian dollar and New Zealand dollar.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Borders>
              <w:bottom w:val="single" w:sz="8" w:color="auto"/>
            </w:tcBorders>
            <w:gridSpan w:val="4"/>
          </w:tcPr>
          <w:p>
            <w:pPr>
              <w:ind w:left="1380"/>
              <w:spacing w:after="0"/>
              <w:rPr>
                <w:sz w:val="20"/>
                <w:szCs w:val="20"/>
                <w:color w:val="auto"/>
              </w:rPr>
            </w:pPr>
            <w:r>
              <w:rPr>
                <w:rFonts w:ascii="Arial" w:cs="Arial" w:eastAsia="Arial" w:hAnsi="Arial"/>
                <w:sz w:val="14"/>
                <w:szCs w:val="14"/>
                <w:b w:val="1"/>
                <w:bCs w:val="1"/>
                <w:color w:val="auto"/>
              </w:rPr>
              <w:t>Asset Derivatives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tcBorders>
              <w:bottom w:val="single" w:sz="8" w:color="auto"/>
            </w:tcBorders>
            <w:gridSpan w:val="4"/>
          </w:tcPr>
          <w:p>
            <w:pPr>
              <w:ind w:left="156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0"/>
              </w:rPr>
              <w:t>June 30, 2023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0"/>
                <w:szCs w:val="10"/>
                <w:color w:val="auto"/>
              </w:rPr>
            </w:pPr>
          </w:p>
        </w:tc>
        <w:tc>
          <w:tcPr>
            <w:tcW w:w="960" w:type="dxa"/>
            <w:vAlign w:val="bottom"/>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180"/>
              <w:spacing w:after="0"/>
              <w:rPr>
                <w:sz w:val="20"/>
                <w:szCs w:val="20"/>
                <w:color w:val="auto"/>
              </w:rPr>
            </w:pPr>
            <w:r>
              <w:rPr>
                <w:rFonts w:ascii="Arial" w:cs="Arial" w:eastAsia="Arial" w:hAnsi="Arial"/>
                <w:sz w:val="18"/>
                <w:szCs w:val="18"/>
                <w:color w:val="auto"/>
                <w:w w:val="92"/>
              </w:rPr>
              <w:t>Foreign currency exchange contracts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w w:val="91"/>
              </w:rPr>
              <w:t>Other current assets  $</w:t>
            </w: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2023 and December 31, 2022 (in millions):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4"/>
          </w:tcPr>
          <w:p>
            <w:pPr>
              <w:jc w:val="right"/>
              <w:ind w:right="199"/>
              <w:spacing w:after="0" w:line="149" w:lineRule="exact"/>
              <w:rPr>
                <w:sz w:val="20"/>
                <w:szCs w:val="20"/>
                <w:color w:val="auto"/>
              </w:rPr>
            </w:pPr>
            <w:r>
              <w:rPr>
                <w:rFonts w:ascii="Arial" w:cs="Arial" w:eastAsia="Arial" w:hAnsi="Arial"/>
                <w:sz w:val="14"/>
                <w:szCs w:val="14"/>
                <w:b w:val="1"/>
                <w:bCs w:val="1"/>
                <w:color w:val="auto"/>
                <w:w w:val="96"/>
              </w:rPr>
              <w:t>Gross Amounts Not Offset in the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Gross Amounts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Net Amounts</w:t>
            </w: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Consolidated Balance Sheet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Amounts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2"/>
                <w:szCs w:val="12"/>
                <w:color w:val="auto"/>
              </w:rPr>
            </w:pPr>
          </w:p>
        </w:tc>
        <w:tc>
          <w:tcPr>
            <w:tcW w:w="11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6"/>
              </w:rPr>
              <w:t>Cash Collateral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2023</w:t>
            </w:r>
          </w:p>
        </w:tc>
        <w:tc>
          <w:tcPr>
            <w:tcW w:w="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Recognized Assets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1100" w:type="dxa"/>
            <w:vAlign w:val="bottom"/>
          </w:tcPr>
          <w:p>
            <w:pPr>
              <w:jc w:val="right"/>
              <w:ind w:right="182"/>
              <w:spacing w:after="0"/>
              <w:rPr>
                <w:sz w:val="20"/>
                <w:szCs w:val="20"/>
                <w:color w:val="auto"/>
              </w:rPr>
            </w:pPr>
            <w:r>
              <w:rPr>
                <w:rFonts w:ascii="Arial" w:cs="Arial" w:eastAsia="Arial" w:hAnsi="Arial"/>
                <w:sz w:val="14"/>
                <w:szCs w:val="14"/>
                <w:b w:val="1"/>
                <w:bCs w:val="1"/>
                <w:color w:val="auto"/>
              </w:rPr>
              <w:t>Instruments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59"/>
              <w:spacing w:after="0"/>
              <w:rPr>
                <w:sz w:val="20"/>
                <w:szCs w:val="20"/>
                <w:color w:val="auto"/>
              </w:rPr>
            </w:pPr>
            <w:r>
              <w:rPr>
                <w:rFonts w:ascii="Arial" w:cs="Arial" w:eastAsia="Arial" w:hAnsi="Arial"/>
                <w:sz w:val="14"/>
                <w:szCs w:val="14"/>
                <w:b w:val="1"/>
                <w:bCs w:val="1"/>
                <w:color w:val="auto"/>
              </w:rPr>
              <w:t>Received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5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5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8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Offsetting of Derivative Liabilities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4"/>
          </w:tcPr>
          <w:p>
            <w:pPr>
              <w:jc w:val="right"/>
              <w:ind w:right="199"/>
              <w:spacing w:after="0" w:line="149" w:lineRule="exact"/>
              <w:rPr>
                <w:sz w:val="20"/>
                <w:szCs w:val="20"/>
                <w:color w:val="auto"/>
              </w:rPr>
            </w:pPr>
            <w:r>
              <w:rPr>
                <w:rFonts w:ascii="Arial" w:cs="Arial" w:eastAsia="Arial" w:hAnsi="Arial"/>
                <w:sz w:val="14"/>
                <w:szCs w:val="14"/>
                <w:b w:val="1"/>
                <w:bCs w:val="1"/>
                <w:color w:val="auto"/>
                <w:w w:val="95"/>
              </w:rPr>
              <w:t>Gross Amounts Not Offset in the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Gross Amounts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Net Amounts</w:t>
            </w: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Consolidated Balance Sheet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Cash Collateral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2023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99"/>
              <w:spacing w:after="0"/>
              <w:rPr>
                <w:sz w:val="20"/>
                <w:szCs w:val="20"/>
                <w:color w:val="auto"/>
              </w:rPr>
            </w:pPr>
            <w:r>
              <w:rPr>
                <w:rFonts w:ascii="Arial" w:cs="Arial" w:eastAsia="Arial" w:hAnsi="Arial"/>
                <w:sz w:val="14"/>
                <w:szCs w:val="14"/>
                <w:b w:val="1"/>
                <w:bCs w:val="1"/>
                <w:color w:val="auto"/>
              </w:rPr>
              <w:t>Paid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86"/>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losses on derivatives in the Consolidated Statements of Income for the three and six months ended June 30,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11"/>
          </w:tcPr>
          <w:p>
            <w:pPr>
              <w:ind w:left="260"/>
              <w:spacing w:after="0"/>
              <w:rPr>
                <w:sz w:val="20"/>
                <w:szCs w:val="20"/>
                <w:color w:val="auto"/>
              </w:rPr>
            </w:pPr>
            <w:r>
              <w:rPr>
                <w:rFonts w:ascii="Arial" w:cs="Arial" w:eastAsia="Arial" w:hAnsi="Arial"/>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4"/>
          </w:tcPr>
          <w:p>
            <w:pPr>
              <w:jc w:val="center"/>
              <w:ind w:right="219"/>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center"/>
              <w:ind w:left="365"/>
              <w:spacing w:after="0" w:line="119" w:lineRule="exact"/>
              <w:rPr>
                <w:sz w:val="20"/>
                <w:szCs w:val="20"/>
                <w:color w:val="auto"/>
              </w:rPr>
            </w:pPr>
            <w:r>
              <w:rPr>
                <w:rFonts w:ascii="Arial" w:cs="Arial" w:eastAsia="Arial" w:hAnsi="Arial"/>
                <w:sz w:val="13"/>
                <w:szCs w:val="13"/>
                <w:b w:val="1"/>
                <w:bCs w:val="1"/>
                <w:color w:val="auto"/>
              </w:rPr>
              <w:t>Six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60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365"/>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480" w:type="dxa"/>
            <w:vAlign w:val="bottom"/>
            <w:tcBorders>
              <w:bottom w:val="single" w:sz="8" w:color="auto"/>
            </w:tcBorders>
          </w:tcPr>
          <w:p>
            <w:pPr>
              <w:jc w:val="right"/>
              <w:ind w:right="1636"/>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80" w:type="dxa"/>
            <w:vAlign w:val="bottom"/>
            <w:shd w:val="clear" w:color="auto" w:fill="CCEEFF"/>
          </w:tcPr>
          <w:p>
            <w:pPr>
              <w:jc w:val="right"/>
              <w:ind w:right="396"/>
              <w:spacing w:after="0" w:line="195" w:lineRule="exact"/>
              <w:rPr>
                <w:sz w:val="20"/>
                <w:szCs w:val="20"/>
                <w:color w:val="auto"/>
              </w:rPr>
            </w:pPr>
            <w:r>
              <w:rPr>
                <w:rFonts w:ascii="Arial" w:cs="Arial" w:eastAsia="Arial" w:hAnsi="Arial"/>
                <w:sz w:val="18"/>
                <w:szCs w:val="18"/>
                <w:color w:val="auto"/>
                <w:w w:val="90"/>
              </w:rPr>
              <w:t>Foreign currency exchange</w:t>
            </w: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80"/>
              <w:spacing w:after="0" w:line="195" w:lineRule="exact"/>
              <w:rPr>
                <w:sz w:val="20"/>
                <w:szCs w:val="20"/>
                <w:color w:val="auto"/>
              </w:rPr>
            </w:pPr>
            <w:r>
              <w:rPr>
                <w:rFonts w:ascii="Arial" w:cs="Arial" w:eastAsia="Arial" w:hAnsi="Arial"/>
                <w:sz w:val="18"/>
                <w:szCs w:val="18"/>
                <w:color w:val="auto"/>
                <w:w w:val="90"/>
              </w:rPr>
              <w:t>Foreign currency exchange gain</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4"/>
              </w:rPr>
              <w:t>contracts - Ria Operations</w:t>
            </w:r>
          </w:p>
        </w:tc>
        <w:tc>
          <w:tcPr>
            <w:tcW w:w="1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(loss), net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line="250"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0"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w w:val="92"/>
              </w:rPr>
              <w:t>As of June 30, 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Classification</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0"/>
              </w:rPr>
              <w:t>assets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liabilities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480"/>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w w:val="92"/>
              </w:rPr>
              <w:t>As of December 31, 2022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Classification</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0"/>
              </w:rPr>
              <w:t>assets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liabilities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June 30, 2023 was based on SOFR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6"/>
          <w:szCs w:val="16"/>
          <w:color w:val="252525"/>
        </w:rPr>
        <w:t>As of June 30, 2023,</w:t>
      </w:r>
      <w:r>
        <w:rPr>
          <w:rFonts w:ascii="Arial" w:cs="Arial" w:eastAsia="Arial" w:hAnsi="Arial"/>
          <w:sz w:val="16"/>
          <w:szCs w:val="16"/>
          <w:color w:val="auto"/>
        </w:rPr>
        <w:t xml:space="preserve"> the fair values of the Convertible Notes and Senior Notes were $532.0 million and $592.2 million, respectively, with carrying values of $525.0 million and $654.6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170" w:lineRule="exact"/>
        <w:rPr>
          <w:sz w:val="20"/>
          <w:szCs w:val="20"/>
          <w:color w:val="auto"/>
        </w:rPr>
      </w:pPr>
    </w:p>
    <w:p>
      <w:pPr>
        <w:jc w:val="both"/>
        <w:ind w:firstLine="278"/>
        <w:spacing w:after="0" w:line="275" w:lineRule="auto"/>
        <w:tabs>
          <w:tab w:leader="none" w:pos="47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0" w:name="page21"/>
    <w:bookmarkEnd w:id="20"/>
    <w:p>
      <w:pPr>
        <w:jc w:val="both"/>
        <w:ind w:firstLine="278"/>
        <w:spacing w:after="0" w:line="263"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w:t>
      </w:r>
    </w:p>
    <w:p>
      <w:pPr>
        <w:spacing w:after="0" w:line="183" w:lineRule="exact"/>
        <w:rPr>
          <w:rFonts w:ascii="Arial" w:cs="Arial" w:eastAsia="Arial" w:hAnsi="Arial"/>
          <w:sz w:val="18"/>
          <w:szCs w:val="18"/>
          <w:color w:val="auto"/>
        </w:rPr>
      </w:pPr>
    </w:p>
    <w:p>
      <w:pPr>
        <w:jc w:val="both"/>
        <w:ind w:firstLine="278"/>
        <w:spacing w:after="0" w:line="254" w:lineRule="auto"/>
        <w:tabs>
          <w:tab w:leader="none" w:pos="4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Money Transfer Segment, Euronet provides global consumer-to-consumer money transfer services, primarily under the brand names Ria, IME, AFEX, and xe, and global account-to-account money transfer services under the brand name xe. The Company offers services under the brand names Ria and IME through a network of sending agents, Company-owned stores, Company-owned websites, and mobile applications, disbursing money transfers through a worldwide correspondent network. xe is a provider of foreign currency exchange information and offers money transfer services on its currency data websites. The Company also offers customers bill payment services (primarily in the U.S.), payment alternatives such as money orders and prepaid debit cards, comprehensive check cashing services for a wide variety of issued checks, along with competitive foreign currency exchange services and prepaid mobile top-up. Furthermore, xe provides cash management solutions and foreign currency risk management services to small-to-medium sized businesses.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and six months ended June 30, 2023 and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right"/>
              <w:ind w:right="534"/>
              <w:spacing w:after="0"/>
              <w:rPr>
                <w:sz w:val="20"/>
                <w:szCs w:val="20"/>
                <w:color w:val="auto"/>
              </w:rPr>
            </w:pPr>
            <w:r>
              <w:rPr>
                <w:rFonts w:ascii="Arial" w:cs="Arial" w:eastAsia="Arial" w:hAnsi="Arial"/>
                <w:sz w:val="14"/>
                <w:szCs w:val="14"/>
                <w:b w:val="1"/>
                <w:bCs w:val="1"/>
                <w:color w:val="auto"/>
              </w:rPr>
              <w:t>For the Three Months Ended June 30, 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6"/>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r>
      <w:tr>
        <w:trPr>
          <w:trHeight w:val="209"/>
        </w:trPr>
        <w:tc>
          <w:tcPr>
            <w:tcW w:w="4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282.4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939.1</w:t>
            </w: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558.1</w:t>
            </w: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149.4</w:t>
            </w: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r>
      <w:tr>
        <w:trPr>
          <w:trHeight w:val="216"/>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33.7</w:t>
            </w:r>
          </w:p>
        </w:tc>
      </w:tr>
      <w:tr>
        <w:trPr>
          <w:trHeight w:val="210"/>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816.5</w:t>
            </w:r>
          </w:p>
        </w:tc>
      </w:tr>
      <w:tr>
        <w:trPr>
          <w:trHeight w:val="210"/>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122.6</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534"/>
              <w:spacing w:after="0"/>
              <w:rPr>
                <w:sz w:val="20"/>
                <w:szCs w:val="20"/>
                <w:color w:val="auto"/>
              </w:rPr>
            </w:pPr>
            <w:r>
              <w:rPr>
                <w:rFonts w:ascii="Arial" w:cs="Arial" w:eastAsia="Arial" w:hAnsi="Arial"/>
                <w:sz w:val="14"/>
                <w:szCs w:val="14"/>
                <w:b w:val="1"/>
                <w:bCs w:val="1"/>
                <w:color w:val="auto"/>
              </w:rPr>
              <w:t>For the Three Months Ended June 30, 2022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6"/>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Corporate Services,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r>
      <w:tr>
        <w:trPr>
          <w:trHeight w:val="209"/>
        </w:trPr>
        <w:tc>
          <w:tcPr>
            <w:tcW w:w="4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227.7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368.5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843.3</w:t>
            </w: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500.7</w:t>
            </w: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131.3</w:t>
            </w: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74.2</w:t>
            </w:r>
          </w:p>
        </w:tc>
      </w:tr>
      <w:tr>
        <w:trPr>
          <w:trHeight w:val="216"/>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w:t>
            </w:r>
          </w:p>
        </w:tc>
      </w:tr>
      <w:tr>
        <w:trPr>
          <w:trHeight w:val="209"/>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742.2</w:t>
            </w:r>
          </w:p>
        </w:tc>
      </w:tr>
      <w:tr>
        <w:trPr>
          <w:trHeight w:val="210"/>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101.1</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right"/>
              <w:ind w:right="634"/>
              <w:spacing w:after="0"/>
              <w:rPr>
                <w:sz w:val="20"/>
                <w:szCs w:val="20"/>
                <w:color w:val="auto"/>
              </w:rPr>
            </w:pPr>
            <w:r>
              <w:rPr>
                <w:rFonts w:ascii="Arial" w:cs="Arial" w:eastAsia="Arial" w:hAnsi="Arial"/>
                <w:sz w:val="14"/>
                <w:szCs w:val="14"/>
                <w:b w:val="1"/>
                <w:bCs w:val="1"/>
                <w:color w:val="auto"/>
              </w:rPr>
              <w:t>For the Six Months Ended June 30, 2023</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Corporate Services,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and Other</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1,726.3</w:t>
            </w:r>
          </w:p>
        </w:tc>
      </w:tr>
      <w:tr>
        <w:trPr>
          <w:trHeight w:val="209"/>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1,049.7</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291.3</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150.5</w:t>
            </w:r>
          </w:p>
        </w:tc>
      </w:tr>
      <w:tr>
        <w:trPr>
          <w:trHeight w:val="216"/>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66.6</w:t>
            </w:r>
          </w:p>
        </w:tc>
      </w:tr>
      <w:tr>
        <w:trPr>
          <w:trHeight w:val="209"/>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674.4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1,558.1</w:t>
            </w:r>
          </w:p>
        </w:tc>
      </w:tr>
      <w:tr>
        <w:trPr>
          <w:trHeight w:val="209"/>
        </w:trPr>
        <w:tc>
          <w:tcPr>
            <w:tcW w:w="446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168.2</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634"/>
              <w:spacing w:after="0"/>
              <w:rPr>
                <w:sz w:val="20"/>
                <w:szCs w:val="20"/>
                <w:color w:val="auto"/>
              </w:rPr>
            </w:pPr>
            <w:r>
              <w:rPr>
                <w:rFonts w:ascii="Arial" w:cs="Arial" w:eastAsia="Arial" w:hAnsi="Arial"/>
                <w:sz w:val="14"/>
                <w:szCs w:val="14"/>
                <w:b w:val="1"/>
                <w:bCs w:val="1"/>
                <w:color w:val="auto"/>
              </w:rPr>
              <w:t>For the Six Months Ended June 30, 2022</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6"/>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Corporate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epay</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Transfer</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and Other</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1,561.8</w:t>
            </w:r>
          </w:p>
        </w:tc>
      </w:tr>
      <w:tr>
        <w:trPr>
          <w:trHeight w:val="209"/>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958.9</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258.1</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138.0</w:t>
            </w:r>
          </w:p>
        </w:tc>
      </w:tr>
      <w:tr>
        <w:trPr>
          <w:trHeight w:val="216"/>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69.0</w:t>
            </w:r>
          </w:p>
        </w:tc>
      </w:tr>
      <w:tr>
        <w:trPr>
          <w:trHeight w:val="209"/>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1,424.0</w:t>
            </w:r>
          </w:p>
        </w:tc>
      </w:tr>
      <w:tr>
        <w:trPr>
          <w:trHeight w:val="210"/>
        </w:trPr>
        <w:tc>
          <w:tcPr>
            <w:tcW w:w="446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137.8</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assets by reportable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vMerge w:val="continue"/>
          </w:tcPr>
          <w:p>
            <w:pPr>
              <w:spacing w:after="0"/>
              <w:rPr>
                <w:sz w:val="12"/>
                <w:szCs w:val="12"/>
                <w:color w:val="auto"/>
              </w:rPr>
            </w:pPr>
          </w:p>
        </w:tc>
        <w:tc>
          <w:tcPr>
            <w:tcW w:w="4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4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2,393.8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2,150.7</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4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5,403.6</w:t>
            </w:r>
          </w:p>
        </w:tc>
        <w:tc>
          <w:tcPr>
            <w:tcW w:w="0" w:type="dxa"/>
            <w:vAlign w:val="bottom"/>
          </w:tcPr>
          <w:p>
            <w:pPr>
              <w:spacing w:after="0"/>
              <w:rPr>
                <w:sz w:val="1"/>
                <w:szCs w:val="1"/>
                <w:color w:val="auto"/>
              </w:rPr>
            </w:pPr>
          </w:p>
        </w:tc>
      </w:tr>
      <w:tr>
        <w:trPr>
          <w:trHeight w:val="440"/>
        </w:trPr>
        <w:tc>
          <w:tcPr>
            <w:tcW w:w="436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63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3"/>
          </w:tcPr>
          <w:p>
            <w:pPr>
              <w:ind w:left="380"/>
              <w:spacing w:after="0"/>
              <w:rPr>
                <w:sz w:val="20"/>
                <w:szCs w:val="20"/>
                <w:color w:val="auto"/>
              </w:rPr>
            </w:pPr>
            <w:r>
              <w:rPr>
                <w:rFonts w:ascii="Arial" w:cs="Arial" w:eastAsia="Arial" w:hAnsi="Arial"/>
                <w:sz w:val="14"/>
                <w:szCs w:val="14"/>
                <w:b w:val="1"/>
                <w:bCs w:val="1"/>
                <w:color w:val="auto"/>
              </w:rPr>
              <w:t>Revenues for the Three Months Ended June 30, 2023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2"/>
          </w:tcPr>
          <w:p>
            <w:pPr>
              <w:jc w:val="right"/>
              <w:ind w:right="493"/>
              <w:spacing w:after="0"/>
              <w:rPr>
                <w:sz w:val="20"/>
                <w:szCs w:val="20"/>
                <w:color w:val="auto"/>
              </w:rPr>
            </w:pPr>
            <w:r>
              <w:rPr>
                <w:rFonts w:ascii="Arial" w:cs="Arial" w:eastAsia="Arial" w:hAnsi="Arial"/>
                <w:sz w:val="14"/>
                <w:szCs w:val="14"/>
                <w:b w:val="1"/>
                <w:bCs w:val="1"/>
                <w:color w:val="auto"/>
              </w:rPr>
              <w:t>Revenues for the Six Months Ended June 30, 2023</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EFT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Money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36"/>
              <w:spacing w:after="0" w:line="139" w:lineRule="exact"/>
              <w:rPr>
                <w:sz w:val="20"/>
                <w:szCs w:val="20"/>
                <w:color w:val="auto"/>
              </w:rPr>
            </w:pPr>
            <w:r>
              <w:rPr>
                <w:rFonts w:ascii="Arial" w:cs="Arial" w:eastAsia="Arial" w:hAnsi="Arial"/>
                <w:sz w:val="14"/>
                <w:szCs w:val="14"/>
                <w:b w:val="1"/>
                <w:bCs w:val="1"/>
                <w:color w:val="auto"/>
              </w:rPr>
              <w:t>EFT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epay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4"/>
              </w:rPr>
              <w:t>Money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Transfer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199"/>
        </w:trPr>
        <w:tc>
          <w:tcPr>
            <w:tcW w:w="2700" w:type="dxa"/>
            <w:vAlign w:val="bottom"/>
            <w:tcBorders>
              <w:bottom w:val="single" w:sz="8" w:color="CCEEFF"/>
            </w:tcBorders>
            <w:gridSpan w:val="2"/>
          </w:tcPr>
          <w:p>
            <w:pPr>
              <w:ind w:left="40"/>
              <w:spacing w:after="0" w:line="200"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8.7</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40"/>
              <w:spacing w:after="0" w:line="200" w:lineRule="exact"/>
              <w:rPr>
                <w:sz w:val="20"/>
                <w:szCs w:val="20"/>
                <w:color w:val="auto"/>
              </w:rPr>
            </w:pPr>
            <w:r>
              <w:rPr>
                <w:rFonts w:ascii="Arial" w:cs="Arial" w:eastAsia="Arial" w:hAnsi="Arial"/>
                <w:sz w:val="18"/>
                <w:szCs w:val="18"/>
                <w:color w:val="auto"/>
              </w:rPr>
              <w:t>13.0</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22.8</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BBBBBB"/>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35.7</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38.4</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line="200" w:lineRule="exact"/>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3"/>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394.8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3"/>
          </w:tcPr>
          <w:p>
            <w:pPr>
              <w:ind w:left="360"/>
              <w:spacing w:after="0"/>
              <w:rPr>
                <w:sz w:val="20"/>
                <w:szCs w:val="20"/>
                <w:color w:val="auto"/>
              </w:rPr>
            </w:pPr>
            <w:r>
              <w:rPr>
                <w:rFonts w:ascii="Arial" w:cs="Arial" w:eastAsia="Arial" w:hAnsi="Arial"/>
                <w:sz w:val="14"/>
                <w:szCs w:val="14"/>
                <w:b w:val="1"/>
                <w:bCs w:val="1"/>
                <w:color w:val="auto"/>
              </w:rPr>
              <w:t>Revenues for the Three Months Ended June 30, 2022</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2"/>
          </w:tcPr>
          <w:p>
            <w:pPr>
              <w:jc w:val="right"/>
              <w:ind w:right="493"/>
              <w:spacing w:after="0"/>
              <w:rPr>
                <w:sz w:val="20"/>
                <w:szCs w:val="20"/>
                <w:color w:val="auto"/>
              </w:rPr>
            </w:pPr>
            <w:r>
              <w:rPr>
                <w:rFonts w:ascii="Arial" w:cs="Arial" w:eastAsia="Arial" w:hAnsi="Arial"/>
                <w:sz w:val="14"/>
                <w:szCs w:val="14"/>
                <w:b w:val="1"/>
                <w:bCs w:val="1"/>
                <w:color w:val="auto"/>
              </w:rPr>
              <w:t>Revenues for the Six Months Ended June 30, 2022</w:t>
            </w: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8"/>
              </w:rPr>
              <w:t>EFT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Money</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rPr>
              <w:t>EFT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4"/>
              </w:rPr>
              <w:t>Money</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Processing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Transfer</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4"/>
              </w:rPr>
              <w:t>Processing</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epay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Transfer</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8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1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249.0</w:t>
            </w:r>
          </w:p>
        </w:tc>
        <w:tc>
          <w:tcPr>
            <w:tcW w:w="20" w:type="dxa"/>
            <w:vAlign w:val="bottom"/>
          </w:tcPr>
          <w:p>
            <w:pPr>
              <w:spacing w:after="0"/>
              <w:rPr>
                <w:sz w:val="18"/>
                <w:szCs w:val="18"/>
                <w:color w:val="auto"/>
              </w:rPr>
            </w:pPr>
          </w:p>
        </w:tc>
        <w:tc>
          <w:tcPr>
            <w:tcW w:w="2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227.7</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368.5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843.3</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394.6</w:t>
            </w:r>
          </w:p>
        </w:tc>
        <w:tc>
          <w:tcPr>
            <w:tcW w:w="2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Pr>
          <w:p>
            <w:pPr>
              <w:spacing w:after="0"/>
              <w:rPr>
                <w:sz w:val="18"/>
                <w:szCs w:val="18"/>
                <w:color w:val="auto"/>
              </w:rPr>
            </w:pP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707.5</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-2239010</wp:posOffset>
            </wp:positionV>
            <wp:extent cx="34290"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-2239010</wp:posOffset>
            </wp:positionV>
            <wp:extent cx="3429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-2239010</wp:posOffset>
            </wp:positionV>
            <wp:extent cx="3429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-2101850</wp:posOffset>
            </wp:positionV>
            <wp:extent cx="3429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 was 27.3% and 31.9% for the three and six months ended June 30, 2023 respectively, compared to 26.7% and 36.7% for the three and six months ended June 30, 2022, respectively. The Company's effective income tax rate for the three and six months ended June 30, 2023 was higher than the applicable statutory income tax rate of 21% mainly as a result of our U.S. deferred tax activity and certain foreign earnings being subject to higher local statutory tax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had $86.7 million of stand-by letters of credit/bank guarantees issued on the Company's behalf, of which $3.4 million are collateralized by cash deposits held by the respective issuing banks.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June 30, 2023, the Company had granted off balance sheet guarantees for cash in various ATM networks amounting to $43.3 million over the terms of the cash supply agreements and performance guarantees amounting to approximately $11.5 million over the terms of agreements with the Company's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1"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As of June 30, 2023, the balance of such cash used in the Company's ATM networks for which the Company was responsible was approximately $405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-370205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81"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Arial" w:cs="Arial" w:eastAsia="Arial" w:hAnsi="Arial"/>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2023 or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June 30, 2023 are: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As of June 30, 2023</w:t>
            </w:r>
          </w:p>
        </w:tc>
      </w:tr>
      <w:tr>
        <w:trPr>
          <w:trHeight w:val="264"/>
        </w:trPr>
        <w:tc>
          <w:tcPr>
            <w:tcW w:w="9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millions)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Operating Leases (1)</w:t>
            </w:r>
          </w:p>
        </w:tc>
      </w:tr>
      <w:tr>
        <w:trPr>
          <w:trHeight w:val="21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2023</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r>
      <w:tr>
        <w:trPr>
          <w:trHeight w:val="216"/>
        </w:trPr>
        <w:tc>
          <w:tcPr>
            <w:tcW w:w="9880" w:type="dxa"/>
            <w:vAlign w:val="bottom"/>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41.1</w:t>
            </w:r>
          </w:p>
        </w:tc>
      </w:tr>
      <w:tr>
        <w:trPr>
          <w:trHeight w:val="21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r>
      <w:tr>
        <w:trPr>
          <w:trHeight w:val="216"/>
        </w:trPr>
        <w:tc>
          <w:tcPr>
            <w:tcW w:w="9880" w:type="dxa"/>
            <w:vAlign w:val="bottom"/>
          </w:tcPr>
          <w:p>
            <w:pPr>
              <w:ind w:left="4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22.1</w:t>
            </w:r>
          </w:p>
        </w:tc>
      </w:tr>
      <w:tr>
        <w:trPr>
          <w:trHeight w:val="21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r>
      <w:tr>
        <w:trPr>
          <w:trHeight w:val="21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r>
    </w:tbl>
    <w:p>
      <w:pPr>
        <w:spacing w:after="0" w:line="296" w:lineRule="exact"/>
        <w:rPr>
          <w:sz w:val="20"/>
          <w:szCs w:val="20"/>
          <w:color w:val="auto"/>
        </w:rPr>
      </w:pPr>
    </w:p>
    <w:p>
      <w:pPr>
        <w:ind w:left="5540" w:right="2580" w:hanging="5208"/>
        <w:spacing w:after="0" w:line="543"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lease payments reflect the Company's current fixed obligations under the operating lease agreements.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Expense</w:t>
            </w: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80" w:type="dxa"/>
            <w:vAlign w:val="bottom"/>
            <w:vMerge w:val="continue"/>
          </w:tcPr>
          <w:p>
            <w:pPr>
              <w:spacing w:after="0"/>
              <w:rPr>
                <w:sz w:val="12"/>
                <w:szCs w:val="12"/>
                <w:color w:val="auto"/>
              </w:rPr>
            </w:pPr>
          </w:p>
        </w:tc>
        <w:tc>
          <w:tcPr>
            <w:tcW w:w="2780" w:type="dxa"/>
            <w:vAlign w:val="bottom"/>
            <w:vMerge w:val="restart"/>
          </w:tcPr>
          <w:p>
            <w:pPr>
              <w:jc w:val="center"/>
              <w:ind w:left="114"/>
              <w:spacing w:after="0"/>
              <w:rPr>
                <w:sz w:val="20"/>
                <w:szCs w:val="20"/>
                <w:color w:val="auto"/>
              </w:rPr>
            </w:pPr>
            <w:r>
              <w:rPr>
                <w:rFonts w:ascii="Arial" w:cs="Arial" w:eastAsia="Arial" w:hAnsi="Arial"/>
                <w:sz w:val="14"/>
                <w:szCs w:val="14"/>
                <w:b w:val="1"/>
                <w:bCs w:val="1"/>
                <w:color w:val="auto"/>
                <w:w w:val="91"/>
              </w:rPr>
              <w:t>Income Statement Classification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4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28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7"/>
              </w:rPr>
              <w:t>Six Months Ended</w:t>
            </w:r>
          </w:p>
        </w:tc>
        <w:tc>
          <w:tcPr>
            <w:tcW w:w="240" w:type="dxa"/>
            <w:vAlign w:val="bottom"/>
          </w:tcPr>
          <w:p>
            <w:pPr>
              <w:spacing w:after="0"/>
              <w:rPr>
                <w:sz w:val="12"/>
                <w:szCs w:val="12"/>
                <w:color w:val="auto"/>
              </w:rPr>
            </w:pPr>
          </w:p>
        </w:tc>
        <w:tc>
          <w:tcPr>
            <w:tcW w:w="1400" w:type="dxa"/>
            <w:vAlign w:val="bottom"/>
            <w:gridSpan w:val="3"/>
          </w:tcPr>
          <w:p>
            <w:pPr>
              <w:jc w:val="right"/>
              <w:ind w:right="200"/>
              <w:spacing w:after="0" w:line="145" w:lineRule="exact"/>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6"/>
        </w:trPr>
        <w:tc>
          <w:tcPr>
            <w:tcW w:w="23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2023</w:t>
            </w:r>
          </w:p>
        </w:tc>
        <w:tc>
          <w:tcPr>
            <w:tcW w:w="140" w:type="dxa"/>
            <w:vAlign w:val="bottom"/>
          </w:tcPr>
          <w:p>
            <w:pPr>
              <w:spacing w:after="0"/>
              <w:rPr>
                <w:sz w:val="15"/>
                <w:szCs w:val="15"/>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June 30, 2022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June 30, 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 2022</w:t>
            </w:r>
          </w:p>
        </w:tc>
        <w:tc>
          <w:tcPr>
            <w:tcW w:w="0" w:type="dxa"/>
            <w:vAlign w:val="bottom"/>
          </w:tcPr>
          <w:p>
            <w:pPr>
              <w:spacing w:after="0"/>
              <w:rPr>
                <w:sz w:val="1"/>
                <w:szCs w:val="1"/>
                <w:color w:val="auto"/>
              </w:rPr>
            </w:pPr>
          </w:p>
        </w:tc>
      </w:tr>
      <w:tr>
        <w:trPr>
          <w:trHeight w:val="222"/>
        </w:trPr>
        <w:tc>
          <w:tcPr>
            <w:tcW w:w="2380" w:type="dxa"/>
            <w:vAlign w:val="bottom"/>
            <w:tcBorders>
              <w:top w:val="single" w:sz="8" w:color="auto"/>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90"/>
              </w:rPr>
              <w:t>Selling, general and administrative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7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0"/>
              </w:rPr>
              <w:t>and Direct operating costs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w w:val="98"/>
              </w:rPr>
              <w:t>Short-term and variable lease</w:t>
            </w:r>
          </w:p>
        </w:tc>
        <w:tc>
          <w:tcPr>
            <w:tcW w:w="2780" w:type="dxa"/>
            <w:vAlign w:val="bottom"/>
          </w:tcPr>
          <w:p>
            <w:pPr>
              <w:jc w:val="center"/>
              <w:ind w:left="114"/>
              <w:spacing w:after="0"/>
              <w:rPr>
                <w:sz w:val="20"/>
                <w:szCs w:val="20"/>
                <w:color w:val="auto"/>
              </w:rPr>
            </w:pPr>
            <w:r>
              <w:rPr>
                <w:rFonts w:ascii="Arial" w:cs="Arial" w:eastAsia="Arial" w:hAnsi="Arial"/>
                <w:sz w:val="18"/>
                <w:szCs w:val="18"/>
                <w:color w:val="auto"/>
                <w:w w:val="90"/>
              </w:rPr>
              <w:t>Selling, general and administrative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80" w:type="dxa"/>
            <w:vAlign w:val="bottom"/>
          </w:tcPr>
          <w:p>
            <w:pPr>
              <w:ind w:left="40"/>
              <w:spacing w:after="0"/>
              <w:rPr>
                <w:sz w:val="20"/>
                <w:szCs w:val="20"/>
                <w:color w:val="auto"/>
              </w:rPr>
            </w:pPr>
            <w:r>
              <w:rPr>
                <w:rFonts w:ascii="Arial" w:cs="Arial" w:eastAsia="Arial" w:hAnsi="Arial"/>
                <w:sz w:val="18"/>
                <w:szCs w:val="18"/>
                <w:color w:val="auto"/>
              </w:rPr>
              <w:t>expense</w:t>
            </w:r>
          </w:p>
        </w:tc>
        <w:tc>
          <w:tcPr>
            <w:tcW w:w="2780" w:type="dxa"/>
            <w:vAlign w:val="bottom"/>
          </w:tcPr>
          <w:p>
            <w:pPr>
              <w:jc w:val="center"/>
              <w:ind w:left="114"/>
              <w:spacing w:after="0"/>
              <w:rPr>
                <w:sz w:val="20"/>
                <w:szCs w:val="20"/>
                <w:color w:val="auto"/>
              </w:rPr>
            </w:pPr>
            <w:r>
              <w:rPr>
                <w:rFonts w:ascii="Arial" w:cs="Arial" w:eastAsia="Arial" w:hAnsi="Arial"/>
                <w:sz w:val="18"/>
                <w:szCs w:val="18"/>
                <w:color w:val="auto"/>
                <w:w w:val="90"/>
              </w:rPr>
              <w:t>and Direct operating costs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27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about lease amounts recognized in the consolidated financial statements is summarized as follows:</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June 30, 2023</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4.5</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2.3%</w:t>
      </w:r>
    </w:p>
    <w:p>
      <w:pPr>
        <w:spacing w:after="0" w:line="857" w:lineRule="exact"/>
        <w:rPr>
          <w:sz w:val="20"/>
          <w:szCs w:val="20"/>
          <w:color w:val="auto"/>
        </w:rPr>
      </w:pPr>
    </w:p>
    <w:p>
      <w:pPr>
        <w:sectPr>
          <w:pgSz w:w="11900" w:h="16838" w:orient="portrait"/>
          <w:cols w:equalWidth="0" w:num="2">
            <w:col w:w="9280" w:space="720"/>
            <w:col w:w="1240"/>
          </w:cols>
          <w:pgMar w:left="320" w:top="557" w:right="33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(a) Included in Net cash provided by operating activities on the Company's Consolidated Statements of Cash Flows.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3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w w:val="97"/>
              </w:rPr>
              <w:t>Six Months Ended</w:t>
            </w:r>
          </w:p>
        </w:tc>
      </w:tr>
      <w:tr>
        <w:trPr>
          <w:trHeight w:val="192"/>
        </w:trPr>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4"/>
              </w:rPr>
              <w:t>June 30, 2022</w:t>
            </w:r>
          </w:p>
        </w:tc>
      </w:tr>
      <w:tr>
        <w:trPr>
          <w:trHeight w:val="27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26.1</w:t>
            </w:r>
          </w:p>
        </w:tc>
      </w:tr>
      <w:tr>
        <w:trPr>
          <w:trHeight w:val="54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21.5</w:t>
            </w:r>
          </w:p>
        </w:tc>
      </w:tr>
    </w:tbl>
    <w:p>
      <w:pPr>
        <w:spacing w:after="0" w:line="506" w:lineRule="exact"/>
        <w:rPr>
          <w:sz w:val="20"/>
          <w:szCs w:val="20"/>
          <w:color w:val="auto"/>
        </w:rPr>
      </w:pPr>
    </w:p>
    <w:p>
      <w:pPr>
        <w:sectPr>
          <w:pgSz w:w="11900" w:h="16838" w:orient="portrait"/>
          <w:cols w:equalWidth="0" w:num="2">
            <w:col w:w="7700" w:space="720"/>
            <w:col w:w="2820"/>
          </w:cols>
          <w:pgMar w:left="320" w:top="557" w:right="339"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or other pandemics; inflation; the war in the Ukraine and related economic sanctions;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w:t>
      </w:r>
      <w:r>
        <w:rPr>
          <w:rFonts w:ascii="Arial" w:cs="Arial" w:eastAsia="Arial" w:hAnsi="Arial"/>
          <w:sz w:val="16"/>
          <w:szCs w:val="16"/>
          <w:u w:val="single" w:color="auto"/>
          <w:color w:val="008080"/>
        </w:rPr>
        <w:t>;</w:t>
      </w:r>
      <w:r>
        <w:rPr>
          <w:rFonts w:ascii="Arial" w:cs="Arial" w:eastAsia="Arial" w:hAnsi="Arial"/>
          <w:sz w:val="16"/>
          <w:szCs w:val="16"/>
          <w:color w:val="auto"/>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2022.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8" w:lineRule="exact"/>
        <w:rPr>
          <w:sz w:val="20"/>
          <w:szCs w:val="20"/>
          <w:color w:val="auto"/>
        </w:rPr>
      </w:pPr>
    </w:p>
    <w:p>
      <w:pPr>
        <w:jc w:val="both"/>
        <w:ind w:firstLine="8"/>
        <w:spacing w:after="0" w:line="257" w:lineRule="auto"/>
        <w:tabs>
          <w:tab w:leader="none" w:pos="2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EFT Processing Segment processes transactions for a network of 51,402 ATMs and approximately 626,000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domestic and international surcharges and other value added services. Through this segment, we also offer a suite of integrated electronic financial transaction software solutions for electronic payment and transaction delivery systems.</w:t>
      </w:r>
    </w:p>
    <w:p>
      <w:pPr>
        <w:spacing w:after="0" w:line="187"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electronic payment products and prepaid mobile airtime through a network of approximately 810,000 POS terminals in Europe, the Middle East, Asia Pacific, North America and South America. We also provide vouchers and physical gift fulfillment services in Europe.</w:t>
      </w:r>
    </w:p>
    <w:p>
      <w:pPr>
        <w:spacing w:after="0" w:line="183" w:lineRule="exact"/>
        <w:rPr>
          <w:rFonts w:ascii="Arial" w:cs="Arial" w:eastAsia="Arial" w:hAnsi="Arial"/>
          <w:sz w:val="18"/>
          <w:szCs w:val="18"/>
          <w:color w:val="auto"/>
        </w:rPr>
      </w:pPr>
    </w:p>
    <w:p>
      <w:pPr>
        <w:jc w:val="both"/>
        <w:ind w:firstLine="8"/>
        <w:spacing w:after="0" w:line="271" w:lineRule="auto"/>
        <w:tabs>
          <w:tab w:leader="none" w:pos="22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our websites and mobile applications, disbursing money transfers through a worldwide correspondent network that includes approximately 533,000 locations. xe is a provider of foreign currency exchange information and offers money transfer services on its currency data websites.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30% and 27% of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2023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28% and 29% of total consolidated revenues for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2023 are primarily derived from commissions earned from the distribution of electronic content, vouchers, and physical gifts and commissions or processing fees received from mobile phone operators for the processing and distribution of prepaid mobile airtime. Branded payments, which includes the distribution of digital media content, were 66% of epay Segment revenues for both the three and six months ended June 30, 2023.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42% and 44% of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2023,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our websites and mobile applications,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92" w:lineRule="exact"/>
        <w:rPr>
          <w:sz w:val="20"/>
          <w:szCs w:val="20"/>
          <w:color w:val="auto"/>
        </w:rPr>
      </w:pPr>
    </w:p>
    <w:p>
      <w:pPr>
        <w:jc w:val="both"/>
        <w:ind w:firstLine="8"/>
        <w:spacing w:after="0" w:line="286" w:lineRule="auto"/>
        <w:tabs>
          <w:tab w:leader="none" w:pos="1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markets in which we operate and navigating frequently changing rules imposed by international card organizations, such as Visa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Mastercard</w:t>
      </w:r>
      <w:r>
        <w:rPr>
          <w:rFonts w:ascii="Arial" w:cs="Arial" w:eastAsia="Arial" w:hAnsi="Arial"/>
          <w:sz w:val="26"/>
          <w:szCs w:val="26"/>
          <w:color w:val="auto"/>
          <w:vertAlign w:val="superscript"/>
        </w:rPr>
        <w:t>®</w:t>
      </w:r>
      <w:r>
        <w:rPr>
          <w:rFonts w:ascii="Arial" w:cs="Arial" w:eastAsia="Arial" w:hAnsi="Arial"/>
          <w:sz w:val="16"/>
          <w:szCs w:val="16"/>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or manage them internally. The EFT Segment is also dependent to a large degree on consumer travel patterns over which we have no control. Although international travel is returning to pre-pandemic levels in many parts of the globe, the war in Ukraine and related sanctions on Russia are negatively affecting the number of individuals traveling to and from Ukraine and the countries that border Ukraine and in many locations where we have ATMs.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8"/>
        <w:spacing w:after="0" w:line="270" w:lineRule="auto"/>
        <w:tabs>
          <w:tab w:leader="none" w:pos="1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0" w:lineRule="exact"/>
        <w:rPr>
          <w:rFonts w:ascii="Arial" w:cs="Arial" w:eastAsia="Arial" w:hAnsi="Arial"/>
          <w:sz w:val="17"/>
          <w:szCs w:val="17"/>
          <w:color w:val="auto"/>
        </w:rPr>
      </w:pPr>
    </w:p>
    <w:p>
      <w:pPr>
        <w:jc w:val="both"/>
        <w:ind w:firstLine="8"/>
        <w:spacing w:after="0" w:line="290" w:lineRule="auto"/>
        <w:tabs>
          <w:tab w:leader="none" w:pos="2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six months ended June 30, 2023 and 2022 are summarized in the tables below:</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 amounts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EFT Processing</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epay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Transfer</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6"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Corporate services, eliminations and other</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5259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EFT Processing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Transfer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Corporate services, eliminations and other</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Revenues for the Three Months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Year-over-Year Change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Revenues for the Six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1"/>
              </w:rPr>
              <w:t>Ended June 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auto"/>
            </w:tcBorders>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58"/>
        </w:trPr>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Borders>
              <w:bottom w:val="single" w:sz="8" w:color="auto"/>
            </w:tcBorders>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2100" w:type="dxa"/>
            <w:vAlign w:val="bottom"/>
            <w:gridSpan w:val="8"/>
          </w:tcPr>
          <w:p>
            <w:pPr>
              <w:ind w:left="20"/>
              <w:spacing w:after="0"/>
              <w:rPr>
                <w:sz w:val="20"/>
                <w:szCs w:val="20"/>
                <w:color w:val="auto"/>
              </w:rPr>
            </w:pPr>
            <w:r>
              <w:rPr>
                <w:rFonts w:ascii="Arial" w:cs="Arial" w:eastAsia="Arial" w:hAnsi="Arial"/>
                <w:sz w:val="14"/>
                <w:szCs w:val="14"/>
                <w:b w:val="1"/>
                <w:bCs w:val="1"/>
                <w:color w:val="auto"/>
                <w:w w:val="96"/>
              </w:rPr>
              <w:t>Operating Income (Loss) for the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vMerge w:val="restart"/>
          </w:tcPr>
          <w:p>
            <w:pPr>
              <w:jc w:val="right"/>
              <w:ind w:right="222"/>
              <w:spacing w:after="0"/>
              <w:rPr>
                <w:sz w:val="20"/>
                <w:szCs w:val="20"/>
                <w:color w:val="auto"/>
              </w:rPr>
            </w:pPr>
            <w:r>
              <w:rPr>
                <w:rFonts w:ascii="Arial" w:cs="Arial" w:eastAsia="Arial" w:hAnsi="Arial"/>
                <w:sz w:val="14"/>
                <w:szCs w:val="14"/>
                <w:b w:val="1"/>
                <w:bCs w:val="1"/>
                <w:color w:val="auto"/>
              </w:rPr>
              <w:t>Year-over-Year Change</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2"/>
              </w:rPr>
              <w:t>Operating Income (Loss) for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vMerge w:val="restart"/>
          </w:tcPr>
          <w:p>
            <w:pPr>
              <w:jc w:val="right"/>
              <w:ind w:right="345"/>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w w:val="92"/>
              </w:rPr>
              <w:t>Three Months Ended 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the Six Months Ended June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4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(Decrease)</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23"/>
                <w:szCs w:val="23"/>
                <w:color w:val="auto"/>
              </w:rPr>
            </w:pPr>
          </w:p>
        </w:tc>
        <w:tc>
          <w:tcPr>
            <w:tcW w:w="3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3"/>
                <w:szCs w:val="23"/>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86"/>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20"/>
                <w:szCs w:val="20"/>
                <w:color w:val="auto"/>
              </w:rPr>
            </w:pPr>
          </w:p>
        </w:tc>
        <w:tc>
          <w:tcPr>
            <w:tcW w:w="3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-2750820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-2433955</wp:posOffset>
            </wp:positionV>
            <wp:extent cx="7132320"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-3068320</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-1182370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-839470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-496570</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160"/>
            <w:col w:w="8720"/>
          </w:cols>
          <w:pgMar w:left="320" w:top="553" w:right="339" w:bottom="1440" w:gutter="0" w:footer="0" w:header="0"/>
          <w:type w:val="continuous"/>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8"/>
              </w:rPr>
              <w:t>Average Translation Rate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0.6680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0.7151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0.6759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British pounds sterling</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1.2518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1.2574</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1.2332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1.2994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0.7448</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0.7837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0.7423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euro</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1.0885</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1.0656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1.0805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0.0029</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0.0028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0.0028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0.0122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0.0130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0.0122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0.0131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0.2213</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0.2247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0.2344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New Zealand dollar</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0.6183</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0.6510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0.6239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0.6636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0.2398</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0.2338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0.2364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OPERATING RESULTS FOR THE THREE ANDSIX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operations for our EFT Processing Segment for the three and six months ended June 30, 2023 and 2022:</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60" w:type="dxa"/>
            <w:vAlign w:val="bottom"/>
          </w:tcPr>
          <w:p>
            <w:pPr>
              <w:jc w:val="center"/>
              <w:ind w:right="184"/>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(dollar amounts in millions)</w:t>
            </w: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tcPr>
          <w:p>
            <w:pPr>
              <w:jc w:val="center"/>
              <w:ind w:right="184"/>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282.4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474.6</w:t>
            </w:r>
          </w:p>
        </w:tc>
        <w:tc>
          <w:tcPr>
            <w:tcW w:w="3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394.6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44.0</w:t>
            </w:r>
          </w:p>
        </w:tc>
        <w:tc>
          <w:tcPr>
            <w:tcW w:w="11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180" w:type="dxa"/>
            <w:vAlign w:val="bottom"/>
            <w:gridSpan w:val="2"/>
          </w:tcPr>
          <w:p>
            <w:pPr>
              <w:jc w:val="right"/>
              <w:ind w:right="4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Total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52.5</w:t>
            </w:r>
          </w:p>
        </w:tc>
        <w:tc>
          <w:tcPr>
            <w:tcW w:w="11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69.1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27.5</w:t>
            </w:r>
          </w:p>
        </w:tc>
        <w:tc>
          <w:tcPr>
            <w:tcW w:w="1180" w:type="dxa"/>
            <w:vAlign w:val="bottom"/>
            <w:gridSpan w:val="2"/>
          </w:tcPr>
          <w:p>
            <w:pPr>
              <w:jc w:val="right"/>
              <w:ind w:right="4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8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Transactions processed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970</w:t>
            </w:r>
          </w:p>
        </w:tc>
        <w:tc>
          <w:tcPr>
            <w:tcW w:w="11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4"/>
              </w:rPr>
              <w:t>Active ATMs as of June 30,</w:t>
            </w:r>
          </w:p>
        </w:tc>
        <w:tc>
          <w:tcPr>
            <w:tcW w:w="1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51,402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50,178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1,224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1,224</w:t>
            </w:r>
          </w:p>
        </w:tc>
        <w:tc>
          <w:tcPr>
            <w:tcW w:w="1180" w:type="dxa"/>
            <w:vAlign w:val="bottom"/>
            <w:gridSpan w:val="2"/>
          </w:tcPr>
          <w:p>
            <w:pPr>
              <w:jc w:val="right"/>
              <w:ind w:right="4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Active ATMs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48,938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48,285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46,166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2,119</w:t>
            </w:r>
          </w:p>
        </w:tc>
        <w:tc>
          <w:tcPr>
            <w:tcW w:w="11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EFT Processing Segment total revenues were $282.4 million for the three months ended June 30, 2023, an increase of $33.4 million or 13% compared to the same period in 2022. EFT Processing Segment total revenues were $474.6 million for the six months ended June 30, 2023, an increase of $80.0 million or 20%. The increase in revenues was primarily due to the increase in domestic and international cash withdrawal transactions resulting from the reduction of travel restrictions across Europe, the increase in low-value point-of-sale transactions in Europe and low-value payment processing transactions in Asia Pacific. Fluctuations in foreign currency exchange rates increased revenues by approximately $0.8 million and $0.4 million for the three and six months ended June 30, 2023 compared to the same period in 2022.</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Average monthly revenues per ATM increased to $1,872 for the three months ended June 30, 2023 compared to $1,696for the same period in 2022. Average monthly revenues per ATM increased to $1,638 for the six months ended June 30, 2023 compared to $1,425 for the same period in 2022. Revenues per transaction decreased to $0.14 for the three months ended June 30, 2023 compared to $0.16for the same period in 2022. The increase in average monthly revenues per ATM was primarily due to the increase in domestic and international cash withdrawal transactions resulting from increased travel across Europe, partially offset by the increase in volume of low-value point-of-sale transactions in Europe and low-value payment processing transactions in Asia Pacific, which also contributed to the decrease in revenues per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EFT Processing Segment direct operating costs were $142.1 million for the three months ended June 30, 2023, an increase of $18.3 million or 15% compared to the same period in 2022. EFT Processing Segment direct operating costs were $261.1 million for the six months ended June 30, 2023, an increase of $44.0 million or 20% compared to the same period in 2022.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increase in direct costs was primarily due to the increase in domestic and international cash withdrawal transactions resulting from the increase in travel across Europe, the increase in low-value point-of-sale transactions in Europe and low-value payment processing transactions in Asia Pacific. Fluctuations in foreign currency exchange rates decreased direct operating costs by approximately $1.0 million and $0.1 million for the three and six months ended June 30, 2023 compared to the same period in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was $140.3 million for the three months ended June 30, 2023, an increase of $15.1 million or 12% compared to $125.2million for the same period in 2022. Gross profit, was $213.5 million for the six months ended June 30, 2023, an increase of $36.0 million or 20% compared to $177.5 million for the same period in 2022. Gross profit as a percentage of revenues (“gross margin”) decreased to 49.7% and 45.0% for the three and six months ended June 30, 2023, compared to 50.3% and 45.0% for the same periods in 2022. The increase in gross profit was primarily due to the incremental volume of transactions that were processed on our network relative to the fixed costs incurred, and the higher number of high value and high margin DCC transactions due to increased travel.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Salaries and benefits expenses were $30.8 million for the three months ended June 30, 2023, an increase of $3.1 million or 11% compared to the same period in 2022. Salaries and benefits expenses were $58.3 million for the six months ended June 30, 2023, an increase of $5.4 million or 10% compared to the same period in 2022. The increase is primarily due to an increase in salaries and headcount to support the growth of the business. Fluctuations in foreign currency exchange rates in the countries in which we employ our workforce had no significant impact. As a percentage of revenues, these expenses decreased to 10.9% and 12.3% for the three and six months ended June 30, 2023, compared to 11.1% and 13.4% for the same periods in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general and administrative expenses were $16.6 million for the three months ended June 30, 2023, a decrease of $0.4 million or 2% compared to the same period in 2022. The decrease was primarily due to a recovery of tourism in Europe compared to the prior year. Selling, general and administrative expenses were $32.7 million for the six months ended June 30, 2023, an increase of $4.6 million or 16% compared to the same period in 2022. The increase was primarily due to an increase in professional fees. As a percentage of revenues, these expenses decreased to 5.9% and 6.9% for the three and six months ended June 30, 2023, compared to 6.8% and 7.1% for the same periods in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$23.8 million for the three months ended June 30, 2023, a decrease of $1.9 million or 7% compared to the same period in 2022. Depreciation and amortization expenses were $46.5 million for the six months ended June 30, 2023, a decrease of $1.5 million or 3% compared to the same period in 2022. As a percentage of revenues, these expenses decreased to 8.4% and 9.8% for the three and six months ended June 30, 2023, compared to 10.3% and 12.2% for the same periods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EFT Processing Segment had operating income of $69.1 million for the three months ended June 30, 2023, an increase of $14.3 million or 26% compared to the same period in 2022. EFT Processing Segment had operating income of $76.0 million for the six months ended June 30, 2023, an increase of $27.5 million or 57% compared to the same period in 2022. Operating income as a percentage of revenues (“operating margin”) increased to 24.5% and 16.0% for the three and six months ended June 30, 2023, compared to 22.0% and 12.3% for the same periods in 2022. The increase in operating income and improved operating margin were primarily due to increased volumes processed on our network, and associated revenues, compared to the same periods in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2023 and 2022 for our epay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36.1</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501.2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37.7</w:t>
            </w: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30.5</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30.3</w:t>
            </w: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4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33.6</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33.9</w:t>
            </w: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w:t>
            </w:r>
          </w:p>
        </w:tc>
        <w:tc>
          <w:tcPr>
            <w:tcW w:w="11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CCEEFF"/>
            </w:tcBorders>
            <w:gridSpan w:val="2"/>
          </w:tcPr>
          <w:p>
            <w:pPr>
              <w:jc w:val="right"/>
              <w:ind w:right="4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8"/>
                <w:szCs w:val="18"/>
                <w:color w:val="auto"/>
              </w:rPr>
              <w:t>Transactions processed</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epay Segment total revenues were $263.8 million for the three months ended June 30, 2023, an increase of $36.1 million or 16% compared to the same period in 2022. epay Segment total revenues were $501.2 million for the six months ended June 30, 2023, an increase of $37.7 million or 8% compared to the same period in 2022. The increase in revenue for the three months ended June 30, 2023 was driven by continued expansion in mobile and digital branded payments. Fluctuations in foreign currency exchange rates increased revenue by approximately $1.3 and $0.2 million for the three and six months ended June 30, 2023, compared to the same periods in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per transaction increased to $0.27 and $0.26 for the three and six months ended June 30, 2023, respectively, compared to $0.20 and $0.23 for the same periods in 2022. The increase in revenue per transaction was primarily due to the decrease in the number of mobile transactions processed in a region where we generally earn lower revenues per transaction for the three and six month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epay Segment direct operating costs were $204.2 million for the three months ended June 30, 2023, an increase of $30.5 million or 18% compared to the same period in 2022. epay Segment direct operating costs were $382.3 million for the six months ended June 30, 2023, an increase of $30.3 million or 9% compared to the same period in 2022. 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exchange rates increased direct operating costs by $1.2 million and $0.2 million for the three and six months ended June 30, 2023 compared to the same periods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profit was $59.6 million for the three months ended June 30, 2023, an increase of $5.6 million or 10% compared to $54.0 million for the same period in 2022. Gross profit was $118.9 million for the six months ended June 30, 2023, an increase of $7.4 million or 7% compared to $111.5 million for the same period in 2022. Gross margin decreased to 22.6% and 23.7% for the three and six months ended June 30, 2023, compared to 23.7% and 24.1% for the same periods in 2022. The decrease in gross profit and gross margin was primarily due to the shift in the mix of transactions processed.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$22.0 million for the three months ended June 30, 2023, an increase of $2.2 million or 11% compared to the same period in 2022. Salaries and benefits expenses were $43.4 million for the six months ended June 30, 2023, an increase of $3.4 million or 9% compared to the same period in 2022. The fluctuations in salaries and benefits were driven by an increase in salaries and headcount to support the growth of the business. As a percentage of revenues, these expenses decreased and increased to 8.3% and 8.7%, respectively, for the three and six months ended June 30, 2023, compared to 8.7% and 8.6% for the same periods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were $9.1 million for the three months ended June 30, 2023, an increase of $0.8 million or 10% compared to the same period in 2022. Selling, general and administrative expenses were $17.9 million for the six months ended June 30, 2023, an increase of $0.2 million or 1% compared to the same periods in 2022. As a percentage of revenues, these expenses decreased to 3.4% and 3.6% for the three and six months ended June 30, 2023, compared to 3.6% and 3.8% for the same periods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expenses were $1.7 million for the three months ended June 30, 2023, an increase of $0.1 million or 6% compared to the same period in 2022. Depreciation and amortization expenses were $3.3 million for both the six months ended June 30, 2023 and 2022. Depreciation and amortization expense primarily represents depreciation of POS terminals we install in retail stores and amortization of acquired intangible assets. As a percentage of revenues, these expenses were 0.6% and 0.7% for the three and six months ended June 30, 2023, respectively, compared to 0.7% and 0.7% for the same periods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epay Segment operating income was $26.8 million for the three months ended June 30, 2023, an increase of $2.5 million or 10% compared to the same period in 2022. epay Segment operating income was $54.3 million for the six months ended June 30, 2023, an increase of $3.8 million or 8% compared to the same period in 2022. Operating margin decreased to 10.2% and 10.8% for the three and six months ended June 30, 2023, compared to 10.7% and 10.9% for the same periods in 2022. Operating income per transaction was $0.03 for both the three and six months ended June 30, 2023, respectively compared to $0.02 and $0.03 for same periods in 2022. The changes in operating income and operating margin for the three and six months ended June 30, 2023 compared to the same periods in 2022 were primarily due to the shift in the mix of transactions processed.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2023 and 2022 for the Money Transfer Segment: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4"/>
                <w:szCs w:val="14"/>
                <w:b w:val="1"/>
                <w:bCs w:val="1"/>
                <w:color w:val="auto"/>
              </w:rPr>
              <w:t>Year-over-Year Change</w:t>
            </w:r>
          </w:p>
        </w:tc>
        <w:tc>
          <w:tcPr>
            <w:tcW w:w="19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140" w:type="dxa"/>
            <w:vAlign w:val="bottom"/>
            <w:gridSpan w:val="2"/>
          </w:tcPr>
          <w:p>
            <w:pPr>
              <w:jc w:val="center"/>
              <w:ind w:right="267"/>
              <w:spacing w:after="0" w:line="153" w:lineRule="exact"/>
              <w:rPr>
                <w:sz w:val="20"/>
                <w:szCs w:val="20"/>
                <w:color w:val="auto"/>
              </w:rPr>
            </w:pPr>
            <w:r>
              <w:rPr>
                <w:rFonts w:ascii="Arial" w:cs="Arial" w:eastAsia="Arial" w:hAnsi="Arial"/>
                <w:sz w:val="14"/>
                <w:szCs w:val="14"/>
                <w:b w:val="1"/>
                <w:bCs w:val="1"/>
                <w:color w:val="auto"/>
                <w:w w:val="91"/>
              </w:rPr>
              <w:t>Increase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40" w:type="dxa"/>
            <w:vAlign w:val="bottom"/>
            <w:gridSpan w:val="2"/>
          </w:tcPr>
          <w:p>
            <w:pPr>
              <w:jc w:val="center"/>
              <w:ind w:right="267"/>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2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ind w:right="287"/>
              <w:spacing w:after="0"/>
              <w:rPr>
                <w:sz w:val="20"/>
                <w:szCs w:val="20"/>
                <w:color w:val="auto"/>
              </w:rPr>
            </w:pPr>
            <w:r>
              <w:rPr>
                <w:rFonts w:ascii="Arial" w:cs="Arial" w:eastAsia="Arial" w:hAnsi="Arial"/>
                <w:sz w:val="14"/>
                <w:szCs w:val="14"/>
                <w:b w:val="1"/>
                <w:bCs w:val="1"/>
                <w:color w:val="auto"/>
                <w:w w:val="89"/>
              </w:rPr>
              <w:t>Percent</w:t>
            </w: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754.2</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46.7</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7.7</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Depreciation and amortization</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40.8</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5.9</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rPr>
              <w:t>Transactions processed</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Money Transfer Segment total revenues were $394.8 million for the three months ended June 30, 2023, an increase of $26.3 million or 7% compared to the same period in 2022. Money Transfer Segment total revenues were $754.2 million for the six months ended June 30, 2023, an increase of $46.7 million or 7% compared to the same period in 2022. The increase in revenues was primarily due to an increase in international-originated money transfers, U.S. outbound transactions, and direct-to-consumer digital transactions, partially offset by a decrease in U.S. domestic transactions. Revenues per transaction decreased to $9.61 and $9.60 for the three and six months ended June 30, 2023, compared to $9.88 and $10.01for the same period in 2022 due to a shift in the mix of transactions processed. Fluctuations in foreign currency exchange rates increased revenues by approximately $1.0 million and $34 thousand for the three and six months ended June 30, 2023, compared to the same periods in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Money Transfer Segment direct operating costs were $213.7 million for the three months ended June 30, 2023, an increase of 8.7 million or 4% compared to the same period in 2022. Money Transfer Segment direct operating costs were $410.0 million for the six months ended June 30, 2023, an increase of $16.5 million or 4% compared to the same period in 2022.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$181.1 million for the three months ended June 30, 2023, an increase of $17.6 million or 11% compared to $163.5 million for the same period in 2022. Gross profit was $344.2 million for the six months ended June 30, 2023, an increase of $30.2 million or 10% compared to $314.0 million for the same period in 2022. Gross margin increased to 45.9% and 45.6% for the three and six months ended June 30, 2023, compared to 44.4% and 44.4% for the same periods in 2022. The increase in gross profit and gross margin was primarily due to increases in international-originated money transfers, U.S. outbound money transfers and direct-to-consumer digital transactions.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$78.5 million for the three months ended June 30, 2023, an increase of $10.5 million or 15% compared to the same period in 2022. Salaries and benefits expenses were $152.8 million for the six months ended June 30, 2023, an increase of $17.5 million or 13% compared to the same period in 2022. The increase in salaries and benefits was primarily driven by an increase in salaries and headcount to support the growth of the business. As a percentage of revenues, these expenses increased to 19.9% and 20.3% for the three and six months ended June 30, 2023, compared to 18.5% and 19.1%, for the same periods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general and administrative expenses were $47.3 million for the three months ended June 30, 2023, an increase of $1.0 million or 2% compared to the same period in 2022. Selling, general and administrative expenses were $95.0 million for the six months ended June 30, 2023, an increase of $7.7 million or 9% compared to the same period in 2022. The increase was primarily due to an increase in hardware and software expenses, professional fees, marketing expenses and travel related expenses. As a percentage of revenues, these expenses decreased and increased to 12.0% and 12.6% for the three and six months ended June 30, 2023, compared to 12.6% and 12.3% for the same periods in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Depreciation and amortization expenses were $8.1 million for the three months ended June 30, 2023, a decrease of $0.5 million or 6% compared to the same period in 2022. Depreciation and amortization expenses were $16.6 million for the six months ended June 30, 2023, a decrease of $0.9 million or 5% compared to the same period in 2022. Depreciation and amortization expense primarily represents amortization of acquired intangible assets and depreciation of money transfer terminals, computers and software, leasehold improvements and office equipment. As a percentage of revenues, these expenses decreased to 2.1% and 2.2% for the three and six months ended June 30, 2023, compared to 2.3% and 2.5% for the same periods in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Money Transfer Segment operating income was $47.2 million for the three months ended June 30, 2023, an increase of $6.6 million or 16% compared to the same period in 2022. Money Transfer Segment operating income was $79.8 million for the six months ended June 30, 2023, an increase of $5.9 million or 8% compared to the same period in 2022. Operating margin increased to 12.0% and 10.6% for the three and six months ended June 30, 2023, compared to 11.0% and 10.4% for the same periods in 2022. Operating income per transaction increased and decreased to $1.15 and $1.02, respectively, for the three and six months ended June 30, 2023, compared to $1.09 and $1.05 for the same period in 2022 due to a shift in the mix of transactions processed.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2023 and 2022 for Corporate Services: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w w:val="99"/>
              </w:rPr>
              <w:t>Year-over-Year 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11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Selling, general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2"/>
              </w:rPr>
              <w:t>Depreciation and amortization</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240" w:type="dxa"/>
            <w:vAlign w:val="bottom"/>
          </w:tcPr>
          <w:p>
            <w:pPr>
              <w:ind w:left="220"/>
              <w:spacing w:after="0"/>
              <w:rPr>
                <w:sz w:val="20"/>
                <w:szCs w:val="20"/>
                <w:color w:val="auto"/>
              </w:rPr>
            </w:pPr>
            <w:r>
              <w:rPr>
                <w:rFonts w:ascii="Arial" w:cs="Arial" w:eastAsia="Arial" w:hAnsi="Arial"/>
                <w:sz w:val="18"/>
                <w:szCs w:val="18"/>
                <w:color w:val="auto"/>
                <w:w w:val="98"/>
              </w:rPr>
              <w:t>Total operating expenses</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6.8</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gridSpan w:val="3"/>
          </w:tcPr>
          <w:p>
            <w:pPr>
              <w:jc w:val="right"/>
              <w:ind w:right="861"/>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Corporate operating expenses were $20.5 million and $41.9 million for the three and six months ended June 30, 2023, an increase of $1.9 million or 10% and $6.8 million or 19% compared to the same periods in 2022. The increase is primarily due to an increase in long-term and short-term incentive compensation expense for the three and six months ended June 30, 2023, compared to the same periods in 2022, due to improved company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4"/>
                <w:szCs w:val="14"/>
                <w:b w:val="1"/>
                <w:bCs w:val="1"/>
                <w:color w:val="auto"/>
                <w:w w:val="99"/>
              </w:rPr>
              <w:t>Year-over-Year 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2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04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millions)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(loss), net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25.4</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Other gains (losses)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21.7</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$3.5 million for the three months ended June 30, 2023, an increase of $3.3 million or 1,650% compared to the same period in 2022. Interest income was $6.1 million for the six months ended June 30, 2023, an increase of $5.8 million or 1,933% compared to the same period in 2022. This increase was driven by an increase in interest rates on our interest bearing bank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$14.0 million for the three months ended June 30, 2023, an increase of $5.2 million or 59% compared to the same period in 2022. Interest expense was $24.1 million for the six months ended June 30, 2023, an increase of $9.2 million or 62% compared to the same period in 2022. This increase was driven by an increase in interest rates on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recorded net foreign currency exchange gains of $6.3 million and $5.2 million for the three and six months ended June 30, 2023, compared to net foreign currency exchange losses of $14.7 million and $20.2 million for the same periods in 2022. These realized and unrealized foreign currency exchange gains and losses reflect the fluctuation in the value of the U.S. dollar against the currencies of the countries in which we operated during the respective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 was 27.3% and 31.9% for the three and six months ended June 30, 2023, compared to 26.7% and 36.7% for the same periods ended June 30, 2022. The Company's effective income tax rate for the three and six months ended June 30, 2023 was higher than the applicable statutory income tax rate of 21% as a result of the Company’s U.S. deferred tax activity and certain foreign earnings being subject to higher local statutory tax 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Owned</w:t>
            </w:r>
          </w:p>
        </w:tc>
        <w:tc>
          <w:tcPr>
            <w:tcW w:w="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49"/>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95%</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85%</w:t>
            </w:r>
          </w:p>
        </w:tc>
        <w:tc>
          <w:tcPr>
            <w:tcW w:w="8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EFT - China</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EFT - Pakistan</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Euronet Infinitium Solutions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65%</w:t>
            </w:r>
          </w:p>
        </w:tc>
        <w:tc>
          <w:tcPr>
            <w:tcW w:w="8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attributable to Euronet was $86.1 million for the three months ended June 30, 2023, an increase of $28.8 million or 50% compared to the same period in 2022. The increase in net income was primarily attributable to the $95.8 million increase in revenues, across all of our three segments, largely driven by successful business operations. The increased revenues led to a $38.4 million increase in gross profit. The increase in gross profit was partially offset by a $10.5 million increase in salaries and benefits expense in the Money Transfer segment.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attributable to Euronet was $106.2 million for the six months ended June 30, 2023, an increase of $40.7 million or 62% compared to the same period in 2022. The increase in net income was primarily attributable to the $164.5 million increase in revenues, largely driven by increases within the EFT Segment as tourism and cross-border travel increased. The increased revenues led to a $73.7 million increase in gross profit. The increase in gross profit was partially offset by a $33.2 million increase in salaries and benefits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2023, we had working capital of $1,207.4 million, which is calculated as the difference between total current assets and total current liabilities, compared to working capital of $1,372.6 million as of December 31, 2022. The decrease in working capital was primarily due to a decrease in prepayments. Our ratio of current assets to current liabilities was 1.52 and 1.58 at June 30, 2023 and December 31, 2022, respectively.</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June 30, 2023, we had $776.3 million of our own cash in use or designated for use in our ATM network, which is recorded in ATM cash on Euronet's Consolidated Balance Sheet. ATM cash increased $260.7 million from $515.6 million as of December 31, 2022 to $776.3 million as of June 30, 2023 as a result of the increase in number of active ATMs as of June 30, 2023 compared to December 31, 2022. The Company has $1,137.5 million of unrestricted cash as of June 30, 2023 compared to $1,131.2 million as of December 31, 2022. Including the $776.3 million of cash in ATMs at June 30, 2023, we have access to $2,192.6 million in available cash, and $1,057.2 million available under the Credit Facility with no significant long-term debt principal payments until March 2025.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following table identifies cash and cash equivalents provided by/(used in) our operating, investing and financing activities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(in millions):</w:t>
      </w:r>
    </w:p>
    <w:p>
      <w:pPr>
        <w:spacing w:after="0" w:line="200" w:lineRule="exact"/>
        <w:rPr>
          <w:sz w:val="20"/>
          <w:szCs w:val="20"/>
          <w:color w:val="auto"/>
        </w:rPr>
      </w:pPr>
    </w:p>
    <w:p>
      <w:pPr>
        <w:spacing w:after="0" w:line="21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40" w:type="dxa"/>
            <w:vAlign w:val="bottom"/>
          </w:tcPr>
          <w:p>
            <w:pPr>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180.7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491.2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89.7</w:t>
            </w:r>
          </w:p>
        </w:tc>
      </w:tr>
      <w:tr>
        <w:trPr>
          <w:trHeight w:val="20"/>
        </w:trPr>
        <w:tc>
          <w:tcPr>
            <w:tcW w:w="8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flows provided by operating activities were $220.2 million for the six months ended June 30, 2023 compared to cash flows provided by operating activities of $180.7 million for the same period in 2022. The increase in operating cash flows was primarily due to an increase in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used in investing activities were $45.5 million for the six months ended June 30, 2023 compared to $387.0 million for the same period in 2022. The decrease in cash used in investing activities is primarily due to the $331.0 million of cash paid at the closing of PBMA in March 2022. Additionally, we used $41.9 million for purchases of property and equipment for the six months ended June 30, 2023 compared to $53.1 million for the same period in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financing activities were $104.4 million for the six months ended June 30, 2023 compared to cash flows provided by financing activities of $491.2 million for the same period in 2022. Our borrowing activities on the Credit Facility for the six months ended June 30, 2023 consisted of net borrowings of $132.8 million compared to net borrowings of $663.7 million for the same period in 2022. The decrease in net borrowings on the Credit Facility, during the six months ended June 30, 2023, is primarily the result of decreased funding requirements for acquisitions. We repurchased $29.3 million of common stock during the six months ended June 30, 2023 compared to $175.3 million of repurchases during the same period of 2022. We received proceeds of $2.4 million and $3.7 million during the six months ended June 30, 2023 and 2022, respectively, for the issuance of stock in connection with our Stock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rates on cash, cash equivalents and restricted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42424"/>
        </w:rPr>
        <w:t>Fluctuations in f</w:t>
      </w:r>
      <w:r>
        <w:rPr>
          <w:rFonts w:ascii="Arial" w:cs="Arial" w:eastAsia="Arial" w:hAnsi="Arial"/>
          <w:sz w:val="17"/>
          <w:szCs w:val="17"/>
          <w:color w:val="000000"/>
        </w:rPr>
        <w:t>oreign currency exchange rates for the six months ended June 30, 2023 and 2022 had a negative impact of $77.4 million and $195.2</w:t>
      </w:r>
      <w:r>
        <w:rPr>
          <w:rFonts w:ascii="Arial" w:cs="Arial" w:eastAsia="Arial" w:hAnsi="Arial"/>
          <w:sz w:val="17"/>
          <w:szCs w:val="17"/>
          <w:color w:val="242424"/>
        </w:rPr>
        <w:t xml:space="preserve"> </w:t>
      </w:r>
      <w:r>
        <w:rPr>
          <w:rFonts w:ascii="Arial" w:cs="Arial" w:eastAsia="Arial" w:hAnsi="Arial"/>
          <w:sz w:val="17"/>
          <w:szCs w:val="17"/>
          <w:color w:val="000000"/>
        </w:rPr>
        <w:t>million, respectively, on cash, cash equivalents, and restricted cash. The negative impact on cash, cash equivalents, and restricted cash for the six months ended June 30, 2023 and 2022 was due primarily to the negative impact in the exchange rate of the U.S. dollar to the euro.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both for U.S. dollar swingline loans and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June 30, 2023, we had $137.6 million of borrowings and $55.2 million of stand-by letters of credit outstanding under the Credit Facility. The remaining $1,057.2 million under the Credit Facility was available for borrowing.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Senior Notes</w:t>
      </w:r>
      <w:r>
        <w:rPr>
          <w:rFonts w:ascii="Arial" w:cs="Arial" w:eastAsia="Arial" w:hAnsi="Arial"/>
          <w:sz w:val="17"/>
          <w:szCs w:val="17"/>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June 30, 2023, we have outstanding €600 million ($654.6 million) principal amount of the Senior Notes. In addition, we may redeem some or all of these notes on or after February 22, 2026 at their principal amount plus any accrued and unpaid interest.</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Uncommitted Credit Agreements</w:t>
      </w:r>
      <w:r>
        <w:rPr>
          <w:rFonts w:ascii="Arial" w:cs="Arial" w:eastAsia="Arial" w:hAnsi="Arial"/>
          <w:sz w:val="17"/>
          <w:szCs w:val="17"/>
          <w:color w:val="auto"/>
        </w:rPr>
        <w:t xml:space="preserve"> - On June 27, 2023, the Company entered into an Uncommitted Credit Agreement for $300 million, fully drawn and outstanding at June 30, 2023, for the sole purpose of providing vault cash for ATMs, that expires no later than November 30, 2023. The loan bears interest at the rate per annum equal to the secured overnight financing rate (“SOFR”) plus 1.125%. On June 26, 2023, the Company entered into an Uncommitted Loan Agreement for $150 million, fully drawn and outstanding at June 30, 2023, for the sole purpose of providing vault cash for ATMs, that expires no later than June 21, 2024. The loan is a Prime rate loan, a Bloomberg Short-term Bank Yield ("BSBY") rate loan plus 0.95% or bears interest at the rate agreed to by the Bank and the Company at the time such loan is made.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was $0.2 million outstanding under these other obligation arrangements as of both June 30, 2023 and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six months ended June 30, 2023 were $41.9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2023 are currently estimated to range from approximately $100 million to $110 million. 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2023, there were no material changes from the disclosure in our Annual Report on Form 10-K for the year ended December 31, 2022. To date, we are not aware of any significant claims made by the indemnified parties or parties to whom we have provided guarantees on behalf of our subsidiaries and, accordingly, no liabilities have been recorded as of June 30, 2023. See also Note 14, Commitments, to the unaudited consolidated financial statements included elsewhere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have been no material changes outside the ordinary course of business in our future contractual obligations from the amounts reported within our Annual Report on Form 10-K for the year ended December 31, 2022.</w:t>
      </w:r>
    </w:p>
    <w:p>
      <w:pPr>
        <w:sectPr>
          <w:pgSz w:w="11900" w:h="16838" w:orient="portrait"/>
          <w:cols w:equalWidth="0" w:num="1">
            <w:col w:w="11240"/>
          </w:cols>
          <w:pgMar w:left="320" w:top="598" w:right="33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2023, our total debt outstanding, excluding unamortized debt issuance costs, was $1,767.4 million. Of this amount, $525.0 million, net of debt discounts, or 30%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June 30, 2023, the fair value of our fixed rate Convertible Notes was $532.0 million, compared to a carrying value of $525.0 million. Further, as of June 30, 2023 we had $137.6 million of borrowings under our Credit Facility, or 8% of our total debt obligations. The carrying values of the Credit Facility approximates fair value because interest as of June 30, 2023, was based on SOFR that resets at various intervals of less than one year. Additionally, $654.6 million, or 37% of our total debt obligations, relates to Senior Notes having a fixed coupon rate. Our $654.6 million outstanding principal amount of Senior Notes accrue cash interest at a rate of 1.375% of the principal amount per annum. Based on quoted market prices, as of June 30, 2023, the fair value of our fixed rate Senior Notes was $592.2 million, compared to a carrying value of $654.6 million. An additional $450.0 million, or 25% of our total debt, is related to short-term uncommitted credit agreements. The credit agreements are due within one year and accrue interest at variable rates. The remaining $0.2 million, is related to borrowings by certain subsidiaries to fund, from time to time, working capital requirements. These arrangements generally are due within one year and accrue interest at variable rates.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approximately 75% of our revenues were generated in non-U.S. dollar countries and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2023, we estimate that a 10% fluctuation in these foreign currency exchange rates would have the combined annualized effect on reported net income and working capital of approximately $160 million to $170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$120 million to $130 million as a result of the change in value of these items during translation to the U.S. dollar. For the fluctuations described above, a strengthening U.S. dollar produces a financial loss, while a weakening U.S. dollar produces a financial gain.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 We manage counterparty credit risk (the risk that counterparties will default and not make payments according to the terms of the agreements) on an individual counterparty basis. We mitigate this risk by entering into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2023, we had foreign currency derivative contracts outstanding with a notional value of $436.4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June 30, 2023, we held foreign currency derivative contracts outstanding with a notional value of $1.2 billion, primarily in U.S. dollars, euros, British pounds, Australian dollars and New Zealand dollars, that were not designated as hedges and for which the majority mature within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June 30, 2023.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period ended June 30,2023 that has materially affected, or is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described herein, there were no material changes to the risk factors previously disclosed in our Annual Report on Form 10-K for the year ended December 31, 2022, as filed with the SEC.</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June 30,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8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w:t>
            </w: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5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0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4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0"/>
              </w:rPr>
              <w:t>Shares Purchased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00" w:type="dxa"/>
            <w:vAlign w:val="bottom"/>
          </w:tcPr>
          <w:p>
            <w:pPr>
              <w:spacing w:after="0"/>
              <w:rPr>
                <w:sz w:val="16"/>
                <w:szCs w:val="16"/>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(in millions) (1)</w:t>
            </w: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w w:val="97"/>
              </w:rPr>
              <w:t>May 1</w:t>
            </w:r>
          </w:p>
        </w:tc>
        <w:tc>
          <w:tcPr>
            <w:tcW w:w="5160" w:type="dxa"/>
            <w:vAlign w:val="bottom"/>
          </w:tcPr>
          <w:p>
            <w:pPr>
              <w:spacing w:after="0"/>
              <w:rPr>
                <w:sz w:val="20"/>
                <w:szCs w:val="20"/>
                <w:color w:val="auto"/>
              </w:rPr>
            </w:pPr>
            <w:r>
              <w:rPr>
                <w:rFonts w:ascii="Arial" w:cs="Arial" w:eastAsia="Arial" w:hAnsi="Arial"/>
                <w:sz w:val="18"/>
                <w:szCs w:val="18"/>
                <w:color w:val="auto"/>
              </w:rPr>
              <w:t>- May 31 , 2023</w:t>
            </w:r>
          </w:p>
        </w:tc>
        <w:tc>
          <w:tcPr>
            <w:tcW w:w="116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June 1</w:t>
            </w: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June 30, 2023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57"/>
        </w:trPr>
        <w:tc>
          <w:tcPr>
            <w:tcW w:w="540" w:type="dxa"/>
            <w:vAlign w:val="bottom"/>
          </w:tcPr>
          <w:p>
            <w:pPr>
              <w:ind w:left="180"/>
              <w:spacing w:after="0"/>
              <w:rPr>
                <w:sz w:val="20"/>
                <w:szCs w:val="20"/>
                <w:color w:val="auto"/>
              </w:rPr>
            </w:pPr>
            <w:r>
              <w:rPr>
                <w:rFonts w:ascii="Arial" w:cs="Arial" w:eastAsia="Arial" w:hAnsi="Arial"/>
                <w:sz w:val="18"/>
                <w:szCs w:val="18"/>
                <w:color w:val="auto"/>
                <w:w w:val="84"/>
              </w:rPr>
              <w:t>Total</w:t>
            </w:r>
          </w:p>
        </w:tc>
        <w:tc>
          <w:tcPr>
            <w:tcW w:w="51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79"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December 8, 2021, the Company put a repurchase program in place to repurchase up to $300 million in value, but not more than 5.0 million shares of common stock through December 8, 2023. On September 13, 2022, the Company put a repurchase program in place to repurchase up to $350 million in value, but not more than 7.0 million shares of common stock through September 13, 2024. Repurchases under the programs may take place in the open market or in privately negotiated transactions, including derivative transactions, and may be made under a Rule 10b5-1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quarter ended June 30, 2023,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 except as described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Number of Shares of</w:t>
            </w:r>
          </w:p>
        </w:tc>
        <w:tc>
          <w:tcPr>
            <w:tcW w:w="214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0"/>
              </w:rPr>
              <w:t>Common Stock to be Purchased</w:t>
            </w:r>
          </w:p>
        </w:tc>
        <w:tc>
          <w:tcPr>
            <w:tcW w:w="2140" w:type="dxa"/>
            <w:vAlign w:val="bottom"/>
          </w:tcPr>
          <w:p>
            <w:pPr>
              <w:spacing w:after="0"/>
              <w:rPr>
                <w:sz w:val="14"/>
                <w:szCs w:val="14"/>
                <w:color w:val="auto"/>
              </w:rPr>
            </w:pPr>
          </w:p>
        </w:tc>
      </w:tr>
      <w:tr>
        <w:trPr>
          <w:trHeight w:val="176"/>
        </w:trPr>
        <w:tc>
          <w:tcPr>
            <w:tcW w:w="2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5"/>
              </w:rPr>
              <w:t>Character of Trading</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or Sold Pursuant to Trading</w:t>
            </w:r>
          </w:p>
        </w:tc>
        <w:tc>
          <w:tcPr>
            <w:tcW w:w="2140" w:type="dxa"/>
            <w:vAlign w:val="bottom"/>
          </w:tcPr>
          <w:p>
            <w:pPr>
              <w:spacing w:after="0"/>
              <w:rPr>
                <w:sz w:val="15"/>
                <w:szCs w:val="15"/>
                <w:color w:val="auto"/>
              </w:rPr>
            </w:pPr>
          </w:p>
        </w:tc>
      </w:tr>
      <w:tr>
        <w:trPr>
          <w:trHeight w:val="186"/>
        </w:trPr>
        <w:tc>
          <w:tcPr>
            <w:tcW w:w="2040" w:type="dxa"/>
            <w:vAlign w:val="bottom"/>
          </w:tcPr>
          <w:p>
            <w:pPr>
              <w:jc w:val="center"/>
              <w:ind w:right="36"/>
              <w:spacing w:after="0"/>
              <w:rPr>
                <w:sz w:val="20"/>
                <w:szCs w:val="20"/>
                <w:color w:val="auto"/>
              </w:rPr>
            </w:pPr>
            <w:r>
              <w:rPr>
                <w:rFonts w:ascii="Arial" w:cs="Arial" w:eastAsia="Arial" w:hAnsi="Arial"/>
                <w:sz w:val="14"/>
                <w:szCs w:val="14"/>
                <w:b w:val="1"/>
                <w:bCs w:val="1"/>
                <w:color w:val="auto"/>
                <w:w w:val="99"/>
              </w:rPr>
              <w:t>Name &amp; Title</w:t>
            </w:r>
          </w:p>
        </w:tc>
        <w:tc>
          <w:tcPr>
            <w:tcW w:w="23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Action Taken (Date of Action)</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5"/>
              </w:rPr>
              <w:t>Arrangement(1)</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6"/>
              </w:rPr>
              <w:t>Arrangement</w:t>
            </w:r>
          </w:p>
        </w:tc>
        <w:tc>
          <w:tcPr>
            <w:tcW w:w="214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Duration(2)</w:t>
            </w:r>
          </w:p>
        </w:tc>
      </w:tr>
      <w:tr>
        <w:trPr>
          <w:trHeight w:val="39"/>
        </w:trPr>
        <w:tc>
          <w:tcPr>
            <w:tcW w:w="2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29"/>
        </w:trPr>
        <w:tc>
          <w:tcPr>
            <w:tcW w:w="204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93"/>
              </w:rPr>
              <w:t>Michael J. Brown, CEO</w:t>
            </w:r>
          </w:p>
        </w:tc>
        <w:tc>
          <w:tcPr>
            <w:tcW w:w="234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Rule 10b5-1 Trading</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to 100,000 shares to be</w:t>
            </w:r>
          </w:p>
        </w:tc>
        <w:tc>
          <w:tcPr>
            <w:tcW w:w="2140" w:type="dxa"/>
            <w:vAlign w:val="bottom"/>
            <w:shd w:val="clear" w:color="auto" w:fill="CCEEFF"/>
          </w:tcPr>
          <w:p>
            <w:pPr>
              <w:spacing w:after="0"/>
              <w:rPr>
                <w:sz w:val="19"/>
                <w:szCs w:val="19"/>
                <w:color w:val="auto"/>
              </w:rPr>
            </w:pPr>
          </w:p>
        </w:tc>
      </w:tr>
      <w:tr>
        <w:trPr>
          <w:trHeight w:val="230"/>
        </w:trPr>
        <w:tc>
          <w:tcPr>
            <w:tcW w:w="204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91"/>
              </w:rPr>
              <w:t>and Director</w:t>
            </w:r>
          </w:p>
        </w:tc>
        <w:tc>
          <w:tcPr>
            <w:tcW w:w="2340" w:type="dxa"/>
            <w:vAlign w:val="bottom"/>
            <w:shd w:val="clear" w:color="auto" w:fill="CCEEFF"/>
          </w:tcPr>
          <w:p>
            <w:pPr>
              <w:jc w:val="center"/>
              <w:ind w:right="19"/>
              <w:spacing w:after="0"/>
              <w:rPr>
                <w:sz w:val="20"/>
                <w:szCs w:val="20"/>
                <w:color w:val="auto"/>
              </w:rPr>
            </w:pPr>
            <w:r>
              <w:rPr>
                <w:rFonts w:ascii="Arial" w:cs="Arial" w:eastAsia="Arial" w:hAnsi="Arial"/>
                <w:sz w:val="18"/>
                <w:szCs w:val="18"/>
                <w:color w:val="auto"/>
                <w:w w:val="91"/>
              </w:rPr>
              <w:t>Adoption June 8, 2023</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Arrangement</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sold</w:t>
            </w:r>
          </w:p>
        </w:tc>
        <w:tc>
          <w:tcPr>
            <w:tcW w:w="2140" w:type="dxa"/>
            <w:vAlign w:val="bottom"/>
            <w:shd w:val="clear" w:color="auto" w:fill="CCEEFF"/>
          </w:tcPr>
          <w:p>
            <w:pPr>
              <w:jc w:val="center"/>
              <w:ind w:right="139"/>
              <w:spacing w:after="0"/>
              <w:rPr>
                <w:sz w:val="20"/>
                <w:szCs w:val="20"/>
                <w:color w:val="auto"/>
              </w:rPr>
            </w:pPr>
            <w:r>
              <w:rPr>
                <w:rFonts w:ascii="Arial" w:cs="Arial" w:eastAsia="Arial" w:hAnsi="Arial"/>
                <w:sz w:val="18"/>
                <w:szCs w:val="18"/>
                <w:color w:val="auto"/>
                <w:w w:val="88"/>
              </w:rPr>
              <w:t>September 9, 2024</w:t>
            </w:r>
          </w:p>
        </w:tc>
      </w:tr>
      <w:tr>
        <w:trPr>
          <w:trHeight w:val="27"/>
        </w:trPr>
        <w:tc>
          <w:tcPr>
            <w:tcW w:w="20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7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trading arrangement marked as a “Rule 10b5-1 Trading Arrangement” is intended to satisfy the affirmative defense of Rule 10b5-1(c), as amended (the “Rule”).</w:t>
      </w:r>
    </w:p>
    <w:p>
      <w:pPr>
        <w:spacing w:after="0" w:line="129" w:lineRule="exact"/>
        <w:rPr>
          <w:rFonts w:ascii="Arial" w:cs="Arial" w:eastAsia="Arial" w:hAnsi="Arial"/>
          <w:sz w:val="18"/>
          <w:szCs w:val="18"/>
          <w:color w:val="auto"/>
        </w:rPr>
      </w:pPr>
    </w:p>
    <w:p>
      <w:pPr>
        <w:ind w:firstLine="8"/>
        <w:spacing w:after="0" w:line="277" w:lineRule="auto"/>
        <w:tabs>
          <w:tab w:leader="none" w:pos="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trading arrangement permitted or permits transactions through and including the earlier to occur of (i) the completion of all purchases or sales or (ii) the date listed in the table. required by the SEC rules.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31"/>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Section 302 — Certification of Chief Executive Officer</w:t>
            </w:r>
          </w:p>
        </w:tc>
        <w:tc>
          <w:tcPr>
            <w:tcW w:w="6060" w:type="dxa"/>
            <w:vAlign w:val="bottom"/>
          </w:tcPr>
          <w:p>
            <w:pPr>
              <w:spacing w:after="0"/>
              <w:rPr>
                <w:sz w:val="24"/>
                <w:szCs w:val="24"/>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0000EE"/>
              </w:rPr>
              <w:t>Section 302 — Certification of Chief Financial Officer</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Section 906 — Certification of Chief Executive Officer</w:t>
            </w:r>
          </w:p>
        </w:tc>
        <w:tc>
          <w:tcPr>
            <w:tcW w:w="6060" w:type="dxa"/>
            <w:vAlign w:val="bottom"/>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0000EE"/>
              </w:rPr>
              <w:t>Section 906 — Certification of Chief Financial Officer</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The following materials from Euronet Worldwide, Inc.’s Quarterly Report on Form 10-Q for the quarter ended June 30, 2023,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1"/>
              </w:rPr>
              <w:t>XBRL (eXtensible Business Reporting Language): (i) Consolidated Balance Sheets at June 30, 2023 (unaudited) and December 31, 2022,</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4"/>
              </w:rPr>
              <w:t>(ii) Consolidated Statements of Operations (unaudited) for the three and six months ended June 30, 2023 and 2022, (iii) Consolidated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Statements of Comprehensive Income (Loss) (unaudited) for the three and six months ended June 30, 2023 and 2022, (iv) Consolidated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1"/>
              </w:rPr>
              <w:t>Statements of Changes in Equity (unaudited) for the three and six months ended June 30, 2023 and 2022 (v) Consolidated Statements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6"/>
              </w:rPr>
              <w:t>Cash Flows (unaudited) for the six months ended June 30, 2023 and 2022, and (vi) Notes to the Unaudited Consolidated Financial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Statements.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80"/>
          </w:cols>
          <w:pgMar w:left="320" w:top="553" w:right="1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420" w:hanging="7"/>
        <w:spacing w:after="0" w:line="263" w:lineRule="auto"/>
        <w:tabs>
          <w:tab w:leader="none" w:pos="6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20" w:hanging="7"/>
        <w:spacing w:after="0" w:line="308" w:lineRule="auto"/>
        <w:tabs>
          <w:tab w:leader="none" w:pos="60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420" w:hanging="7"/>
        <w:spacing w:after="0" w:line="263" w:lineRule="auto"/>
        <w:tabs>
          <w:tab w:leader="none" w:pos="6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firstLine="8"/>
        <w:spacing w:after="0" w:line="308" w:lineRule="auto"/>
        <w:tabs>
          <w:tab w:leader="none" w:pos="2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420" w:hanging="7"/>
        <w:spacing w:after="0" w:line="277" w:lineRule="auto"/>
        <w:tabs>
          <w:tab w:leader="none" w:pos="6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420" w:hanging="7"/>
        <w:spacing w:after="0" w:line="277" w:lineRule="auto"/>
        <w:tabs>
          <w:tab w:leader="none" w:pos="6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8" w:name="page49"/>
    <w:bookmarkEnd w:id="48"/>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2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420" w:hanging="7"/>
        <w:spacing w:after="0" w:line="277" w:lineRule="auto"/>
        <w:tabs>
          <w:tab w:leader="none" w:pos="6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2023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2, 2023</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2023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August 2,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2023-08-02T16:33:21Z</dcterms:created>
  <dcterms:modified xsi:type="dcterms:W3CDTF">2023-08-02T16:33:21Z</dcterms:modified>
</cp:coreProperties>
</file>