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August 1, 2014, Euronet Worldwide, Inc. had 52,470,039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1"/>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I—FINANCIAL INFORMATION</w:t>
              </w:r>
            </w:hyperlink>
          </w:p>
        </w:tc>
        <w:tc>
          <w:tcPr>
            <w:tcW w:w="7460" w:type="dxa"/>
            <w:vAlign w:val="bottom"/>
            <w:gridSpan w:val="9"/>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3"/>
          </w:tcPr>
          <w:p>
            <w:pPr>
              <w:spacing w:after="0"/>
              <w:rPr>
                <w:sz w:val="21"/>
                <w:szCs w:val="21"/>
                <w:color w:val="auto"/>
              </w:rPr>
            </w:pPr>
          </w:p>
        </w:tc>
        <w:tc>
          <w:tcPr>
            <w:tcW w:w="9300" w:type="dxa"/>
            <w:vAlign w:val="bottom"/>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1"/>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2014 and December 31, 2013</w:t>
              </w:r>
            </w:hyperlink>
          </w:p>
        </w:tc>
        <w:tc>
          <w:tcPr>
            <w:tcW w:w="454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4"/>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Consolidated Statements of Income for the Three and Six Months Ended June 30, 2014 and 2013</w:t>
              </w:r>
            </w:hyperlink>
          </w:p>
        </w:tc>
        <w:tc>
          <w:tcPr>
            <w:tcW w:w="300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4</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gridSpan w:val="2"/>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200" w:type="dxa"/>
            <w:vAlign w:val="bottom"/>
            <w:tcBorders>
              <w:bottom w:val="single" w:sz="8" w:color="0000EE"/>
            </w:tcBorders>
            <w:gridSpan w:val="3"/>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60" w:type="dxa"/>
            <w:vAlign w:val="bottom"/>
            <w:gridSpan w:val="15"/>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Comprehensive Income for the Three and Six Months Ended June 30, 2014 and 2013</w:t>
              </w:r>
            </w:hyperlink>
          </w:p>
        </w:tc>
        <w:tc>
          <w:tcPr>
            <w:tcW w:w="1940" w:type="dxa"/>
            <w:vAlign w:val="bottom"/>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5</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Cash Flows for the Six Months Ended June 30, 2014 and 2013</w:t>
              </w:r>
            </w:hyperlink>
          </w:p>
        </w:tc>
        <w:tc>
          <w:tcPr>
            <w:tcW w:w="1480" w:type="dxa"/>
            <w:vAlign w:val="bottom"/>
            <w:gridSpan w:val="2"/>
          </w:tcPr>
          <w:p>
            <w:pPr>
              <w:spacing w:after="0"/>
              <w:rPr>
                <w:sz w:val="21"/>
                <w:szCs w:val="21"/>
                <w:color w:val="auto"/>
              </w:rPr>
            </w:pPr>
          </w:p>
        </w:tc>
        <w:tc>
          <w:tcPr>
            <w:tcW w:w="194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6</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the Unaudited Consolidated Financial Statements</w:t>
              </w:r>
            </w:hyperlink>
          </w:p>
        </w:tc>
        <w:tc>
          <w:tcPr>
            <w:tcW w:w="342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7</w:t>
              </w:r>
            </w:hyperlink>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spacing w:after="0"/>
              <w:rPr>
                <w:sz w:val="20"/>
                <w:szCs w:val="20"/>
                <w:color w:val="auto"/>
              </w:rPr>
            </w:pPr>
            <w:r>
              <w:rPr>
                <w:rFonts w:ascii="Arial" w:cs="Arial" w:eastAsia="Arial" w:hAnsi="Arial"/>
                <w:sz w:val="16"/>
                <w:szCs w:val="16"/>
                <w:color w:val="auto"/>
                <w:w w:val="93"/>
              </w:rPr>
              <w:t>Item 2.</w:t>
            </w:r>
          </w:p>
        </w:tc>
        <w:tc>
          <w:tcPr>
            <w:tcW w:w="600" w:type="dxa"/>
            <w:vAlign w:val="bottom"/>
            <w:gridSpan w:val="2"/>
          </w:tcPr>
          <w:p>
            <w:pPr>
              <w:spacing w:after="0"/>
              <w:rPr>
                <w:sz w:val="21"/>
                <w:szCs w:val="21"/>
                <w:color w:val="auto"/>
              </w:rPr>
            </w:pPr>
          </w:p>
        </w:tc>
        <w:tc>
          <w:tcPr>
            <w:tcW w:w="9300" w:type="dxa"/>
            <w:vAlign w:val="bottom"/>
            <w:gridSpan w:val="1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7"/>
                <w:szCs w:val="17"/>
                <w:color w:val="0000EE"/>
              </w:rPr>
            </w:pPr>
            <w:hyperlink w:anchor="page18">
              <w:r>
                <w:rPr>
                  <w:rFonts w:ascii="Arial" w:cs="Arial" w:eastAsia="Arial" w:hAnsi="Arial"/>
                  <w:sz w:val="17"/>
                  <w:szCs w:val="17"/>
                  <w:color w:val="0000EE"/>
                </w:rPr>
                <w:t>19</w:t>
              </w:r>
            </w:hyperlink>
          </w:p>
        </w:tc>
      </w:tr>
      <w:tr>
        <w:trPr>
          <w:trHeight w:val="20"/>
        </w:trPr>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480" w:type="dxa"/>
            <w:vAlign w:val="bottom"/>
            <w:gridSpan w:val="2"/>
          </w:tcPr>
          <w:p>
            <w:pPr>
              <w:spacing w:after="0"/>
              <w:rPr>
                <w:sz w:val="20"/>
                <w:szCs w:val="20"/>
                <w:color w:val="auto"/>
              </w:rPr>
            </w:pPr>
            <w:r>
              <w:rPr>
                <w:rFonts w:ascii="Arial" w:cs="Arial" w:eastAsia="Arial" w:hAnsi="Arial"/>
                <w:sz w:val="16"/>
                <w:szCs w:val="16"/>
                <w:color w:val="auto"/>
                <w:w w:val="93"/>
              </w:rPr>
              <w:t>Item 3.</w:t>
            </w:r>
          </w:p>
        </w:tc>
        <w:tc>
          <w:tcPr>
            <w:tcW w:w="600" w:type="dxa"/>
            <w:vAlign w:val="bottom"/>
            <w:gridSpan w:val="2"/>
          </w:tcPr>
          <w:p>
            <w:pPr>
              <w:spacing w:after="0"/>
              <w:rPr>
                <w:sz w:val="20"/>
                <w:szCs w:val="20"/>
                <w:color w:val="auto"/>
              </w:rPr>
            </w:pPr>
          </w:p>
        </w:tc>
        <w:tc>
          <w:tcPr>
            <w:tcW w:w="9300" w:type="dxa"/>
            <w:vAlign w:val="bottom"/>
            <w:gridSpan w:val="16"/>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Quantitative and Qualitative Disclosures About Market Risk</w:t>
              </w:r>
            </w:hyperlink>
          </w:p>
        </w:tc>
        <w:tc>
          <w:tcPr>
            <w:tcW w:w="340" w:type="dxa"/>
            <w:vAlign w:val="bottom"/>
            <w:gridSpan w:val="3"/>
          </w:tcPr>
          <w:p>
            <w:pPr>
              <w:jc w:val="right"/>
              <w:spacing w:after="0"/>
              <w:rPr>
                <w:rFonts w:ascii="Arial" w:cs="Arial" w:eastAsia="Arial" w:hAnsi="Arial"/>
                <w:sz w:val="17"/>
                <w:szCs w:val="17"/>
                <w:color w:val="0000EE"/>
              </w:rPr>
            </w:pPr>
            <w:hyperlink w:anchor="page35">
              <w:r>
                <w:rPr>
                  <w:rFonts w:ascii="Arial" w:cs="Arial" w:eastAsia="Arial" w:hAnsi="Arial"/>
                  <w:sz w:val="17"/>
                  <w:szCs w:val="17"/>
                  <w:color w:val="0000EE"/>
                </w:rPr>
                <w:t>36</w:t>
              </w:r>
            </w:hyperlink>
          </w:p>
        </w:tc>
      </w:tr>
      <w:tr>
        <w:trPr>
          <w:trHeight w:val="20"/>
        </w:trPr>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40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auto"/>
                <w:w w:val="89"/>
              </w:rPr>
              <w:t>Item 4.</w:t>
            </w:r>
          </w:p>
        </w:tc>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9300" w:type="dxa"/>
            <w:vAlign w:val="bottom"/>
            <w:gridSpan w:val="16"/>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Controls and Procedures</w:t>
              </w:r>
            </w:hyperlink>
          </w:p>
        </w:tc>
        <w:tc>
          <w:tcPr>
            <w:tcW w:w="340" w:type="dxa"/>
            <w:vAlign w:val="bottom"/>
            <w:gridSpan w:val="3"/>
          </w:tcPr>
          <w:p>
            <w:pPr>
              <w:jc w:val="right"/>
              <w:spacing w:after="0"/>
              <w:rPr>
                <w:rFonts w:ascii="Arial" w:cs="Arial" w:eastAsia="Arial" w:hAnsi="Arial"/>
                <w:sz w:val="17"/>
                <w:szCs w:val="17"/>
                <w:color w:val="0000EE"/>
              </w:rPr>
            </w:pPr>
            <w:hyperlink w:anchor="page36">
              <w:r>
                <w:rPr>
                  <w:rFonts w:ascii="Arial" w:cs="Arial" w:eastAsia="Arial" w:hAnsi="Arial"/>
                  <w:sz w:val="17"/>
                  <w:szCs w:val="17"/>
                  <w:color w:val="0000EE"/>
                </w:rPr>
                <w:t>37</w:t>
              </w:r>
            </w:hyperlink>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PART II—OTHER INFORMATION</w:t>
              </w:r>
            </w:hyperlink>
          </w:p>
        </w:tc>
        <w:tc>
          <w:tcPr>
            <w:tcW w:w="7720" w:type="dxa"/>
            <w:vAlign w:val="bottom"/>
            <w:gridSpan w:val="10"/>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80" w:type="dxa"/>
            <w:vAlign w:val="bottom"/>
            <w:gridSpan w:val="2"/>
          </w:tcPr>
          <w:p>
            <w:pPr>
              <w:spacing w:after="0"/>
              <w:rPr>
                <w:sz w:val="20"/>
                <w:szCs w:val="20"/>
                <w:color w:val="auto"/>
              </w:rPr>
            </w:pPr>
            <w:r>
              <w:rPr>
                <w:rFonts w:ascii="Arial" w:cs="Arial" w:eastAsia="Arial" w:hAnsi="Arial"/>
                <w:sz w:val="16"/>
                <w:szCs w:val="16"/>
                <w:color w:val="auto"/>
                <w:w w:val="93"/>
              </w:rPr>
              <w:t>Item 1.</w:t>
            </w:r>
          </w:p>
        </w:tc>
        <w:tc>
          <w:tcPr>
            <w:tcW w:w="600" w:type="dxa"/>
            <w:vAlign w:val="bottom"/>
            <w:gridSpan w:val="2"/>
          </w:tcPr>
          <w:p>
            <w:pPr>
              <w:spacing w:after="0"/>
              <w:rPr>
                <w:sz w:val="21"/>
                <w:szCs w:val="21"/>
                <w:color w:val="auto"/>
              </w:rPr>
            </w:pPr>
          </w:p>
        </w:tc>
        <w:tc>
          <w:tcPr>
            <w:tcW w:w="9300" w:type="dxa"/>
            <w:vAlign w:val="bottom"/>
            <w:gridSpan w:val="1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Legal Proceedings</w:t>
              </w:r>
            </w:hyperlink>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300" w:type="dxa"/>
            <w:vAlign w:val="bottom"/>
            <w:gridSpan w:val="1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38</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480" w:type="dxa"/>
            <w:vAlign w:val="bottom"/>
            <w:gridSpan w:val="2"/>
          </w:tcPr>
          <w:p>
            <w:pPr>
              <w:spacing w:after="0"/>
              <w:rPr>
                <w:sz w:val="20"/>
                <w:szCs w:val="20"/>
                <w:color w:val="auto"/>
              </w:rPr>
            </w:pPr>
            <w:r>
              <w:rPr>
                <w:rFonts w:ascii="Arial" w:cs="Arial" w:eastAsia="Arial" w:hAnsi="Arial"/>
                <w:sz w:val="16"/>
                <w:szCs w:val="16"/>
                <w:color w:val="auto"/>
                <w:w w:val="93"/>
              </w:rPr>
              <w:t>Item 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300" w:type="dxa"/>
            <w:vAlign w:val="bottom"/>
            <w:gridSpan w:val="16"/>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39</w:t>
              </w:r>
            </w:hyperlink>
          </w:p>
        </w:tc>
      </w:tr>
      <w:tr>
        <w:trPr>
          <w:trHeight w:val="20"/>
        </w:trPr>
        <w:tc>
          <w:tcPr>
            <w:tcW w:w="48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auto"/>
                <w:w w:val="89"/>
              </w:rPr>
              <w:t>Item 6.</w:t>
            </w:r>
          </w:p>
        </w:tc>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9300" w:type="dxa"/>
            <w:vAlign w:val="bottom"/>
            <w:gridSpan w:val="16"/>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Exhibits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40</w:t>
              </w:r>
            </w:hyperlink>
          </w:p>
        </w:tc>
      </w:tr>
      <w:tr>
        <w:trPr>
          <w:trHeight w:val="20"/>
        </w:trPr>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6"/>
                <w:szCs w:val="16"/>
                <w:color w:val="0000EE"/>
                <w:w w:val="86"/>
              </w:rPr>
            </w:pPr>
            <w:hyperlink w:anchor="page40">
              <w:r>
                <w:rPr>
                  <w:rFonts w:ascii="Arial" w:cs="Arial" w:eastAsia="Arial" w:hAnsi="Arial"/>
                  <w:sz w:val="16"/>
                  <w:szCs w:val="16"/>
                  <w:color w:val="0000EE"/>
                  <w:w w:val="86"/>
                </w:rPr>
                <w:t>Signatures</w:t>
              </w:r>
            </w:hyperlink>
          </w:p>
        </w:tc>
        <w:tc>
          <w:tcPr>
            <w:tcW w:w="862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40">
              <w:r>
                <w:rPr>
                  <w:rFonts w:ascii="Arial" w:cs="Arial" w:eastAsia="Arial" w:hAnsi="Arial"/>
                  <w:sz w:val="17"/>
                  <w:szCs w:val="17"/>
                  <w:color w:val="0000EE"/>
                  <w:w w:val="84"/>
                </w:rPr>
                <w:t>41</w:t>
              </w:r>
            </w:hyperlink>
          </w:p>
        </w:tc>
      </w:tr>
    </w:tbl>
    <w:p>
      <w:pPr>
        <w:sectPr>
          <w:pgSz w:w="11900" w:h="16838" w:orient="portrait"/>
          <w:cols w:equalWidth="0" w:num="1">
            <w:col w:w="10720"/>
          </w:cols>
          <w:pgMar w:left="600" w:top="364" w:right="5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209,826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63,437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77,987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92,757</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$22,389 at June 30, 2014 and $22,079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2013</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328,371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390,563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973,804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840,375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$249,140 at June 30, 2014 and $231,327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662,035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498,435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$143,976 at June 30, 2014 and $132,927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181,263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$27,302 at June 30, 2014 and $25,363 at December 31, 2013</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52,114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50,049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393,593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457,274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787,252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732,011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959,660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56,097,945 issued at June 30, 2014 and 54,276,761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879,242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809,640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3,666,899 shares at June 30, 2014 and 3,650,519 shares at December 31, 2013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748,914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636,122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751,224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748,777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677,187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433,382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60,368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100,479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62,460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17,348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33,908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361,334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690,267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630,229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34,128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46,958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losses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42,042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20,488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30,225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97"/>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20,502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18,111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36,524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30,117</w:t>
            </w:r>
          </w:p>
        </w:tc>
      </w:tr>
      <w:tr>
        <w:trPr>
          <w:trHeight w:val="257"/>
        </w:trPr>
        <w:tc>
          <w:tcPr>
            <w:tcW w:w="6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r>
      <w:tr>
        <w:trPr>
          <w:trHeight w:val="20"/>
        </w:trPr>
        <w:tc>
          <w:tcPr>
            <w:tcW w:w="2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0"/>
              </w:rPr>
              <w:t>Weighted average shares outstanding:</w:t>
            </w:r>
          </w:p>
        </w:tc>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51,675,775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49,889,640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51,231,997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49,697,176</w:t>
            </w:r>
          </w:p>
        </w:tc>
      </w:tr>
      <w:tr>
        <w:trPr>
          <w:trHeight w:val="20"/>
        </w:trPr>
        <w:tc>
          <w:tcPr>
            <w:tcW w:w="2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53,773,759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51,517,640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53,279,782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51,122,810</w:t>
            </w:r>
          </w:p>
        </w:tc>
      </w:tr>
      <w:tr>
        <w:trPr>
          <w:trHeight w:val="20"/>
        </w:trPr>
        <w:tc>
          <w:tcPr>
            <w:tcW w:w="2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594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32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(28,077)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24,651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43,871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30,225</w:t>
            </w: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33,908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foreign exchange loss,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7,116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7,599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1,206,556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1,009,853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(1,011,830)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short-term debt obligations,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201,435</w:t>
            </w:r>
          </w:p>
        </w:tc>
      </w:tr>
      <w:tr>
        <w:trPr>
          <w:trHeight w:val="162"/>
        </w:trPr>
        <w:tc>
          <w:tcPr>
            <w:tcW w:w="85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189,865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4,017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21,725</w:t>
            </w:r>
          </w:p>
        </w:tc>
      </w:tr>
      <w:tr>
        <w:trPr>
          <w:trHeight w:val="243"/>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21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Euronet Worldwide, Inc. (together with its subsidiaries, the “Company”or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June 30, 2014, the results of its operations for the three and six months ended June 30, 2014 and 2013 and cash flows for the six months ended June 30, 2014 and 2013. The unaudited consolidated financial statements should be read in conjunction with the audited consolidated financial statements of the Company for the year ended December 31, 2013, including the notes thereto, set forth in the Company’s 2013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from those estimates. The results of operations for interim periods are not necessarily indicative of the results to be expected for the full year ending December 31,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Euronet’s EFT Processing segment and epay segment are significantly impacted by seasonality during the fourth quarter and first quarter of each year due to higher transaction levels during the holiday season and lower levels following the holiday season. Additionally, mostly in Europe, the EFT Processing business experiences its heaviest demand for dynamic currency conversion services during the third quarter of the fiscal year, coinciding with the tourist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Euronet usually experiences its lowest transaction levels during the first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("ASU 2014-09"), which requires an entity to recognize the amount of revenue to which it expects to be entitled for the transfer of promised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or services to customers. ASU 2014-09 will replace most existing revenue recognition guidance in U.S. GAAP when it becomes effective. The new standard will become effective for the Company on January 1, 2017 and early adoption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July 2013, the FASB issued Accounting Standards Update No. 2013-11, </w:t>
      </w:r>
      <w:r>
        <w:rPr>
          <w:rFonts w:ascii="Arial" w:cs="Arial" w:eastAsia="Arial" w:hAnsi="Arial"/>
          <w:sz w:val="18"/>
          <w:szCs w:val="18"/>
          <w:i w:val="1"/>
          <w:iCs w:val="1"/>
          <w:color w:val="auto"/>
        </w:rPr>
        <w:t>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Carryforward, a Similar Tax Loss, or a Tax Credit Carryforward Exists </w:t>
      </w:r>
      <w:r>
        <w:rPr>
          <w:rFonts w:ascii="Arial" w:cs="Arial" w:eastAsia="Arial" w:hAnsi="Arial"/>
          <w:sz w:val="18"/>
          <w:szCs w:val="18"/>
          <w:color w:val="auto"/>
        </w:rPr>
        <w:t>("ASU 2013-11"). The amendments in ASU 2013-11 provide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 presentation of an unrecognized tax benefit when a net operating loss carryforward, a similar tax loss, or a tax credit carryforward exists. The Company adopted ASU 2013-11 as of January 1, 2014, and its adoption did not have a material impact on the Company's results of operations, cash flows or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and assumed vesting of restricted stock.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51,675,775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49,889,640</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51,231,997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49,697,176</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2,097,984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1,628,000</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2,047,785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1,425,634</w:t>
            </w:r>
          </w:p>
        </w:tc>
      </w:tr>
      <w:tr>
        <w:trPr>
          <w:trHeight w:val="257"/>
        </w:trPr>
        <w:tc>
          <w:tcPr>
            <w:tcW w:w="596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53,773,759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3"/>
              </w:rPr>
              <w:t>51,517,640</w:t>
            </w:r>
          </w:p>
        </w:tc>
        <w:tc>
          <w:tcPr>
            <w:tcW w:w="2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53,279,782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51,122,810</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table includes the impact of all stock options and restricted stock that are dilutive to the Company’s weighted average common shares outstanding during the three and six months ended June 30, 2014 and 2013. The calculation of diluted earnings per share excludes stock options or shares of restricted stock that are anti-dilutive to the Company’s weighted average common shares outstanding of approximately 674,000 for both the three and six months ended June 30, 2014 and approximately 1,034,000 and 1,078,000 for the three and six months ended June 30, 2013,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a foreign currency translation gain of $4.1 million and $7.3 million for the three and six months ended June 30, 2014, respectively and a foreign currency translation loss of $10.9 million and $28.1 million for the three and six months ended June 30, 2013, respectively. There were no reclassifications of foreign currency translation into the Consolidated Statements of Income for the three and six months ended June 30, 2014 and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On May 20, 2014, the Company completed the acquisition of all of the capital stock of EIM (FX) Limited and TBK (FM) Limited (the "Acquired Companies") pursuant to a Share Purchase Agreement dated March 7, 2014 (the "Purchase Agreement") among the Company and the selling shareholders (the "Sellers"). The Acquired Companies, each a United Kingdom limited company, operate under the brand names HiFX and HiFM, respectively.</w:t>
      </w:r>
    </w:p>
    <w:p>
      <w:pPr>
        <w:spacing w:after="0" w:line="3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Under the terms of the Purchase Agreement, the Sellers received purchase consideration (the "Purchase Consideration") of £111 million in cash ($186.7 million)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Consideration was allocated to the assets acquired and liabilities assumed, including identifiable intangible assets, based on their respective fair values at the date of acquisition. The valuation of the Acquired Companies' net assets remains preliminary while management completes its valuation, particularly the valuation of acquired intangible assets.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our results. The net assets of the Acquired Companies and their results from operations are included in the Money Transfer Segment's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As of May 20, 2014</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103,319</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26,597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2,902</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95,658</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229,103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(97,781)</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(21,826)</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(146,761)</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160,939</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57"/>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243,281</w:t>
            </w: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of the Acquired Companies are being amortized on a straight-line basis, and the preliminary fair values consist of the following: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5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18,168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4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4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5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95,658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7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2014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256,597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181,263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662,035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843,298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2014, is expected to total $13.9 million for the remainder of 2014, $23.0 million for 2015, $21.4 million for 2016, $19.1 million for 2017, $16.5 million for 2018 and $15.6 million for 2019.</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2013 resulted in the Company recording a non-cash goodwill impairment charge of $18.4 million during the fourth quarter of 2013 with respect to certain reporting units included in the Company's epay segment.</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2013 annual impairment test could change, which may result in the Company recording additional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94,120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84,429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78,398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transfer settlement obligations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49,757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57"/>
        </w:trPr>
        <w:tc>
          <w:tcPr>
            <w:tcW w:w="5320" w:type="dxa"/>
            <w:vAlign w:val="bottom"/>
          </w:tcPr>
          <w:p>
            <w:pPr>
              <w:ind w:left="16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335,530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540" w:type="dxa"/>
            <w:vAlign w:val="bottom"/>
            <w:vMerge w:val="restart"/>
          </w:tcPr>
          <w:p>
            <w:pPr>
              <w:jc w:val="right"/>
              <w:ind w:right="30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 months ended June 30, 2014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Term Loan A</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204,646</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borrowings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205,575</w:t>
            </w:r>
          </w:p>
        </w:tc>
        <w:tc>
          <w:tcPr>
            <w:tcW w:w="0" w:type="dxa"/>
            <w:vAlign w:val="bottom"/>
          </w:tcPr>
          <w:p>
            <w:pPr>
              <w:spacing w:after="0"/>
              <w:rPr>
                <w:sz w:val="1"/>
                <w:szCs w:val="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(gain)</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Balance at June 30, 2014</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326,996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74,062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411,162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0" w:type="dxa"/>
            <w:vAlign w:val="bottom"/>
          </w:tcPr>
          <w:p>
            <w:pPr>
              <w:spacing w:after="0"/>
              <w:rPr>
                <w:sz w:val="1"/>
                <w:szCs w:val="1"/>
                <w:color w:val="auto"/>
              </w:rPr>
            </w:pPr>
          </w:p>
        </w:tc>
      </w:tr>
      <w:tr>
        <w:trPr>
          <w:trHeight w:val="25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June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326,996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69,843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398,768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June 30, 2014, the Company had a $675 million senior secured credit facility (the "Credit Facility") consisting of a $600 million revolving credit facility and a $75 million term loan (which has been reduced to $74.1 million through principal amortization payments) ("Term Loan A").</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9, 2014, the Company amended and restated the Credit Agreement to, among other things, (i) increase the amount of Term Loan A from $66 million to $75 million, (ii) increase the aggregate credit commitments under the revolving credit facility from $400 million to $600 million, (iii) reduce the margin over the London Inter-Bank Offered Rate (“LIBOR”) rate and base rate by 12.5 basis points, and (iv) extend the expiration date of the Credit Agreement from August 18, 2016 to April 9, 2019. In connection with the amendment, the Company incurred $2.5 million in debt issuance costs, which are being amortized over the term of the Credit Facility.</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Interest on borrowings under the revolving credit facility and Term Loan A varies based upon the Company's consolidated total leverage ratio, as defined in the Company's Credit Agreement, and during the second quarter of fiscal 2014 was based on a margin over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1.71% and 1.52%, respectively, as of June 30, 2014, excluding amortization of deferred financing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policy, the derivative instruments used in these activities are deemed economic hedges and are not designated as hedges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the Company uses short 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June 30, 2014, the Company had foreign currency forward contracts outstanding in the U.S. with a notional value of $127 million, primarily in Australian dollars, Canadian dollars, British pounds, euros and Mexican pesos.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As discussed in Note 4, Acquisitions, on May 20, 2014, the Company acquired EIM (FX) Limited, which operates under the brand name HiFX. 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$7.1 million for the three months ended June 30, 2014. All of the derivative contracts used in the Company' s HiFX operations are designated as economic hedges and are not designated as hedges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The duration of these derivative contracts is generally less than one year.</w:t>
      </w:r>
    </w:p>
    <w:p>
      <w:pPr>
        <w:spacing w:after="0" w:line="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our positions. The Company manages counterparty credit risk (the risk that counterparties will default and not make payments to us according to the terms of our agreements) on an individual counterparty basis. We mitigate this risk by entering into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HiFX operations as</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of June 30, 2014 was approximately $810 million. The significant majority of customer contracts are written in major currencies such as the euro, Canadian dollar, British pound, and the Australian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0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2014 and December 31, 2013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2014</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7,337</w:t>
            </w:r>
          </w:p>
        </w:tc>
      </w:tr>
      <w:tr>
        <w:trPr>
          <w:trHeight w:val="324"/>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228"/>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594"/>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2014</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Liabilities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Paid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324"/>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28"/>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arrangement or similar agreement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six months ended June 30,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9"/>
          </w:tcPr>
          <w:p>
            <w:pPr>
              <w:jc w:val="right"/>
              <w:ind w:right="599"/>
              <w:spacing w:after="0"/>
              <w:rPr>
                <w:sz w:val="20"/>
                <w:szCs w:val="20"/>
                <w:color w:val="auto"/>
              </w:rPr>
            </w:pPr>
            <w:r>
              <w:rPr>
                <w:rFonts w:ascii="Arial" w:cs="Arial" w:eastAsia="Arial" w:hAnsi="Arial"/>
                <w:sz w:val="14"/>
                <w:szCs w:val="14"/>
                <w:b w:val="1"/>
                <w:bCs w:val="1"/>
                <w:color w:val="auto"/>
              </w:rPr>
              <w:t>Amount of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52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23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Location of Loss Recognized in Income</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(1,153)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As of June 30, 2014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29,256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29,256</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(20,093)</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As of December 31, 2013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including the current portion, approximate fair value because interest is primarily based on LIBOR, which resets at various intervals of less than one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80" w:hanging="648"/>
        <w:spacing w:after="0" w:line="27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and HiFX. Ria provides global consumer-to-consumer money transfer services through a network of sending agents, Company-owned stores and Company owned website, disbursing money transfers through a worldwide correspondent network. HiFX offers account-to-account international payment services to high-income individuals and small-to-medium sized businesses.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181,979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40,981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17,348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341,543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313,743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367,043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748,777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468,975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113,942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33,498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337,961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690,267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34,352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58,510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366,238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677,187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433,382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41,481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100,479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33,908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339,076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630,229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27,162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4"/>
              </w:rPr>
              <w:t>Property and Equipment, net as of</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Total Assets as of</w:t>
            </w:r>
          </w:p>
        </w:tc>
      </w:tr>
      <w:tr>
        <w:trPr>
          <w:trHeight w:val="250"/>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June 30, 2014</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2013</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466,399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347,073</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26,327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639,769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757,942</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868,135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472,390</w:t>
            </w:r>
          </w:p>
        </w:tc>
      </w:tr>
      <w:tr>
        <w:trPr>
          <w:trHeight w:val="304"/>
        </w:trPr>
        <w:tc>
          <w:tcPr>
            <w:tcW w:w="6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20,206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20,710</w:t>
            </w:r>
          </w:p>
        </w:tc>
      </w:tr>
      <w:tr>
        <w:trPr>
          <w:trHeight w:val="251"/>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125,293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1,994,509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1,598,115</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effective income tax rates were 29.8% and 32.3% for the three months ended June 30, 2014 and 2013, respectively, and 28.4% and 28.1% for the six months ended June 30, 2014 and 2013, respectively. The Company's effective income tax rates for the three and six months ended June 30, 2014 and 2013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2014, the Company had $98.3 million of stand-by letters of credit/bank guarantees issued on its behalf, of which $51.3 million are outstanding under the revolving credit facility. The remaining stand-by letters of credit/bank guarantees are collateralized by $5.1 million of cash deposits held by the respective issuing banks.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2014, the Company had granted off balance sheet guarantees for cash in various ATM networks amounting to $16.3 million over the terms of the cash supply agreements and performance guarantees amounting to approximately $31.6 million over the terms of the agreements with the customers.</w:t>
      </w:r>
    </w:p>
    <w:p>
      <w:pPr>
        <w:spacing w:after="0" w:line="154"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Once each of Euronet's subsidiaries reaches a certain size, it is required under the Credit Agreement to provide a guarantee of all or a portion of the outstanding obligations under the Credit Agreement depending upon whether the subsidiary is a domestic or foreign entity.</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 w:lineRule="exact"/>
        <w:rPr>
          <w:sz w:val="20"/>
          <w:szCs w:val="20"/>
          <w:color w:val="auto"/>
        </w:rPr>
      </w:pPr>
    </w:p>
    <w:p>
      <w:pPr>
        <w:ind w:left="580" w:right="6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damage to ATMs and theft of ATM network cash that is not recorded on the Company’s Consolidated Balance Sheets. As of June 30, 2014, the balance of ATM network cash for which the Company was responsible was approximately $428 million. The Company maintains insurance policies to mitigate this exposure;</w:t>
      </w:r>
    </w:p>
    <w:p>
      <w:pPr>
        <w:spacing w:after="0" w:line="38" w:lineRule="exact"/>
        <w:rPr>
          <w:rFonts w:ascii="Arial" w:cs="Arial" w:eastAsia="Arial" w:hAnsi="Arial"/>
          <w:sz w:val="16"/>
          <w:szCs w:val="16"/>
          <w:color w:val="auto"/>
        </w:rPr>
      </w:pPr>
    </w:p>
    <w:p>
      <w:pPr>
        <w:ind w:left="580" w:right="8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4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0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2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2014 or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Unclaimed property 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currently expect the outcome of this matter to have a material adverse effect on the Company's consolidated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2013.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card issuing and merchant acquiring services; electronic distribution of prepaid mobile airtime and other electronic payment products; and global money transfer services. We operate in the following three segments:</w:t>
      </w:r>
    </w:p>
    <w:p>
      <w:pPr>
        <w:spacing w:after="0" w:line="79" w:lineRule="exact"/>
        <w:rPr>
          <w:sz w:val="20"/>
          <w:szCs w:val="20"/>
          <w:color w:val="auto"/>
        </w:rPr>
      </w:pPr>
    </w:p>
    <w:p>
      <w:pPr>
        <w:ind w:left="980" w:hanging="648"/>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19,313 ATMs and approximately 69,000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664,000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90"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and global account-to-account money transfer services under the brand name HiFX. We offer services under Ria, through a network of sending agents, Company-owned stores (primarily in North America and Europe) and via the Company's website (riamoneytransfer.com), disbursing money transfers through a worldwide correspondent network that includes approximately 235,000 locations. We offer services under HiFX via the Company's website (www.hifx.com) or by contacting a HiFX customer service representative.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Under our HiFM brand, we offer cash management solutions and foreign currency risk management services to small-to-medium sized businesses.</w:t>
      </w:r>
    </w:p>
    <w:p>
      <w:pPr>
        <w:spacing w:after="0" w:line="58" w:lineRule="exact"/>
        <w:rPr>
          <w:sz w:val="20"/>
          <w:szCs w:val="20"/>
          <w:color w:val="auto"/>
        </w:rPr>
      </w:pPr>
    </w:p>
    <w:p>
      <w:pPr>
        <w:ind w:left="60" w:right="100"/>
        <w:spacing w:after="0" w:line="259" w:lineRule="auto"/>
        <w:rPr>
          <w:sz w:val="20"/>
          <w:szCs w:val="20"/>
          <w:color w:val="auto"/>
        </w:rPr>
      </w:pPr>
      <w:r>
        <w:rPr>
          <w:rFonts w:ascii="Arial" w:cs="Arial" w:eastAsia="Arial" w:hAnsi="Arial"/>
          <w:sz w:val="18"/>
          <w:szCs w:val="18"/>
          <w:color w:val="auto"/>
        </w:rPr>
        <w:t>We have five processing centers in Europe, four in Asia Pacific and two in North America. We have 31 principal offices in Europe, 11 in Asia Pacific, six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23% and 22% of our total consolidated revenues for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first half of 2014,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46% and 49% of our total consolidated revenues for the second quarter and first half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31% and 29% of our total consolidated revenues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half of 2014,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primarily in North America and Europe, and our websites riamoneytransfer.com and www.hifx.com, along with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our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2014 and 2013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Revenues for the 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8"/>
          </w:tcPr>
          <w:p>
            <w:pPr>
              <w:ind w:left="40"/>
              <w:spacing w:after="0"/>
              <w:rPr>
                <w:sz w:val="20"/>
                <w:szCs w:val="20"/>
                <w:color w:val="auto"/>
              </w:rPr>
            </w:pPr>
            <w:r>
              <w:rPr>
                <w:rFonts w:ascii="Arial" w:cs="Arial" w:eastAsia="Arial" w:hAnsi="Arial"/>
                <w:sz w:val="14"/>
                <w:szCs w:val="14"/>
                <w:b w:val="1"/>
                <w:bCs w:val="1"/>
                <w:color w:val="auto"/>
                <w:w w:val="92"/>
              </w:rPr>
              <w:t>Revenues for the 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3"/>
              </w:rPr>
              <w:t>Ended June 30,</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Percent</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89,472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72,221</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17,251</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164,077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135,555</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181,979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176,663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5,316</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367,043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366,238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30,961</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176,260</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395,769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342,241</w:t>
            </w: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53,528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749,438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678,053</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71,385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1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395,462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341,543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53,919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748,777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677,187</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71,590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3"/>
              </w:rPr>
              <w:t>Operating Income (Expense) for</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6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Operating Income (Expense) for</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9"/>
          </w:tcPr>
          <w:p>
            <w:pPr>
              <w:ind w:left="40"/>
              <w:spacing w:after="0" w:line="149" w:lineRule="exact"/>
              <w:rPr>
                <w:sz w:val="20"/>
                <w:szCs w:val="20"/>
                <w:color w:val="auto"/>
              </w:rPr>
            </w:pPr>
            <w:r>
              <w:rPr>
                <w:rFonts w:ascii="Arial" w:cs="Arial" w:eastAsia="Arial" w:hAnsi="Arial"/>
                <w:sz w:val="14"/>
                <w:szCs w:val="14"/>
                <w:b w:val="1"/>
                <w:bCs w:val="1"/>
                <w:color w:val="auto"/>
              </w:rPr>
              <w:t>the Three Months Ended June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vMerge w:val="restart"/>
          </w:tcPr>
          <w:p>
            <w:pPr>
              <w:jc w:val="right"/>
              <w:ind w:right="364"/>
              <w:spacing w:after="0"/>
              <w:rPr>
                <w:sz w:val="20"/>
                <w:szCs w:val="20"/>
                <w:color w:val="auto"/>
              </w:rPr>
            </w:pPr>
            <w:r>
              <w:rPr>
                <w:rFonts w:ascii="Arial" w:cs="Arial" w:eastAsia="Arial" w:hAnsi="Arial"/>
                <w:sz w:val="14"/>
                <w:szCs w:val="14"/>
                <w:b w:val="1"/>
                <w:bCs w:val="1"/>
                <w:color w:val="auto"/>
              </w:rPr>
              <w:t>Year-over-Year Change</w:t>
            </w:r>
          </w:p>
        </w:tc>
        <w:tc>
          <w:tcPr>
            <w:tcW w:w="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w w:val="96"/>
              </w:rPr>
              <w:t>the Six Months Ended June 30,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(Decrease)Amount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(Decrease)Amount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20" w:type="dxa"/>
            <w:vAlign w:val="bottom"/>
            <w:tcBorders>
              <w:bottom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21,578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6,627</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12,509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1,677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27,162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2,030</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46,577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36,243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10,334</w:t>
            </w:r>
          </w:p>
        </w:tc>
        <w:tc>
          <w:tcPr>
            <w:tcW w:w="20" w:type="dxa"/>
            <w:vAlign w:val="bottom"/>
            <w:tcBorders>
              <w:top w:val="single" w:sz="8" w:color="auto"/>
            </w:tcBorders>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78,187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63,551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(16,593)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21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34,128</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6,328</w:t>
            </w:r>
          </w:p>
        </w:tc>
        <w:tc>
          <w:tcPr>
            <w:tcW w:w="20" w:type="dxa"/>
            <w:vAlign w:val="bottom"/>
            <w:tcBorders>
              <w:top w:val="single" w:sz="8" w:color="auto"/>
              <w:bottom w:val="single" w:sz="8" w:color="auto"/>
            </w:tcBorders>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0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58,510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46,958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we estimate that our consolidated operating income for the second quarter and first half of 2014 was approximately 5% and 4% higher, respectively, when compared to the same periods of 2013 as a result of changes in foreign currency exchange rates. 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Increase</w:t>
            </w: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0.4489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0.4837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0.4362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0.4923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1.3061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0.3113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89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right"/>
              <w:ind w:right="908"/>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2014 and 2013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6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17,251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135,555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7,208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11,877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22,972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3,758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113,991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6,627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34,352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21,564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12,788</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19,313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19,313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2,071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revenues for the second quarter and first half of 2014 increased when compared to the same periods of 2013, primarily due to an increase in the number of transactions processed in Poland as a result of an increase in the number of ATMs under management, an increase in the number of ATMs in India, an increase in demand for dynamic currency conversion ("DCC") on both our ATMs and POS devices under management, growth in revenues from debit and credit card outsourcing services in Greece and the net impact of the U.S. dollar weakening against key foreign currencies.</w:t>
      </w:r>
    </w:p>
    <w:p>
      <w:pPr>
        <w:spacing w:after="0" w:line="6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Average monthly revenues per ATM were $1,570 for the second quarter and $1,462 for the first half of 2014 compared to $1,361 for the second quarter and $1,276 for the first half of 2013. Revenues per transaction were $0.28 for the second quarter and $0.26 for the first half of 2014 compared to $0.24 for both the second quarter and first half of 2013. These increases were primarily the result of revenue growth from DCC on our ATMs under management, which earns higher revenues per transaction than other ATM or card based services, and the net impact of the U.S. dollar weakening against key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second quarter and first half of 2014 compared to the same periods of 2013, primarily due to an increase in the number of ATMs under management, an increase in demand for DCC on POS devices, growth in revenues from debit and credit card outsourcing services in Greece and the net impact of the U.S. dollar weakening against key foreign currencies.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Gross profit, which is calculated as revenues less direct operating costs, was $47.6 million for the second quarter and $84.9 million for the first half of 2014 compared to $37.6 million for the second quarter and $68.0 million for the first half of 2013. The increase in gross profit was primarily due to growth in revenues from DCC, an increase in ATMs under management in Poland, growth in revenues from debit and credit card outsourcing services in Greece and the net impact of the U.S. dollar weakening against key foreign currencies. Gross profit as a percentage of revenues (“gross margin”) was 53.3% for the second quarter and 51.8% for the first half of 2014 compared to 52.1% for the second quarter and 50.2% for the first half of 2013.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increase in gross margin was primarily due to growth in revenues from DCC on our ATMs under management, which earns a higher gross profit than other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salaries and benefits for the second quarter and first half of 2014 compared to the same periods of 2013 was primarily due to additional headcount to support the increase in the number of ATMs under management. As a percentage of revenues, these costs increased slightly to 13.3% for the second quarter of 2014 from 13.2% for same period of 2013, while decreasing slightly to 14.0% for the first half of 2014 from 14.2% for the same period of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selling, general and administrative expenses for the second quarter and first half of 2014 compared to the same periods of 2013 was primarily due to increased support costs as a result of the increase in the number of ATMs under management and growth in DCC transactions on POS devices. As a percentage of revenues, these expenses decreased slightly to 7.3% for the second quarter and 7.7% for the first half of 2014 from 7.5% for the second quarter and 8.3% for the first half of 2013. These decreases were primarily due to the growth in revenues earned from DCC transactions on our ATMs under management, which require minimal incremental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decrease in depreciation and amortization expense for the second quarter and first half of 2014 compared to the same periods of 2013 was primarily due to certain software assets becoming fully amortized during 2013, partly offset by an increase in depreciation on our ATMs under management. As a percentage of revenues, depreciation and amortization expense decreased to 8.5% for the second quarter and 9.1% for the first half of 2014 from 10.6% for the second quarter and 11.8% for the first half of 2013, primarily due to the growth in revenues from DCC transactions on our ATMs under management, while depreciation and amortization expense has decreased.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increase in operating income for the second quarter and first half of 2014 compared to the same periods of 2013 was primarily due to the increase in the number of ATMs under management discussed above, growth in revenues earned from DCC transactions, growth in revenues from debit and credit card management services in Greece, the decrease in amortization expense related to software assets and the net impact of the U.S. dollar weakening against key foreign currencies. Operating income as a percentage of revenues (“operating margin”) increased to 24.1% for the second quarter and 20.9% for the first half of 2014 from 20.7% for the second quarter and 15.9% for the first half of 2013. The increase in operating margin was primarily due to growth in revenues earned from DCC on our ATMs under management.</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income per transaction increased to $0.07 for the second quarter and $0.06 for the first half of 2014 from $0.05 for the second quarter and $0.04 for the first half of 2013. The increase in operating income per transaction was primarily due to growth in revenues earned from DCC on our ATMs under management and the net impact of the U.S. dollar weakening against key foreign currencies.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2014 and 2013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181,979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176,663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367,043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366,238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138,522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135,402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282,059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167,793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164,154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337,961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339,076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1,677</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29,082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1,920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increase in revenues for the second quarter and first half of 2014 compared to the same periods of 2013 was primarily due to an increase in the number of non-mobile transactions processed in Germany and the U.K, an increase in voucher redemptions at our cadooz subsidiary and the net impact of the U.S. dollar weakening against key foreign currencies, partly offset by a decrease in prepaid mobile transactions processed in Australia, Brazil and in the U.S. The decrease in the number of prepaid mobile transactions processed in Australia and the U.S. was the result of increased competitive pressures. The decrease in the number of prepaid mobile transactions processed in Brazil was due to the continued impact of changes in certain mobile operators' distribution strategies, which limited our ability to distribute certain products within certain markets in Brazil.</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partially offsetting the increase in revenues for the first half of 2014 compared to the same period of 2013 was a decrease in physical gift redemptions at our cadooz subsidiary during the first quarter of 2014 compared to the same period of 2013.</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currently expect most of our future revenue growth in the epay segment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Revenues per transaction decreased to $0.61 for the second quarter and $0.63 for the first half of 2014 from $0.63 for the second quarter and $0.66 for the first half of 2013, primarily due to growth in the number of prepaid mobile transactions processed in India, where revenues per transaction are considerably lower than average, and a decrease in the average commission earned per transaction in Australia, Brazil and the U.S. The decrease in revenues per transaction was partly offset by the increase in the number of non-mobile transactions processed in Germany, for which we generally earn higher revenues per transaction than mobile transactions and the net impact of the U.S. dollar weakening against key foreign currencies.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for the second quarter of 2014 compared to the same period of 2013 was primarily due to the increase in non-mobile transactions processed in Germany and the U.K., an increase in voucher redemptions at our cadooz subsidiary and the net impact of the U.S. dollar weakening against key foreign currencies, partly offset by the decrease in transactions processed in Australia, Brazil and the U.S.</w:t>
      </w:r>
    </w:p>
    <w:p>
      <w:pPr>
        <w:spacing w:after="0" w:line="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decrease in direct operating costs for the first half of 2014 compared to the same period of 2013 was primarily due to a decrease in physical gift redemptions during the first quarter of 2014 compared to the same period of 2013, offsetting the increase in direct cost for the second quarter discussed above.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was $43.5 million for the second quarter and $85.2 million for the first half of 2014 compared to $41.3 million for the second quarter and $84.2 million for the first half of 2013. The increase in gross profit was primarily due to growth in non-mobile transactions processed in Germany and the net impact of the U.S. dollar weakening against key foreign currencies, partly offset by the decreases in revenues in Australia, Brazil and the U.S. Also, partially offsetting the increase in gross profit for the first half of 2014 compared to the same period of 2013 was a decrease in physical gift redemptions during the first quarter of 2014 compared to the same period 2013.</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margin increased to 23.9% for the second quarter and 23.2% for the first half of 2014 from 23.4% for the second quarter and 23.0% for the first half of 2013. The increases in gross margin was primarily due to growth in non-mobile transactions processed in Germany, partly offset by the decreases in revenues in Australia, Brazil and the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salaries and benefits for the second quarter and first half of 2014 compared to the same periods of 2013 was primarily due to lower headcount in certain markets and a decrease in bonus expense, partly offset by the net impact of the U.S. dollar weakening against key foreign currencies. As a result, these expenses, as a percentage of revenues, decreased to 7.6% for the second quarter and 7.5% for the first half of 2014 from 8.1% for second quarter and 7.8% for the first half of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selling, general and administrative expenses for the second quarter and first half of 2014 compared to the same periods of 2013 was primarily due to an increase in bad debt expense and the net impact of the U.S. dollar weakening against key foreign currencies. As a result, these expenses, as a percentage of revenues, increased slightly to 6.1% for the second quarter of 2014 compared to 5.9% for the same period of 2013, while remaining unchanged at 5.5% for both the first half of 2014 and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Depreciation and amortization expense primarily represents depreciation of POS terminals we place in retail stores and the amortization of acquired intangible assets. Depreciation and amortization expense increased for the second quarter of 2014 compared to the same period of 2013, primarily due to the U.S. dollar weakening against key foreign currencies. The decrease in depreciation and amortization expense for the first half of 2014 compared to the same period of 2013 was due to certain acquired intangible assets becoming fully amortized during the first quarter of 2013, partly offset by the net impact of the U.S. dollar weakening against key foreign currencies. As a percentage of revenues, these expenses were unchanged at 2.3% for the second quarter and first half of 2014 and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increased to $14.2 million for the second quarter and $29.1 million for the first half of 2014 from $12.5 million for the second quarter and $27.2 million for the first half of 2013, primarily due to the increase in gross margin discussed above, along with the decrease in salaries and benefits and the net impact of the U.S. dollar weakening against key foreign currencies, partly offset by the increase in bad debt expense. As a result, operating margin increased to 7.8% for the second quarter and 7.9% for the first half of 2014 from 7.1% for the second quarter and 7.4% for the first half of 2013. Operating income per transaction increased slightly to $0.05 for the second quarter of 2014 from $0.04 for the same period of 2013, while operating income per transaction was unchanged at $0.05 for the first half of both 2014 and 2013.</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2014 and 2013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2"/>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124,318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176,260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27,943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6,546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51,253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41,481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9,772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995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113,505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203,565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161,435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2,030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14,825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revenues for the second quarter and first half of 2014 compared to the same periods of 2013 was primarily due to an increase in the number of money transfers processed, mostly driven by the launch of our Walmart money transfer product in the U.S. and growth in our agent and correspondent payout networks in non-U.S. markets, the impact of our May 2014 acquisition of EIM (FX) Limited, which operates under the brand name HiFX, and the impact of the euro strengthening against the U.S. dollar.</w:t>
      </w:r>
    </w:p>
    <w:p>
      <w:pPr>
        <w:spacing w:after="0" w:line="7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HiFX facilitates account-to-account foreign exchange solutions, primarily cross-border, cross-currency transactions, for small-to-medium sized businesses and individuals. The majority of HiFX's revenues are earned from foreign currency exchange margin derived from purchasing currencies at wholesale exchange rates and selling currencies to customer at retail exchange rates, which enables customers to make cross-currency payments. In addition, HiFX writes foreign currency forward and cross-currency swap contracts for customers to facilitate future payments.</w:t>
      </w:r>
    </w:p>
    <w:p>
      <w:pPr>
        <w:spacing w:after="0" w:line="6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Revenues per transaction increased to $10.81 for the second quarter and $10.75 for the first half of 2014 from $10.49 for the second quarter and $10.37 for the first half of 2013, primarily due to the euro strengthening against the U.S. dollar and the impact of our acquisition of HiFX, partly offset by the launch of our Walmart money transfer product during the second quarter of 2014, which earns lower revenues per transaction than other money transfer services.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in the second quarter and first half 2014 compared to the same periods of 2013 was primarily due to growth in the number of money transfer transactions processed in both the U.S. and non-U.S. locations and the euro strengthening against the U.S. dollar.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was $61.8 million for the second quarter and $109.8 million for the first half of 2014 compared to $48.4 million for the second quarter and $91.6 million for the first half of 2013. The increase in gross profit was primarily due to growth in the number of money transfer transactions processed in both the U.S. and non-U.S. markets, the impact of our acquisition of HiFX and the euro strengthening against the U.S. dollar. Gross margin decreased to 49.7% for the second quarter and 50.3% for the first half of 2014 from 51.8% for second quarter and 52.0% for the first half of 2013,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salaries and benefits for the second quarter and first half of 2014 compared to the same periods of 2013 was primarily due to the impact of our acquisition of HiFX and an increase in headcount as a result of the launch of our Walmart money transfer product, the development of our online money transfer service and expansion of our operations in foreign markets. As a percentage of revenues, salaries and benefits decreased to 22.5% for the second quarter of 2014 from 22.9% for the same period of 2013, primarily due to the increase in the number of money transfers processed in the U.S, which did not require similar increases in support cost. As a percentage of revenues, these expenses were unchanged at 23.5% for both the first half of 2014 and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 in selling, general and administrative expenses for the second quarter and first half of 2014 compared to the same periods of 2013 was primarily due to an increase in professional fees, including acquisition-related costs, an increase in bad debt expense, the impact of our acquisition of HiFX and the euro strengthening against the U.S. dollar. Also contributing to the increase in selling, general and administrative expenses for the first half of 2014 compared to the same period of 2013 was the write-down of certain customer acquisition costs during the first quarter of 2014.</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percentage of revenues, selling, general and administrative expenses decreased to 14.1% for the second quarter of 2014 from 14.7% for the same period 2013, primarily due to an increase in the number of money transfer processed in the U.S., which did not require similar increases in support costs. As a percentage of revenues, selling, general and administrative expenses increased to 15.4% for the first half of 2014 from 14.8% for the first half of 2013, primarily due to the write-down of certain customer acquisition costs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second quarter and first half of 2014, depreciation and amortization increased compared to the same periods of 2013, primarily due to the amortization of intangible assets related to the acquisition of HiFX. As a percentage of revenues, depreciation and amortization decreased to 4.4% for the second quarter and 4.6% for the first half of 2014 from 4.8% for the second quarter and 5.2% for the first half of 2013, primarily due to the increase in revenues discussed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increase in operating income for the second quarter of 2014 compared to the same period of 2013 was primarily due to the increase in the number of money transfers processed, the impact of our acquisition of HiFX and the euro strengthening against the U.S. dollar, partly offset by an increase in professional fees, bad debt expense and salaries and benefits related to development of our online money transfer service. Operating income decreased slightly for the first half of 2014 compared to the same period of 2013 primarily due to the write-down of certain customer acquisition costs during the first quarter of 2014.</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percentage of revenues, operating margin decreased to 8.7% for the second quarter and 6.8% for the first half of 2014 from 9.4% for the second quarter and 8.4% for the first half of 2013, primarily due to the increase in professional fees, the increase in bad debt expense and the increase in salaries and benefits related to our online money transfer service. Also contributing to the decrease in operating margin for the first half of 2014 compared to the same period of 2013, was the write-down of certain customer acquisition costs discussed above.</w:t>
      </w:r>
    </w:p>
    <w:p>
      <w:pPr>
        <w:spacing w:after="0" w:line="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Operating income per transaction decreased to $0.94 for the second quarter and $0.73 for the first half of 2014 from $0.99 for the second quarter and $0.87 for the first half of 2013, primarily due to the decrease in operating margin discussed above, which was partly offset by the impact of the euro strengthening against the U.S. dollar.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2014 and 2013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20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20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11,302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3,790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2,213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4,006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16,593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3,084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Overall, operating expenses for Corporate Services increased for the second quarter and first half of 2014 compared to the same periods of 2013, primarily due to an increase in acquisition-related costs, the settlement of a dispute related to a prior period potential acquisition and an increase in bonus expenses, resulting from the Company's improved performance.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28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8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200"/>
              <w:spacing w:after="0"/>
              <w:rPr>
                <w:sz w:val="20"/>
                <w:szCs w:val="20"/>
                <w:color w:val="auto"/>
              </w:rPr>
            </w:pPr>
            <w:r>
              <w:rPr>
                <w:rFonts w:ascii="Arial" w:cs="Arial" w:eastAsia="Arial" w:hAnsi="Arial"/>
                <w:sz w:val="18"/>
                <w:szCs w:val="18"/>
                <w:color w:val="auto"/>
              </w:rPr>
              <w:t>(loss) gain, net</w:t>
            </w:r>
          </w:p>
        </w:tc>
        <w:tc>
          <w:tcPr>
            <w:tcW w:w="94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0"/>
                <w:szCs w:val="20"/>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940" w:type="dxa"/>
            <w:vAlign w:val="bottom"/>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losses</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(4,933)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22"/>
                <w:szCs w:val="22"/>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(7,658)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2"/>
                <w:szCs w:val="22"/>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increase in interest income for the second quarter and first half of 2014 compared to the same periods of 2013 was primarily due to an increase in interest earned on overnight deposits in Brazil and on customer funds held on deposit related to money transfer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decrease in interest expense for the second quarter and first half of 2014 compared to the same periods of 2013 was the result of lower average borrowings outstanding under our revolving credit facility during the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which are not considered a long-term investment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recorded a net foreign currency exchange loss of $3.1 million and $4.4 million for the second quarter and first half of 2014, respectively, and a net foreign currency exchange gain of $1.5 million and loss of $0.2 million for the second quarter and first half of 2013, respectively. These realized and unrealized net foreign currency exchange gains and losses primarily reflect the fluctuation in the value of the U.S. dollar against the currencies of the countries in which we operate during the respective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Company's effective income tax rates were 29.8% and 32.3% for the second quarter of 2014 and 2013, respectively, and 28.4% and 28.1% for the first half of 2014 and 2013, respectively. The decrease in the effective income tax rate for the second quarter of 2014 compared to the same period of 2013 was due to favorable changes in valuation allowances and an increase in the portion of earnings generated in lower income tax jurisdictions in the second quarter of 2014. There was no material change in the effective income tax rate for the first half of 2014 compared to the same period of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attributable to Euronet was $20.5 million for the second quarter and $36.5 million for the first half of 2014 compared to $18.1 million for the second quarter and $30.1 million for the first half of 2013. As more fully discussed above, the increase in net income for the first half of 2014 compared to the same period of 2013 was primarily due to an increase in operating income of $11.6 million, an increase in other non-operating income items of $0.8 million and a decrease in interest expense of $1.0 million. These increases to net income were partly offset by an increase in net foreign currency exchange loss of $4.1 million, an increase in income tax expense of $2.6 million and a decrease in income from unconsolidated affiliates of $0.3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2014 and December 31, 2013, we had working capital, which is calculated as the difference between total current assets and total current liabilities, of $186.6 million and $108.4 million, respectively. Our ratio of current assets to current liabilities at June 30, 2014 and December 31, 2013 was 1.24 and 1.15, respectively.</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require substantial working capital to finance operations. In the Money Transfer Segment, we fund the payout of the majority of Ria's consumer-to-consumer money transfers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June 30, 2014, working capital in the Money Transfer Segment was $75.8 million. We expect that working capital needs will increase as we continue to expand this business.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June 30, 2014, we had approximately $122 million of our own cash in use or designated for use in our ATM network, which is recorded in cash and cash equivalents on Euronet's Consolidated Balance Sheet.</w:t>
      </w:r>
    </w:p>
    <w:p>
      <w:pPr>
        <w:spacing w:after="0" w:line="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$408.4 million at June 30, 2014, of which $353.8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 month periods ended June 30, 2014 and 2013 (in thousands):</w:t>
      </w:r>
    </w:p>
    <w:p>
      <w:pPr>
        <w:spacing w:after="0" w:line="117"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103,124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51,222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209,378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198,544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provided by operating activities were $103.1 million for the first half of 2014 compared to $51.2 million for the first half of 2013. The increase is primarily due to improved operating results and fluctuations in working capital mainly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Cash flows used in investing activities were $115.4 million for the first half of 2014 compared to $48.8 million for the first half of 2013. Cash used for acquisitions was $83.4 million for the first half of 2014 compared to $30.8 million for the first half of 2013. During the first half of 2014, we used $29.3 million for purchases of property and equipment compared to $16.1 million first half of 2013. Cash used for software development and other investing activities totaled $2.7 million for the first half of 2014 compared to $1.9 million for the first half of 2013.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Cash flows provided by financing activities were $209.4 million for the first half of 2014 compared to cash flows used in financing activities of $9.5 million for the first half of 2013. Our financing activities for the first half of 2014 consisted of net borrowings of $204.0 million compared to net repayments of debt obligations of $5.0 million for the first half of 2013. The increase in net borrowings during the first half of 2014 compared to the same period of 2013 was the result of cash used from borrowings under our revolving credit facility to fund the acquisitions of EIM (FX) Limited and TBK (FM) Limited and an increase in ATM network cash requirements. Additionally, we had $3.6 million of net borrowings from other short-term debt obligations and $9.0 million of proceeds from the amendment of Term Loan A during the first half of 2014. We used $1.2 million and $1.4 million during the first half of 2014 and 2013, respectively, for capital lease repayments. We used $7.9 million during the first half of 2013 for the acquisition of subsidiary shares from a holder of noncontrolling interests. Further, we received proceeds of $5.1 million and $4.9 million during the first half of 2014 and 2013, respectively, for the issuance of common stock in connection with our Stock Incentive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2014, we had a $600 million senior secured credit facility (the "Credit Facility") consisting of a $590 million revolving credit facility, a $10 million India revolving credit facility and an $75 million term loan (which had been reduced to $74.1 million through principal amortization payments) (Term Loan A"). The revolving credit facility allows for borrowings in U.S. dollars, euro, British pound sterling,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252525"/>
        </w:rPr>
        <w:t xml:space="preserve">On April 9, 2014, we amended the Credit Agreement to, among other things, </w:t>
      </w:r>
      <w:r>
        <w:rPr>
          <w:rFonts w:ascii="Arial" w:cs="Arial" w:eastAsia="Arial" w:hAnsi="Arial"/>
          <w:sz w:val="18"/>
          <w:szCs w:val="18"/>
          <w:color w:val="000000"/>
        </w:rPr>
        <w:t>(i) increase Term Loan A from $66 million to $75 million, (ii) increase the</w:t>
      </w:r>
      <w:r>
        <w:rPr>
          <w:rFonts w:ascii="Arial" w:cs="Arial" w:eastAsia="Arial" w:hAnsi="Arial"/>
          <w:sz w:val="18"/>
          <w:szCs w:val="18"/>
          <w:color w:val="252525"/>
        </w:rPr>
        <w:t xml:space="preserve"> </w:t>
      </w:r>
      <w:r>
        <w:rPr>
          <w:rFonts w:ascii="Arial" w:cs="Arial" w:eastAsia="Arial" w:hAnsi="Arial"/>
          <w:sz w:val="18"/>
          <w:szCs w:val="18"/>
          <w:color w:val="000000"/>
        </w:rPr>
        <w:t>aggregate credit commitments under the Company’s revolving credit facility from $400 million to $600 million, (iii) reduce the margin over the London Inter-Bank Offered Rate ("LIBOR") and base rate by 12.5 basis points, and (iv) extend the expiration date of the Credit Agreement from August 18, 2016 to April 9, 2019.</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2014,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2014, we had borrowings of $74.1 million outstanding under Term Loan A. We had $327.0 million of borrowings and $51.3 million of stand-by letters of credit outstanding under the revolving credit facility as of June 30, 2014. The remaining $221.7 million under the revolving credit facility was available for borrowing. As of June 30, 2014, our weighted average interest rates under the revolving credit facility and Term Loan A were 1.71% and 1.52%, respectively, excluding amortization of deferred financing costs.</w:t>
      </w:r>
    </w:p>
    <w:p>
      <w:pPr>
        <w:spacing w:after="0" w:line="7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June 30, 2014 were primarily comprised of $4.2 million of payments due in the next twelve months under Term Loan A. Certain of our subsidiaries also have available credit lines and overdraft facilities to supplement short-term working capital requirements, when necessary, and there was $6.0 million outstanding under these facilities at June 30,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2014 were $29.8 million. These capital expenditures were made primarily for the purchase of ATMs in Poland and India, as well as for office, data center and company store computer equipment and software, and POS terminals for the epay Segment. Total capital expenditures for 2014 are currently estimated to range from approximately $50.0 million to $60.0 million.</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may take place in the open market or in privately negotiated transactions, including derivative transactions, and may be made under a Rule 10b5-1 plan. There were no repurchases of common stock under the 2013 Program during the second quarter of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20, 2014, we completed the acquisition of all of the capital stock of EIM (FX) Limited and TBK (FM) Limited, each a United Kingdom limited company, which operate under the brand names HiFX and HiFM, respectively. Under the terms of the Purchase Agreement, the sellers received purchase consideration (the "Purchase Consideration") of £111 million in cash ($186.7 million)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EFT and money transfer networks, resulting in lower revenues.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2014, there were no material changes from the disclosure in our Annual Report on Form 10-K for the year ended December 31, 2013. To date, we are not aware of any significant claims made by the indemnified parties or parties to whom we have provided guarantees on behalf of our subsidiaries and, accordingly, no liabilities have been recorded as of June 30, 2014.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2014, our future contractual obligations have not changed significantly from the amounts reported within our 2013 Form 10-K with the exception of our amendment to Credit Facility. See the discussion under "Liquidity and Capital Resources - Other Sources of Capital - Credit Facility" above for additional information.</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jc w:val="both"/>
        <w:ind w:right="160"/>
        <w:spacing w:after="0" w:line="259" w:lineRule="auto"/>
        <w:rPr>
          <w:sz w:val="20"/>
          <w:szCs w:val="20"/>
          <w:color w:val="auto"/>
        </w:rPr>
      </w:pPr>
      <w:r>
        <w:rPr>
          <w:rFonts w:ascii="Arial" w:cs="Arial" w:eastAsia="Arial" w:hAnsi="Arial"/>
          <w:sz w:val="18"/>
          <w:szCs w:val="18"/>
          <w:color w:val="auto"/>
        </w:rPr>
        <w:t>As of June 30, 2014, our total debt outstanding was $411.2 million. Of this amount, $407.1 million, or 99%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$6.2 million.</w:t>
      </w:r>
    </w:p>
    <w:p>
      <w:pPr>
        <w:spacing w:after="0" w:line="7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The remaining $4.1 million, or 1% of our total debt obligations, relates to capitalized leases with fixed payment and interest terms that expire between 2014 and 2018.</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first half of 2014, 75%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June 30, 2014,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$75 million to $80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customers at retail exchange rates. We enter into foreign currency forwards and cross-currency swaps, to minimize exposure related to fluctuations in foreign currency exchange rates. As of June 30, 2014, we had foreign currency derivative contracts outstanding with a notional value of $937 million, primarily in Australian dollars, British pounds, Canadian dollars, euros and Mexican pesos, that were not designated as hedges and mature within the next twelve months. See Note 8, Derivative Instruments and Hedging Activities to our Consolidated Financial Statements for additional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2013,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Except as set forth below, there have been no material changes from the risk factors previously disclosed in the Company's Annual Report on Form 10-K for the year ended December 31, 2013 as filed with the SEC.</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rely on third party financial institutions to provide us with the majority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1" w:lineRule="exact"/>
        <w:rPr>
          <w:sz w:val="20"/>
          <w:szCs w:val="20"/>
          <w:color w:val="auto"/>
        </w:rPr>
      </w:pPr>
    </w:p>
    <w:p>
      <w:pPr>
        <w:ind w:right="80" w:firstLine="230"/>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June 30, 2014, the amount of cash used in our ATM networks under these supply agreements was approximately $428 million. Before the cash is disbursed to ATM customers, beneficial ownership of the cash is generally retained by the cash providers, and we have no access or proprietary rights to the cash.</w:t>
      </w:r>
    </w:p>
    <w:p>
      <w:pPr>
        <w:spacing w:after="0" w:line="193" w:lineRule="exact"/>
        <w:rPr>
          <w:sz w:val="20"/>
          <w:szCs w:val="20"/>
          <w:color w:val="auto"/>
        </w:rPr>
      </w:pPr>
    </w:p>
    <w:p>
      <w:pPr>
        <w:ind w:right="440" w:firstLine="230"/>
        <w:spacing w:after="0" w:line="288" w:lineRule="auto"/>
        <w:rPr>
          <w:sz w:val="20"/>
          <w:szCs w:val="20"/>
          <w:color w:val="auto"/>
        </w:rPr>
      </w:pPr>
      <w:r>
        <w:rPr>
          <w:rFonts w:ascii="Arial" w:cs="Arial" w:eastAsia="Arial" w:hAnsi="Arial"/>
          <w:sz w:val="16"/>
          <w:szCs w:val="16"/>
          <w:color w:val="auto"/>
        </w:rPr>
        <w:t>Our existing agreements with cash providers are generally multi-year agreements that expire at various times over the next few years.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 Other key terms of</w:t>
      </w:r>
    </w:p>
    <w:p>
      <w:pPr>
        <w:ind w:right="100"/>
        <w:spacing w:after="0" w:line="255" w:lineRule="auto"/>
        <w:rPr>
          <w:sz w:val="20"/>
          <w:szCs w:val="20"/>
          <w:color w:val="auto"/>
        </w:rPr>
      </w:pPr>
      <w:r>
        <w:rPr>
          <w:rFonts w:ascii="Arial" w:cs="Arial" w:eastAsia="Arial" w:hAnsi="Arial"/>
          <w:sz w:val="18"/>
          <w:szCs w:val="18"/>
          <w:color w:val="auto"/>
        </w:rPr>
        <w:t>our agreements include the requirement that the cash providers provide written notice of their intent not to renew. Such notice provisions typically require a minimum notice period prior to the actual termination date. If such notice is not received, the agreements will typically automatically renew for an additional period.</w:t>
      </w:r>
    </w:p>
    <w:p>
      <w:pPr>
        <w:spacing w:after="0" w:line="190" w:lineRule="exact"/>
        <w:rPr>
          <w:sz w:val="20"/>
          <w:szCs w:val="20"/>
          <w:color w:val="auto"/>
        </w:rPr>
      </w:pPr>
    </w:p>
    <w:p>
      <w:pPr>
        <w:ind w:right="140" w:firstLine="230"/>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information with respect to shares of Company's common stock that were purchased during the three months ended June 30,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58"/>
        </w:trPr>
        <w:tc>
          <w:tcPr>
            <w:tcW w:w="4040" w:type="dxa"/>
            <w:vAlign w:val="bottom"/>
            <w:gridSpan w:val="3"/>
            <w:vMerge w:val="continue"/>
          </w:tcPr>
          <w:p>
            <w:pPr>
              <w:spacing w:after="0"/>
              <w:rPr>
                <w:sz w:val="13"/>
                <w:szCs w:val="13"/>
                <w:color w:val="auto"/>
              </w:rPr>
            </w:pPr>
          </w:p>
        </w:tc>
        <w:tc>
          <w:tcPr>
            <w:tcW w:w="1820" w:type="dxa"/>
            <w:vAlign w:val="bottom"/>
          </w:tcPr>
          <w:p>
            <w:pPr>
              <w:jc w:val="right"/>
              <w:ind w:right="496"/>
              <w:spacing w:after="0" w:line="158"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Share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April 1 - April 30, 2014</w:t>
            </w:r>
          </w:p>
        </w:tc>
        <w:tc>
          <w:tcPr>
            <w:tcW w:w="1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May 1 - May 31, 2014</w:t>
            </w:r>
          </w:p>
        </w:tc>
        <w:tc>
          <w:tcPr>
            <w:tcW w:w="1820" w:type="dxa"/>
            <w:vAlign w:val="bottom"/>
          </w:tcPr>
          <w:p>
            <w:pPr>
              <w:jc w:val="right"/>
              <w:spacing w:after="0"/>
              <w:rPr>
                <w:sz w:val="20"/>
                <w:szCs w:val="20"/>
                <w:color w:val="auto"/>
              </w:rPr>
            </w:pPr>
            <w:r>
              <w:rPr>
                <w:rFonts w:ascii="Arial" w:cs="Arial" w:eastAsia="Arial" w:hAnsi="Arial"/>
                <w:sz w:val="18"/>
                <w:szCs w:val="18"/>
                <w:color w:val="auto"/>
              </w:rPr>
              <w:t>4,714(1)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2014 - June 30, 2014</w:t>
            </w:r>
          </w:p>
        </w:tc>
        <w:tc>
          <w:tcPr>
            <w:tcW w:w="1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rPr>
              <w:t>4,714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shares surrendered during May 2014 by a participant in the Euronet Stock Incentive Plan in payment of the exercise price of stock options.</w:t>
      </w:r>
    </w:p>
    <w:p>
      <w:pPr>
        <w:spacing w:after="0" w:line="86" w:lineRule="exact"/>
        <w:rPr>
          <w:rFonts w:ascii="Arial" w:cs="Arial" w:eastAsia="Arial" w:hAnsi="Arial"/>
          <w:sz w:val="16"/>
          <w:szCs w:val="16"/>
          <w:color w:val="auto"/>
        </w:rPr>
      </w:pPr>
    </w:p>
    <w:p>
      <w:pPr>
        <w:ind w:right="60" w:firstLine="8"/>
        <w:spacing w:after="0" w:line="259"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2013, the Board of Directors authorized a stock repurchase program allowing Euronet to repurchase up to $100 million in value or 5 million shares of its common stock through September 19, 2015. Repurchases may take place in the open market or in privately negotiated transactions, including derivative transactions, and may be made under a Rule 10b5-1 plan. There were no repurchases of common stock under this program during the second quarter of 2014.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Amendment No. 1 dated April 9, 2014, to the Amended and Restated Credit Agreement dated as of August 18, 2011 among Euronet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Worldwide, Inc., and certain Subsidiaries and Affiliates, as Borrowers, certain Subsidiaries and Affiliates as Guarantors, the Lenders, Bank</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9"/>
              </w:rPr>
              <w:t>of America, N.A., as Administrative Agent and Collateral Agent, U.S. Bank National Association, BMO Capital Markets and BBVA</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Compass Bank, as Syndication Agent and Wells Fargo as Documentation Agent.as Syndication Agent and Wells Fargo as Documentation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Agent (filed as Exhibit 10.1 to to the Company's Quarterly Report on Form 10-Q filed on May 2, 2014 (File No. 001-31648 ) and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2014,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2014 (unaudited) and December 31, 2013,</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0"/>
              </w:rPr>
              <w:t>(ii) Consolidated Statements of Income (unaudited) for the three and six months ended June 30, 2014 and 2013, (iii) Consolidated Statements</w:t>
            </w:r>
          </w:p>
        </w:tc>
      </w:tr>
    </w:tbl>
    <w:p>
      <w:pPr>
        <w:jc w:val="both"/>
        <w:ind w:left="1180" w:right="380"/>
        <w:spacing w:after="0" w:line="290" w:lineRule="auto"/>
        <w:rPr>
          <w:sz w:val="20"/>
          <w:szCs w:val="20"/>
          <w:color w:val="auto"/>
        </w:rPr>
      </w:pPr>
      <w:r>
        <w:rPr>
          <w:rFonts w:ascii="Arial" w:cs="Arial" w:eastAsia="Arial" w:hAnsi="Arial"/>
          <w:sz w:val="16"/>
          <w:szCs w:val="16"/>
          <w:color w:val="auto"/>
        </w:rPr>
        <w:t>of Comprehensive Income (unaudited) for the three and six months ended June 30, 2014 and 2013, (iv) Consolidated Statements of Cash Flows (unaudited) for the six months ended June 30, 2014 and 2013, and (v) Notes to the Unaudited Consolidated Financial Statements.</w:t>
      </w: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52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8"/>
              </w:rPr>
              <w:t>Six Months Ended</w:t>
            </w:r>
          </w:p>
        </w:tc>
      </w:tr>
      <w:tr>
        <w:trPr>
          <w:trHeight w:val="192"/>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2013</w:t>
            </w:r>
          </w:p>
        </w:tc>
      </w:tr>
      <w:tr>
        <w:trPr>
          <w:trHeight w:val="22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26,690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41,782</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10,455</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33,556</w:t>
            </w: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32,158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58,936</w:t>
            </w: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52,563</w:t>
            </w:r>
          </w:p>
        </w:tc>
      </w:tr>
      <w:tr>
        <w:trPr>
          <w:trHeight w:val="23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2,575</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10,455</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ectPr>
          <w:pgSz w:w="11900" w:h="16838" w:orient="portrait"/>
          <w:cols w:equalWidth="0" w:num="1">
            <w:col w:w="10280"/>
          </w:cols>
          <w:pgMar w:left="1380" w:top="3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2019-12-06T16:23:54Z</dcterms:created>
  <dcterms:modified xsi:type="dcterms:W3CDTF">2019-12-06T16:23:54Z</dcterms:modified>
</cp:coreProperties>
</file>