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86" w:lineRule="exact"/>
        <w:rPr>
          <w:sz w:val="24"/>
          <w:szCs w:val="24"/>
          <w:color w:val="auto"/>
        </w:rPr>
      </w:pPr>
    </w:p>
    <w:p>
      <w:pPr>
        <w:ind w:left="4000" w:right="2500" w:hanging="3699"/>
        <w:spacing w:after="0" w:line="338" w:lineRule="auto"/>
        <w:tabs>
          <w:tab w:leader="none" w:pos="53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520" w:hanging="219"/>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TRANSITION REPORT PURSUANT TO SECTION </w:t>
      </w:r>
      <w:r>
        <w:rPr>
          <w:rFonts w:ascii="Times New Roman" w:cs="Times New Roman" w:eastAsia="Times New Roman" w:hAnsi="Times New Roman"/>
          <w:sz w:val="17"/>
          <w:szCs w:val="17"/>
          <w:b w:val="1"/>
          <w:bCs w:val="1"/>
          <w:color w:val="auto"/>
        </w:rPr>
        <w:t>13 OR 15(d) OF THE SECURITIES EXCHANGE ACT OF 1934</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1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51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43"/>
        </w:trPr>
        <w:tc>
          <w:tcPr>
            <w:tcW w:w="1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500" w:type="dxa"/>
            <w:vAlign w:val="bottom"/>
            <w:gridSpan w:val="10"/>
          </w:tcPr>
          <w:p>
            <w:pPr>
              <w:jc w:val="center"/>
              <w:ind w:right="3780"/>
              <w:spacing w:after="0"/>
              <w:rPr>
                <w:sz w:val="20"/>
                <w:szCs w:val="20"/>
                <w:color w:val="auto"/>
              </w:rPr>
            </w:pPr>
            <w:r>
              <w:rPr>
                <w:rFonts w:ascii="Times New Roman" w:cs="Times New Roman" w:eastAsia="Times New Roman" w:hAnsi="Times New Roman"/>
                <w:sz w:val="16"/>
                <w:szCs w:val="16"/>
                <w:b w:val="1"/>
                <w:bCs w:val="1"/>
                <w:color w:val="auto"/>
              </w:rPr>
              <w:t>Commission File Number: 001-31648</w:t>
            </w:r>
          </w:p>
        </w:tc>
      </w:tr>
      <w:tr>
        <w:trPr>
          <w:trHeight w:val="432"/>
        </w:trPr>
        <w:tc>
          <w:tcPr>
            <w:tcW w:w="1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120" w:type="dxa"/>
            <w:vAlign w:val="bottom"/>
            <w:gridSpan w:val="11"/>
          </w:tcPr>
          <w:p>
            <w:pPr>
              <w:jc w:val="center"/>
              <w:ind w:right="3160"/>
              <w:spacing w:after="0"/>
              <w:rPr>
                <w:sz w:val="20"/>
                <w:szCs w:val="20"/>
                <w:color w:val="auto"/>
              </w:rPr>
            </w:pPr>
            <w:r>
              <w:rPr>
                <w:rFonts w:ascii="Times New Roman" w:cs="Times New Roman" w:eastAsia="Times New Roman" w:hAnsi="Times New Roman"/>
                <w:sz w:val="29"/>
                <w:szCs w:val="29"/>
                <w:b w:val="1"/>
                <w:bCs w:val="1"/>
                <w:color w:val="auto"/>
                <w:w w:val="99"/>
              </w:rPr>
              <w:t>EURONET WORLDWIDE, INC.</w:t>
            </w:r>
          </w:p>
        </w:tc>
      </w:tr>
      <w:tr>
        <w:trPr>
          <w:trHeight w:val="284"/>
        </w:trPr>
        <w:tc>
          <w:tcPr>
            <w:tcW w:w="1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00" w:type="dxa"/>
            <w:vAlign w:val="bottom"/>
            <w:gridSpan w:val="10"/>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97"/>
        </w:trPr>
        <w:tc>
          <w:tcPr>
            <w:tcW w:w="194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gridSpan w:val="3"/>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74-2806888</w:t>
            </w:r>
          </w:p>
        </w:tc>
        <w:tc>
          <w:tcPr>
            <w:tcW w:w="1040" w:type="dxa"/>
            <w:vAlign w:val="bottom"/>
          </w:tcPr>
          <w:p>
            <w:pPr>
              <w:spacing w:after="0"/>
              <w:rPr>
                <w:sz w:val="24"/>
                <w:szCs w:val="24"/>
                <w:color w:val="auto"/>
              </w:rPr>
            </w:pPr>
          </w:p>
        </w:tc>
      </w:tr>
      <w:tr>
        <w:trPr>
          <w:trHeight w:val="257"/>
        </w:trPr>
        <w:tc>
          <w:tcPr>
            <w:tcW w:w="6140" w:type="dxa"/>
            <w:vAlign w:val="bottom"/>
            <w:gridSpan w:val="9"/>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80" w:type="dxa"/>
            <w:vAlign w:val="bottom"/>
          </w:tcPr>
          <w:p>
            <w:pPr>
              <w:spacing w:after="0"/>
              <w:rPr>
                <w:sz w:val="22"/>
                <w:szCs w:val="22"/>
                <w:color w:val="auto"/>
              </w:rPr>
            </w:pPr>
          </w:p>
        </w:tc>
        <w:tc>
          <w:tcPr>
            <w:tcW w:w="504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57"/>
        </w:trPr>
        <w:tc>
          <w:tcPr>
            <w:tcW w:w="6140" w:type="dxa"/>
            <w:vAlign w:val="bottom"/>
            <w:gridSpan w:val="9"/>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11400 Tomahawk Creek Parkway, Suite 300</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Leawood, Kansas</w:t>
            </w: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80" w:type="dxa"/>
            <w:vAlign w:val="bottom"/>
            <w:gridSpan w:val="3"/>
          </w:tcPr>
          <w:p>
            <w:pPr>
              <w:jc w:val="right"/>
              <w:ind w:right="1499"/>
              <w:spacing w:after="0"/>
              <w:rPr>
                <w:sz w:val="20"/>
                <w:szCs w:val="20"/>
                <w:color w:val="auto"/>
              </w:rPr>
            </w:pPr>
            <w:r>
              <w:rPr>
                <w:rFonts w:ascii="Times New Roman" w:cs="Times New Roman" w:eastAsia="Times New Roman" w:hAnsi="Times New Roman"/>
                <w:sz w:val="16"/>
                <w:szCs w:val="16"/>
                <w:b w:val="1"/>
                <w:bCs w:val="1"/>
                <w:color w:val="auto"/>
              </w:rPr>
              <w:t>66211</w:t>
            </w:r>
          </w:p>
        </w:tc>
        <w:tc>
          <w:tcPr>
            <w:tcW w:w="1040" w:type="dxa"/>
            <w:vAlign w:val="bottom"/>
          </w:tcPr>
          <w:p>
            <w:pPr>
              <w:spacing w:after="0"/>
              <w:rPr>
                <w:sz w:val="22"/>
                <w:szCs w:val="22"/>
                <w:color w:val="auto"/>
              </w:rPr>
            </w:pPr>
          </w:p>
        </w:tc>
      </w:tr>
      <w:tr>
        <w:trPr>
          <w:trHeight w:val="256"/>
        </w:trPr>
        <w:tc>
          <w:tcPr>
            <w:tcW w:w="6140" w:type="dxa"/>
            <w:vAlign w:val="bottom"/>
            <w:gridSpan w:val="9"/>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40" w:type="dxa"/>
            <w:vAlign w:val="bottom"/>
            <w:gridSpan w:val="2"/>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43"/>
        </w:trPr>
        <w:tc>
          <w:tcPr>
            <w:tcW w:w="1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380" w:type="dxa"/>
            <w:vAlign w:val="bottom"/>
            <w:gridSpan w:val="6"/>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rPr>
              <w:t>(913) 327-4200</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19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500" w:type="dxa"/>
            <w:vAlign w:val="bottom"/>
            <w:gridSpan w:val="10"/>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r>
        <w:trPr>
          <w:trHeight w:val="486"/>
        </w:trPr>
        <w:tc>
          <w:tcPr>
            <w:tcW w:w="1940" w:type="dxa"/>
            <w:vAlign w:val="bottom"/>
          </w:tcPr>
          <w:p>
            <w:pPr>
              <w:spacing w:after="0"/>
              <w:rPr>
                <w:sz w:val="24"/>
                <w:szCs w:val="24"/>
                <w:color w:val="auto"/>
              </w:rPr>
            </w:pPr>
          </w:p>
        </w:tc>
        <w:tc>
          <w:tcPr>
            <w:tcW w:w="9320" w:type="dxa"/>
            <w:vAlign w:val="bottom"/>
            <w:gridSpan w:val="12"/>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tc>
      </w:tr>
      <w:tr>
        <w:trPr>
          <w:trHeight w:val="216"/>
        </w:trPr>
        <w:tc>
          <w:tcPr>
            <w:tcW w:w="3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5"/>
        </w:trPr>
        <w:tc>
          <w:tcPr>
            <w:tcW w:w="1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2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3"/>
        </w:trPr>
        <w:tc>
          <w:tcPr>
            <w:tcW w:w="3760" w:type="dxa"/>
            <w:vAlign w:val="bottom"/>
            <w:gridSpan w:val="3"/>
          </w:tcPr>
          <w:p>
            <w:pPr>
              <w:jc w:val="center"/>
              <w:ind w:left="1239"/>
              <w:spacing w:after="0" w:line="183" w:lineRule="exact"/>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Symbol(s)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1040" w:type="dxa"/>
            <w:vAlign w:val="bottom"/>
          </w:tcPr>
          <w:p>
            <w:pPr>
              <w:spacing w:after="0"/>
              <w:rPr>
                <w:sz w:val="15"/>
                <w:szCs w:val="15"/>
                <w:color w:val="auto"/>
              </w:rPr>
            </w:pPr>
          </w:p>
        </w:tc>
      </w:tr>
      <w:tr>
        <w:trPr>
          <w:trHeight w:val="20"/>
        </w:trPr>
        <w:tc>
          <w:tcPr>
            <w:tcW w:w="19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4"/>
        </w:trPr>
        <w:tc>
          <w:tcPr>
            <w:tcW w:w="1940" w:type="dxa"/>
            <w:vAlign w:val="bottom"/>
            <w:tcBorders>
              <w:left w:val="single" w:sz="8" w:color="auto"/>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456"/>
              <w:spacing w:after="0"/>
              <w:rPr>
                <w:sz w:val="20"/>
                <w:szCs w:val="20"/>
                <w:color w:val="auto"/>
              </w:rPr>
            </w:pPr>
            <w:r>
              <w:rPr>
                <w:rFonts w:ascii="Times New Roman" w:cs="Times New Roman" w:eastAsia="Times New Roman" w:hAnsi="Times New Roman"/>
                <w:sz w:val="16"/>
                <w:szCs w:val="16"/>
                <w:color w:val="auto"/>
              </w:rPr>
              <w:t>Common Stock</w:t>
            </w:r>
          </w:p>
        </w:tc>
        <w:tc>
          <w:tcPr>
            <w:tcW w:w="13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EEFT</w:t>
            </w:r>
          </w:p>
        </w:tc>
        <w:tc>
          <w:tcPr>
            <w:tcW w:w="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50"/>
        </w:trPr>
        <w:tc>
          <w:tcPr>
            <w:tcW w:w="3760" w:type="dxa"/>
            <w:vAlign w:val="bottom"/>
            <w:tcBorders>
              <w:left w:val="single" w:sz="8" w:color="auto"/>
              <w:bottom w:val="single" w:sz="8" w:color="auto"/>
            </w:tcBorders>
            <w:gridSpan w:val="3"/>
          </w:tcPr>
          <w:p>
            <w:pPr>
              <w:ind w:left="1580"/>
              <w:spacing w:after="0"/>
              <w:rPr>
                <w:sz w:val="20"/>
                <w:szCs w:val="20"/>
                <w:color w:val="auto"/>
              </w:rPr>
            </w:pPr>
            <w:r>
              <w:rPr>
                <w:rFonts w:ascii="Times New Roman" w:cs="Times New Roman" w:eastAsia="Times New Roman" w:hAnsi="Times New Roman"/>
                <w:sz w:val="16"/>
                <w:szCs w:val="16"/>
                <w:color w:val="auto"/>
              </w:rPr>
              <w:t>1.375% Senior Notes due 2026</w:t>
            </w:r>
          </w:p>
        </w:tc>
        <w:tc>
          <w:tcPr>
            <w:tcW w:w="134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EEFT26</w:t>
            </w:r>
          </w:p>
        </w:tc>
        <w:tc>
          <w:tcPr>
            <w:tcW w:w="8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40" w:type="dxa"/>
            <w:vAlign w:val="bottom"/>
            <w:tcBorders>
              <w:bottom w:val="single" w:sz="8" w:color="auto"/>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Market</w:t>
            </w:r>
          </w:p>
        </w:tc>
      </w:tr>
    </w:tbl>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ind w:right="26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6" w:lineRule="exact"/>
        <w:rPr>
          <w:sz w:val="24"/>
          <w:szCs w:val="24"/>
          <w:color w:val="auto"/>
        </w:rPr>
      </w:pPr>
    </w:p>
    <w:tbl>
      <w:tblPr>
        <w:tblLayout w:type="fixed"/>
        <w:tblInd w:w="40" w:type="dxa"/>
        <w:tblCellMar>
          <w:top w:w="0" w:type="dxa"/>
          <w:left w:w="0" w:type="dxa"/>
          <w:bottom w:w="0" w:type="dxa"/>
          <w:right w:w="0" w:type="dxa"/>
        </w:tblCellMar>
      </w:tblP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20" w:type="dxa"/>
            <w:vAlign w:val="bottom"/>
          </w:tcPr>
          <w:p>
            <w:pPr>
              <w:ind w:left="520"/>
              <w:spacing w:after="0"/>
              <w:rPr>
                <w:sz w:val="20"/>
                <w:szCs w:val="20"/>
                <w:color w:val="auto"/>
              </w:rPr>
            </w:pPr>
            <w:r>
              <w:rPr>
                <w:rFonts w:ascii="Wingdings" w:cs="Wingdings" w:eastAsia="Wingdings" w:hAnsi="Wingdings"/>
                <w:sz w:val="16"/>
                <w:szCs w:val="16"/>
                <w:b w:val="1"/>
                <w:bCs w:val="1"/>
                <w:color w:val="auto"/>
              </w:rPr>
              <w:t></w:t>
            </w:r>
          </w:p>
        </w:tc>
        <w:tc>
          <w:tcPr>
            <w:tcW w:w="480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1040"/>
              <w:spacing w:after="0"/>
              <w:rPr>
                <w:sz w:val="20"/>
                <w:szCs w:val="20"/>
                <w:color w:val="auto"/>
              </w:rPr>
            </w:pPr>
            <w:r>
              <w:rPr>
                <w:rFonts w:ascii="Wingdings" w:cs="Wingdings" w:eastAsia="Wingdings" w:hAnsi="Wingdings"/>
                <w:sz w:val="16"/>
                <w:szCs w:val="16"/>
                <w:b w:val="1"/>
                <w:bCs w:val="1"/>
                <w:color w:val="auto"/>
                <w:w w:val="97"/>
              </w:rPr>
              <w:t></w:t>
            </w:r>
          </w:p>
        </w:tc>
      </w:tr>
      <w:tr>
        <w:trPr>
          <w:trHeight w:val="271"/>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20" w:type="dxa"/>
            <w:vAlign w:val="bottom"/>
          </w:tcPr>
          <w:p>
            <w:pPr>
              <w:ind w:left="520"/>
              <w:spacing w:after="0"/>
              <w:rPr>
                <w:sz w:val="20"/>
                <w:szCs w:val="20"/>
                <w:color w:val="auto"/>
              </w:rPr>
            </w:pPr>
            <w:r>
              <w:rPr>
                <w:rFonts w:ascii="Wingdings" w:cs="Wingdings" w:eastAsia="Wingdings" w:hAnsi="Wingdings"/>
                <w:sz w:val="16"/>
                <w:szCs w:val="16"/>
                <w:b w:val="1"/>
                <w:bCs w:val="1"/>
                <w:color w:val="auto"/>
              </w:rPr>
              <w:t></w:t>
            </w:r>
          </w:p>
        </w:tc>
        <w:tc>
          <w:tcPr>
            <w:tcW w:w="480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 w:lineRule="exact"/>
        <w:rPr>
          <w:sz w:val="24"/>
          <w:szCs w:val="24"/>
          <w:color w:val="auto"/>
        </w:rPr>
      </w:pPr>
    </w:p>
    <w:p>
      <w:pPr>
        <w:ind w:left="40" w:right="580"/>
        <w:spacing w:after="0" w:line="27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On May 5, 2026, Euronet Worldwide, Inc. had 38,075,094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436245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40" w:type="dxa"/>
            <w:vAlign w:val="bottom"/>
            <w:gridSpan w:val="9"/>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5"/>
        </w:trPr>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40" w:type="dxa"/>
            <w:vAlign w:val="bottom"/>
            <w:gridSpan w:val="9"/>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5"/>
        </w:trPr>
        <w:tc>
          <w:tcPr>
            <w:tcW w:w="10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96"/>
        </w:trPr>
        <w:tc>
          <w:tcPr>
            <w:tcW w:w="10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36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96"/>
        </w:trPr>
        <w:tc>
          <w:tcPr>
            <w:tcW w:w="2980" w:type="dxa"/>
            <w:vAlign w:val="bottom"/>
            <w:tcBorders>
              <w:bottom w:val="single" w:sz="8" w:color="0000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8"/>
              </w:rPr>
              <w:t>PART I—FINANCIAL INFORMATION</w:t>
            </w:r>
          </w:p>
        </w:tc>
        <w:tc>
          <w:tcPr>
            <w:tcW w:w="768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96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 as of March 31, 2026 and December 31, 2025</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5"/>
                <w:szCs w:val="15"/>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rPr>
                <w:sz w:val="15"/>
                <w:szCs w:val="15"/>
                <w:color w:val="auto"/>
              </w:rPr>
            </w:pPr>
          </w:p>
        </w:tc>
        <w:tc>
          <w:tcPr>
            <w:tcW w:w="96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2026 and 2025</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8220" w:type="dxa"/>
            <w:vAlign w:val="bottom"/>
            <w:tcBorders>
              <w:bottom w:val="single" w:sz="8" w:color="0000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Three Months Ended March 31, 2026 and 2025</w:t>
            </w:r>
          </w:p>
        </w:tc>
        <w:tc>
          <w:tcPr>
            <w:tcW w:w="1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175"/>
        </w:trPr>
        <w:tc>
          <w:tcPr>
            <w:tcW w:w="1040" w:type="dxa"/>
            <w:vAlign w:val="bottom"/>
          </w:tcPr>
          <w:p>
            <w:pPr>
              <w:spacing w:after="0"/>
              <w:rPr>
                <w:sz w:val="15"/>
                <w:szCs w:val="15"/>
                <w:color w:val="auto"/>
              </w:rPr>
            </w:pPr>
          </w:p>
        </w:tc>
        <w:tc>
          <w:tcPr>
            <w:tcW w:w="96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Changes in Equity for the Three Months Ended March 31, 2026 and 2025</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5"/>
                <w:szCs w:val="15"/>
                <w:color w:val="auto"/>
              </w:rPr>
            </w:pPr>
          </w:p>
        </w:tc>
      </w:tr>
      <w:tr>
        <w:trPr>
          <w:trHeight w:val="21"/>
        </w:trPr>
        <w:tc>
          <w:tcPr>
            <w:tcW w:w="10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96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7"/>
                <w:szCs w:val="17"/>
                <w:color w:val="auto"/>
              </w:rPr>
            </w:pPr>
          </w:p>
        </w:tc>
      </w:tr>
      <w:tr>
        <w:trPr>
          <w:trHeight w:val="175"/>
        </w:trPr>
        <w:tc>
          <w:tcPr>
            <w:tcW w:w="1040" w:type="dxa"/>
            <w:vAlign w:val="bottom"/>
            <w:tcBorders>
              <w:top w:val="single" w:sz="8" w:color="CCEEFF"/>
            </w:tcBorders>
          </w:tcPr>
          <w:p>
            <w:pPr>
              <w:spacing w:after="0"/>
              <w:rPr>
                <w:sz w:val="15"/>
                <w:szCs w:val="15"/>
                <w:color w:val="auto"/>
              </w:rPr>
            </w:pPr>
          </w:p>
        </w:tc>
        <w:tc>
          <w:tcPr>
            <w:tcW w:w="6840" w:type="dxa"/>
            <w:vAlign w:val="bottom"/>
            <w:tcBorders>
              <w:top w:val="single" w:sz="8" w:color="0000FF"/>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FF"/>
              </w:rPr>
              <w:t>Notes to the Unaudited Consolidated Financial Statements</w:t>
            </w:r>
          </w:p>
        </w:tc>
        <w:tc>
          <w:tcPr>
            <w:tcW w:w="278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CCEEFF"/>
            </w:tcBorders>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80" w:type="dxa"/>
            <w:vAlign w:val="bottom"/>
            <w:tcBorders>
              <w:bottom w:val="single" w:sz="8" w:color="CCEEFF"/>
            </w:tcBorders>
            <w:gridSpan w:val="5"/>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tcPr>
          <w:p>
            <w:pPr>
              <w:spacing w:after="0"/>
              <w:rPr>
                <w:sz w:val="15"/>
                <w:szCs w:val="15"/>
                <w:color w:val="auto"/>
              </w:rPr>
            </w:pPr>
          </w:p>
        </w:tc>
      </w:tr>
      <w:tr>
        <w:trPr>
          <w:trHeight w:val="21"/>
        </w:trPr>
        <w:tc>
          <w:tcPr>
            <w:tcW w:w="10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shd w:val="clear" w:color="auto" w:fill="CCEEFF"/>
          </w:tcPr>
          <w:p>
            <w:pPr>
              <w:spacing w:after="0"/>
              <w:rPr>
                <w:sz w:val="15"/>
                <w:szCs w:val="15"/>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PART II—OTHER INFORMATION</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0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shd w:val="clear" w:color="auto" w:fill="CCEEFF"/>
          </w:tcPr>
          <w:p>
            <w:pPr>
              <w:spacing w:after="0"/>
              <w:rPr>
                <w:sz w:val="15"/>
                <w:szCs w:val="15"/>
                <w:color w:val="auto"/>
              </w:rPr>
            </w:pPr>
          </w:p>
        </w:tc>
      </w:tr>
      <w:tr>
        <w:trPr>
          <w:trHeight w:val="36"/>
        </w:trPr>
        <w:tc>
          <w:tcPr>
            <w:tcW w:w="1040" w:type="dxa"/>
            <w:vAlign w:val="bottom"/>
            <w:shd w:val="clear" w:color="auto" w:fill="CCEE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bl>
    <w:p>
      <w:pPr>
        <w:sectPr>
          <w:pgSz w:w="11900" w:h="16900" w:orient="portrait"/>
          <w:cols w:equalWidth="0" w:num="1">
            <w:col w:w="11260"/>
          </w:cols>
          <w:pgMar w:left="320" w:top="563" w:right="319" w:bottom="0" w:gutter="0" w:footer="0" w:header="0"/>
        </w:sectPr>
      </w:pPr>
    </w:p>
    <w:bookmarkStart w:id="1" w:name="page2"/>
    <w:bookmarkEnd w:id="1"/>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r>
      <w:tr>
        <w:trPr>
          <w:trHeight w:val="21"/>
        </w:trPr>
        <w:tc>
          <w:tcPr>
            <w:tcW w:w="10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0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18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45</w:t>
            </w:r>
          </w:p>
        </w:tc>
      </w:tr>
      <w:tr>
        <w:trPr>
          <w:trHeight w:val="175"/>
        </w:trPr>
        <w:tc>
          <w:tcPr>
            <w:tcW w:w="10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4340" w:type="dxa"/>
            <w:vAlign w:val="bottom"/>
            <w:tcBorders>
              <w:top w:val="single" w:sz="8" w:color="0000FF"/>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2680" w:type="dxa"/>
            <w:vAlign w:val="bottom"/>
            <w:tcBorders>
              <w:top w:val="single" w:sz="8" w:color="CCEEFF"/>
            </w:tcBorders>
          </w:tcPr>
          <w:p>
            <w:pPr>
              <w:spacing w:after="0"/>
              <w:rPr>
                <w:sz w:val="15"/>
                <w:szCs w:val="15"/>
                <w:color w:val="auto"/>
              </w:rPr>
            </w:pPr>
          </w:p>
        </w:tc>
        <w:tc>
          <w:tcPr>
            <w:tcW w:w="3180" w:type="dxa"/>
            <w:vAlign w:val="bottom"/>
            <w:tcBorders>
              <w:top w:val="single" w:sz="8" w:color="CCEEFF"/>
            </w:tcBorders>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21"/>
        </w:trPr>
        <w:tc>
          <w:tcPr>
            <w:tcW w:w="10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6"/>
              </w:rPr>
              <w:t>Exhibits</w:t>
            </w:r>
          </w:p>
        </w:tc>
        <w:tc>
          <w:tcPr>
            <w:tcW w:w="6420" w:type="dxa"/>
            <w:vAlign w:val="bottom"/>
            <w:tcBorders>
              <w:bottom w:val="single" w:sz="8" w:color="CCEEFF"/>
            </w:tcBorders>
            <w:gridSpan w:val="5"/>
            <w:shd w:val="clear" w:color="auto" w:fill="CCEEFF"/>
          </w:tcPr>
          <w:p>
            <w:pPr>
              <w:spacing w:after="0"/>
              <w:rPr>
                <w:sz w:val="17"/>
                <w:szCs w:val="17"/>
                <w:color w:val="auto"/>
              </w:rPr>
            </w:pPr>
          </w:p>
        </w:tc>
        <w:tc>
          <w:tcPr>
            <w:tcW w:w="318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176"/>
        </w:trPr>
        <w:tc>
          <w:tcPr>
            <w:tcW w:w="1040" w:type="dxa"/>
            <w:vAlign w:val="bottom"/>
          </w:tcPr>
          <w:p>
            <w:pPr>
              <w:spacing w:after="0"/>
              <w:rPr>
                <w:sz w:val="15"/>
                <w:szCs w:val="15"/>
                <w:color w:val="auto"/>
              </w:rPr>
            </w:pPr>
          </w:p>
        </w:tc>
        <w:tc>
          <w:tcPr>
            <w:tcW w:w="760" w:type="dxa"/>
            <w:vAlign w:val="bottom"/>
            <w:tcBorders>
              <w:bottom w:val="single" w:sz="8" w:color="0000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FF"/>
                <w:w w:val="97"/>
              </w:rPr>
              <w:t>Signatures</w:t>
            </w:r>
          </w:p>
        </w:tc>
        <w:tc>
          <w:tcPr>
            <w:tcW w:w="6260" w:type="dxa"/>
            <w:vAlign w:val="bottom"/>
            <w:gridSpan w:val="4"/>
          </w:tcPr>
          <w:p>
            <w:pPr>
              <w:spacing w:after="0"/>
              <w:rPr>
                <w:sz w:val="15"/>
                <w:szCs w:val="15"/>
                <w:color w:val="auto"/>
              </w:rPr>
            </w:pPr>
          </w:p>
        </w:tc>
        <w:tc>
          <w:tcPr>
            <w:tcW w:w="31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5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8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0" w:type="dxa"/>
            <w:vAlign w:val="bottom"/>
          </w:tcPr>
          <w:p>
            <w:pPr>
              <w:spacing w:after="0"/>
              <w:rPr>
                <w:sz w:val="1"/>
                <w:szCs w:val="1"/>
                <w:color w:val="auto"/>
              </w:rPr>
            </w:pPr>
          </w:p>
        </w:tc>
      </w:tr>
      <w:tr>
        <w:trPr>
          <w:trHeight w:val="239"/>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ATM cash</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9"/>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assets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credit losses of $9.0 and $8.2</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39"/>
        </w:trPr>
        <w:tc>
          <w:tcPr>
            <w:tcW w:w="85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41"/>
        </w:trPr>
        <w:tc>
          <w:tcPr>
            <w:tcW w:w="8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4,270.2</w:t>
            </w:r>
          </w:p>
        </w:tc>
        <w:tc>
          <w:tcPr>
            <w:tcW w:w="0" w:type="dxa"/>
            <w:vAlign w:val="bottom"/>
          </w:tcPr>
          <w:p>
            <w:pPr>
              <w:spacing w:after="0"/>
              <w:rPr>
                <w:sz w:val="1"/>
                <w:szCs w:val="1"/>
                <w:color w:val="auto"/>
              </w:rPr>
            </w:pPr>
          </w:p>
        </w:tc>
      </w:tr>
      <w:tr>
        <w:trPr>
          <w:trHeight w:val="239"/>
        </w:trPr>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right of use lease assets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$703.5 and $702.7</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39"/>
        </w:trPr>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$273.8 and $266.4</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39"/>
        </w:trPr>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assets, net of accumulated amortization of $99.4 and $96.9</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43"/>
        </w:trPr>
        <w:tc>
          <w:tcPr>
            <w:tcW w:w="8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81"/>
        </w:trPr>
        <w:tc>
          <w:tcPr>
            <w:tcW w:w="85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6,332.0</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LIABILITIES AND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Settlement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0" w:type="dxa"/>
            <w:vAlign w:val="bottom"/>
          </w:tcPr>
          <w:p>
            <w:pPr>
              <w:spacing w:after="0"/>
              <w:rPr>
                <w:sz w:val="1"/>
                <w:szCs w:val="1"/>
                <w:color w:val="auto"/>
              </w:rPr>
            </w:pPr>
          </w:p>
        </w:tc>
      </w:tr>
      <w:tr>
        <w:trPr>
          <w:trHeight w:val="239"/>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239"/>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0" w:type="dxa"/>
            <w:vAlign w:val="bottom"/>
          </w:tcPr>
          <w:p>
            <w:pPr>
              <w:spacing w:after="0"/>
              <w:rPr>
                <w:sz w:val="1"/>
                <w:szCs w:val="1"/>
                <w:color w:val="auto"/>
              </w:rPr>
            </w:pPr>
          </w:p>
        </w:tc>
      </w:tr>
      <w:tr>
        <w:trPr>
          <w:trHeight w:val="239"/>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2"/>
        </w:trPr>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3,854.7</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0" w:type="dxa"/>
            <w:vAlign w:val="bottom"/>
          </w:tcPr>
          <w:p>
            <w:pPr>
              <w:spacing w:after="0"/>
              <w:rPr>
                <w:sz w:val="1"/>
                <w:szCs w:val="1"/>
                <w:color w:val="auto"/>
              </w:rPr>
            </w:pPr>
          </w:p>
        </w:tc>
      </w:tr>
      <w:tr>
        <w:trPr>
          <w:trHeight w:val="239"/>
        </w:trPr>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39"/>
        </w:trPr>
        <w:tc>
          <w:tcPr>
            <w:tcW w:w="85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41"/>
        </w:trPr>
        <w:tc>
          <w:tcPr>
            <w:tcW w:w="8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5,105.1</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5,166.2</w:t>
            </w:r>
          </w:p>
        </w:tc>
        <w:tc>
          <w:tcPr>
            <w:tcW w:w="0" w:type="dxa"/>
            <w:vAlign w:val="bottom"/>
          </w:tcPr>
          <w:p>
            <w:pPr>
              <w:spacing w:after="0"/>
              <w:rPr>
                <w:sz w:val="1"/>
                <w:szCs w:val="1"/>
                <w:color w:val="auto"/>
              </w:rPr>
            </w:pPr>
          </w:p>
        </w:tc>
      </w:tr>
      <w:tr>
        <w:trPr>
          <w:trHeight w:val="230"/>
        </w:trPr>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shares issued 67,790,541 and 67,635,309</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9"/>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1,549.8</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shares issued 29,715,347 and 28,305,376</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0" w:type="dxa"/>
            <w:vAlign w:val="bottom"/>
          </w:tcPr>
          <w:p>
            <w:pPr>
              <w:spacing w:after="0"/>
              <w:rPr>
                <w:sz w:val="1"/>
                <w:szCs w:val="1"/>
                <w:color w:val="auto"/>
              </w:rPr>
            </w:pPr>
          </w:p>
        </w:tc>
      </w:tr>
      <w:tr>
        <w:trPr>
          <w:trHeight w:val="239"/>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2"/>
        </w:trPr>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0" w:type="dxa"/>
            <w:vAlign w:val="bottom"/>
          </w:tcPr>
          <w:p>
            <w:pPr>
              <w:spacing w:after="0"/>
              <w:rPr>
                <w:sz w:val="1"/>
                <w:szCs w:val="1"/>
                <w:color w:val="auto"/>
              </w:rPr>
            </w:pPr>
          </w:p>
        </w:tc>
      </w:tr>
      <w:tr>
        <w:trPr>
          <w:trHeight w:val="247"/>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2"/>
        </w:trPr>
        <w:tc>
          <w:tcPr>
            <w:tcW w:w="85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0" w:type="dxa"/>
            <w:vAlign w:val="bottom"/>
          </w:tcPr>
          <w:p>
            <w:pPr>
              <w:spacing w:after="0"/>
              <w:rPr>
                <w:sz w:val="1"/>
                <w:szCs w:val="1"/>
                <w:color w:val="auto"/>
              </w:rPr>
            </w:pPr>
          </w:p>
        </w:tc>
      </w:tr>
      <w:tr>
        <w:trPr>
          <w:trHeight w:val="241"/>
        </w:trPr>
        <w:tc>
          <w:tcPr>
            <w:tcW w:w="85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6,332.0</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ectPr>
          <w:pgSz w:w="11900" w:h="16868" w:orient="portrait"/>
          <w:cols w:equalWidth="0" w:num="1">
            <w:col w:w="11240"/>
          </w:cols>
          <w:pgMar w:left="320" w:top="108" w:right="339" w:bottom="0" w:gutter="0" w:footer="0" w:header="0"/>
        </w:sectPr>
      </w:pPr>
    </w:p>
    <w:bookmarkStart w:id="2" w:name="page3"/>
    <w:bookmarkEnd w:id="2"/>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0"/>
        </w:trPr>
        <w:tc>
          <w:tcPr>
            <w:tcW w:w="684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w:t>
            </w:r>
          </w:p>
        </w:tc>
      </w:tr>
      <w:tr>
        <w:trPr>
          <w:trHeight w:val="229"/>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2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30"/>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09"/>
        </w:trPr>
        <w:tc>
          <w:tcPr>
            <w:tcW w:w="6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r>
      <w:tr>
        <w:trPr>
          <w:trHeight w:val="210"/>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(losses) gains, net</w:t>
            </w:r>
          </w:p>
        </w:tc>
        <w:tc>
          <w:tcPr>
            <w:tcW w:w="16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68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6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1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0"/>
        </w:trPr>
        <w:tc>
          <w:tcPr>
            <w:tcW w:w="6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197"/>
        </w:trPr>
        <w:tc>
          <w:tcPr>
            <w:tcW w:w="684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0.85</w:t>
            </w:r>
          </w:p>
        </w:tc>
      </w:tr>
      <w:tr>
        <w:trPr>
          <w:trHeight w:val="20"/>
        </w:trPr>
        <w:tc>
          <w:tcPr>
            <w:tcW w:w="6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6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6"/>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38,921,659</w:t>
            </w: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43,677,294</w:t>
            </w:r>
          </w:p>
        </w:tc>
      </w:tr>
      <w:tr>
        <w:trPr>
          <w:trHeight w:val="197"/>
        </w:trPr>
        <w:tc>
          <w:tcPr>
            <w:tcW w:w="684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46,990,091</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46,239,523</w:t>
            </w:r>
          </w:p>
        </w:tc>
      </w:tr>
      <w:tr>
        <w:trPr>
          <w:trHeight w:val="20"/>
        </w:trPr>
        <w:tc>
          <w:tcPr>
            <w:tcW w:w="6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EURONET WORLDWIDE, INC. AND SUBSIDIARIES CONSOLIDATED STATEMENTS OF COMPREHENSIVE INCOME (LOSS) (Unaudited,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70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1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1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7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(loss) income attributable to Euronet Worldwide, Inc.</w:t>
            </w:r>
          </w:p>
        </w:tc>
        <w:tc>
          <w:tcPr>
            <w:tcW w:w="1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0"/>
        </w:trPr>
        <w:tc>
          <w:tcPr>
            <w:tcW w:w="7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73"/>
        </w:trPr>
        <w:tc>
          <w:tcPr>
            <w:tcW w:w="60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43,727,615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0" w:type="dxa"/>
            <w:vAlign w:val="bottom"/>
          </w:tcPr>
          <w:p>
            <w:pPr>
              <w:spacing w:after="0"/>
              <w:rPr>
                <w:sz w:val="1"/>
                <w:szCs w:val="1"/>
                <w:color w:val="auto"/>
              </w:rPr>
            </w:pPr>
          </w:p>
        </w:tc>
      </w:tr>
      <w:tr>
        <w:trPr>
          <w:trHeight w:val="25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22"/>
                <w:szCs w:val="22"/>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0" w:type="dxa"/>
            <w:vAlign w:val="bottom"/>
          </w:tcPr>
          <w:p>
            <w:pPr>
              <w:spacing w:after="0"/>
              <w:rPr>
                <w:sz w:val="1"/>
                <w:szCs w:val="1"/>
                <w:color w:val="auto"/>
              </w:rPr>
            </w:pPr>
          </w:p>
        </w:tc>
      </w:tr>
      <w:tr>
        <w:trPr>
          <w:trHeight w:val="25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0" w:type="dxa"/>
            <w:vAlign w:val="bottom"/>
          </w:tcPr>
          <w:p>
            <w:pPr>
              <w:spacing w:after="0"/>
              <w:rPr>
                <w:sz w:val="1"/>
                <w:szCs w:val="1"/>
                <w:color w:val="auto"/>
              </w:rPr>
            </w:pPr>
          </w:p>
        </w:tc>
      </w:tr>
      <w:tr>
        <w:trPr>
          <w:trHeight w:val="25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108,333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0" w:type="dxa"/>
            <w:vAlign w:val="bottom"/>
          </w:tcPr>
          <w:p>
            <w:pPr>
              <w:spacing w:after="0"/>
              <w:rPr>
                <w:sz w:val="1"/>
                <w:szCs w:val="1"/>
                <w:color w:val="auto"/>
              </w:rPr>
            </w:pPr>
          </w:p>
        </w:tc>
      </w:tr>
      <w:tr>
        <w:trPr>
          <w:trHeight w:val="25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(591,258)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43,244,690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73"/>
        </w:trPr>
        <w:tc>
          <w:tcPr>
            <w:tcW w:w="6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39,329,933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333333"/>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0" w:type="dxa"/>
            <w:vAlign w:val="bottom"/>
          </w:tcPr>
          <w:p>
            <w:pPr>
              <w:spacing w:after="0"/>
              <w:rPr>
                <w:sz w:val="1"/>
                <w:szCs w:val="1"/>
                <w:color w:val="auto"/>
              </w:rPr>
            </w:pPr>
          </w:p>
        </w:tc>
      </w:tr>
    </w:tbl>
    <w:p>
      <w:pPr>
        <w:sectPr>
          <w:pgSz w:w="11900" w:h="16936" w:orient="portrait"/>
          <w:cols w:equalWidth="0" w:num="1">
            <w:col w:w="11240"/>
          </w:cols>
          <w:pgMar w:left="320" w:top="117"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333333"/>
              </w:rPr>
              <w:t>14.8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(1,397,090)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38,075,194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333333"/>
              </w:rPr>
              <w:t>1,563.8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520" w:type="dxa"/>
            <w:vAlign w:val="bottom"/>
            <w:vMerge w:val="restart"/>
          </w:tcPr>
          <w:p>
            <w:pPr>
              <w:jc w:val="center"/>
              <w:ind w:left="179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9A9A9A"/>
            </w:tcBorders>
          </w:tcPr>
          <w:p>
            <w:pPr>
              <w:spacing w:after="0"/>
              <w:rPr>
                <w:sz w:val="19"/>
                <w:szCs w:val="19"/>
                <w:color w:val="auto"/>
              </w:rPr>
            </w:pPr>
          </w:p>
        </w:tc>
        <w:tc>
          <w:tcPr>
            <w:tcW w:w="252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gridSpan w:val="4"/>
          </w:tcPr>
          <w:p>
            <w:pPr>
              <w:spacing w:after="0"/>
              <w:rPr>
                <w:sz w:val="19"/>
                <w:szCs w:val="19"/>
                <w:color w:val="auto"/>
              </w:rPr>
            </w:pPr>
          </w:p>
        </w:tc>
        <w:tc>
          <w:tcPr>
            <w:tcW w:w="100" w:type="dxa"/>
            <w:vAlign w:val="bottom"/>
            <w:tcBorders>
              <w:bottom w:val="single" w:sz="8" w:color="9A9A9A"/>
            </w:tcBorders>
            <w:gridSpan w:val="2"/>
          </w:tcPr>
          <w:p>
            <w:pPr>
              <w:spacing w:after="0"/>
              <w:rPr>
                <w:sz w:val="19"/>
                <w:szCs w:val="19"/>
                <w:color w:val="auto"/>
              </w:rPr>
            </w:pPr>
          </w:p>
        </w:tc>
        <w:tc>
          <w:tcPr>
            <w:tcW w:w="1220" w:type="dxa"/>
            <w:vAlign w:val="bottom"/>
            <w:tcBorders>
              <w:bottom w:val="single" w:sz="8" w:color="9A9A9A"/>
            </w:tcBorders>
            <w:gridSpan w:val="3"/>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3420" w:type="dxa"/>
            <w:vAlign w:val="bottom"/>
          </w:tcPr>
          <w:p>
            <w:pPr>
              <w:spacing w:after="0"/>
              <w:rPr>
                <w:sz w:val="24"/>
                <w:szCs w:val="24"/>
                <w:color w:val="auto"/>
              </w:rPr>
            </w:pPr>
          </w:p>
        </w:tc>
        <w:tc>
          <w:tcPr>
            <w:tcW w:w="5120" w:type="dxa"/>
            <w:vAlign w:val="bottom"/>
            <w:gridSpan w:val="10"/>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EURONET WORLDWIDE, INC. AND SUBSIDIARIES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gridSpan w:val="11"/>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CHANGES IN EQUITY</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3860" w:type="dxa"/>
            <w:vAlign w:val="bottom"/>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(Unaudited, in millions, except share data)</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3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2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1,934.0</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33333"/>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(1.0)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1,972.4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2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2,243.4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333333"/>
              </w:rPr>
              <w:t>(0.2)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33333"/>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0.7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2,280.9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40" w:type="dxa"/>
            <w:vAlign w:val="bottom"/>
            <w:gridSpan w:val="11"/>
          </w:tcPr>
          <w:p>
            <w:pPr>
              <w:jc w:val="center"/>
              <w:ind w:left="2630"/>
              <w:spacing w:after="0"/>
              <w:rPr>
                <w:sz w:val="20"/>
                <w:szCs w:val="20"/>
                <w:color w:val="auto"/>
              </w:rPr>
            </w:pPr>
            <w:r>
              <w:rPr>
                <w:rFonts w:ascii="Times New Roman" w:cs="Times New Roman" w:eastAsia="Times New Roman" w:hAnsi="Times New Roman"/>
                <w:sz w:val="18"/>
                <w:szCs w:val="18"/>
                <w:color w:val="auto"/>
                <w:w w:val="99"/>
              </w:rPr>
              <w:t>See accompanying notes to the unaudited consolidated financial statements.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252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9A9A9A"/>
            </w:tcBorders>
          </w:tcPr>
          <w:p>
            <w:pPr>
              <w:spacing w:after="0"/>
              <w:rPr>
                <w:sz w:val="19"/>
                <w:szCs w:val="19"/>
                <w:color w:val="auto"/>
              </w:rPr>
            </w:pPr>
          </w:p>
        </w:tc>
        <w:tc>
          <w:tcPr>
            <w:tcW w:w="5120" w:type="dxa"/>
            <w:vAlign w:val="bottom"/>
            <w:tcBorders>
              <w:bottom w:val="single" w:sz="8" w:color="9A9A9A"/>
            </w:tcBorders>
            <w:gridSpan w:val="10"/>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3420" w:type="dxa"/>
            <w:vAlign w:val="bottom"/>
          </w:tcPr>
          <w:p>
            <w:pPr>
              <w:spacing w:after="0"/>
              <w:rPr>
                <w:sz w:val="24"/>
                <w:szCs w:val="24"/>
                <w:color w:val="auto"/>
              </w:rPr>
            </w:pPr>
          </w:p>
        </w:tc>
        <w:tc>
          <w:tcPr>
            <w:tcW w:w="5120" w:type="dxa"/>
            <w:vAlign w:val="bottom"/>
            <w:gridSpan w:val="10"/>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5120" w:type="dxa"/>
            <w:vAlign w:val="bottom"/>
            <w:gridSpan w:val="10"/>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386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(Unaudited, in millions)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foreign exchange gains (loss), net</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Trade accounts receivable, including amounts in settlement assets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in settlement assets</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Trade accounts payable, including amounts in settlement obligations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 including amounts in settlement obligations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convertible notes receivable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of property and equipment</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2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-9258935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-9258935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7132955</wp:posOffset>
            </wp:positionH>
            <wp:positionV relativeFrom="paragraph">
              <wp:posOffset>-4664075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-4664075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0" w:orient="portrait"/>
          <w:cols w:equalWidth="0" w:num="1">
            <w:col w:w="11260"/>
          </w:cols>
          <w:pgMar w:left="320" w:top="180" w:right="3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shares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from credit agreements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credit agreements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0" w:type="dxa"/>
            <w:vAlign w:val="bottom"/>
          </w:tcPr>
          <w:p>
            <w:pPr>
              <w:spacing w:after="0"/>
              <w:rPr>
                <w:sz w:val="1"/>
                <w:szCs w:val="1"/>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capital lease obligations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(repayments) borrowing from short-term debt obligations</w:t>
            </w:r>
          </w:p>
        </w:tc>
        <w:tc>
          <w:tcPr>
            <w:tcW w:w="1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7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1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1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6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16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00"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Euronet Worldwide, Inc. (the "Company" or "Euronet") was established as a Delaware corporation on December 13, 1996 and succeeded Euronet Holding N.V. as the group holding company, which was founded and established in 1994. Euronet is a global leader in payment processing and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transactions, operating for more than 30 years and now serving clients in over 200 countries and territories. We support financial institutions, merchants and global brands with technology-driven solutions, while enabling businesses and consumers to send, receive and spend money seamlessly worldwide. By operating one of the world’s largest independent electronic payment networks spanning merchant acquiring, transaction processing and 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infrastructure, Euronet enables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digital and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movement of money at global scale.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 December 31, 2025, including the notes thereto, set forth in the Company's 2025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Euronet’s EFT Processing Segment normally experiences its heaviest demand for dynamic currency conversion ("DCC") services during the third quarter of the fiscal year, normally coinciding with the tourism season. The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Expense Disaggregation Disclosures</w:t>
      </w:r>
      <w:r>
        <w:rPr>
          <w:rFonts w:ascii="Times New Roman" w:cs="Times New Roman" w:eastAsia="Times New Roman" w:hAnsi="Times New Roman"/>
          <w:sz w:val="18"/>
          <w:szCs w:val="18"/>
          <w:color w:val="auto"/>
        </w:rPr>
        <w:t>. In January 2025, the FASB issued ASU 2025-01,</w:t>
      </w:r>
      <w:r>
        <w:rPr>
          <w:rFonts w:ascii="Times New Roman" w:cs="Times New Roman" w:eastAsia="Times New Roman" w:hAnsi="Times New Roman"/>
          <w:sz w:val="18"/>
          <w:szCs w:val="18"/>
          <w:i w:val="1"/>
          <w:iCs w:val="1"/>
          <w:color w:val="auto"/>
        </w:rPr>
        <w:t xml:space="preserve"> Income Statement Reporting Comprehensive Income-Expense Disaggregation Disclosures </w:t>
      </w:r>
      <w:r>
        <w:rPr>
          <w:rFonts w:ascii="Times New Roman" w:cs="Times New Roman" w:eastAsia="Times New Roman" w:hAnsi="Times New Roman"/>
          <w:sz w:val="18"/>
          <w:szCs w:val="18"/>
          <w:color w:val="auto"/>
        </w:rPr>
        <w:t>(Subtopic 220-40): Clarifying the Effective Date to clarify the effective date of 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require Comprehensive Income to expand income statement expense disclosures and require disclosure in the notes to the financial statements of specified information about certain costs and expenses. ASU 2024-03 is required to be adopted for fiscal years commencing after December 15, 2026 and interim reporting periods beginning after December 15, 2027 with early adoption permitted. The Company expects to adopt the update for the annual financial statements issued for the year ending December 31, 2027 and is currently evaluating the impact of adopting the standard on the condensed consolidated financial statements.</w:t>
      </w:r>
    </w:p>
    <w:p>
      <w:pPr>
        <w:sectPr>
          <w:pgSz w:w="11900" w:h="16838" w:orient="portrait"/>
          <w:cols w:equalWidth="0" w:num="1">
            <w:col w:w="11240"/>
          </w:cols>
          <w:pgMar w:left="320" w:top="140" w:right="339" w:bottom="0" w:gutter="0" w:footer="0" w:header="0"/>
        </w:sectPr>
      </w:pPr>
    </w:p>
    <w:bookmarkStart w:id="5" w:name="page6"/>
    <w:bookmarkEnd w:id="5"/>
    <w:p>
      <w:pPr>
        <w:jc w:val="both"/>
        <w:spacing w:after="0" w:line="227" w:lineRule="exact"/>
        <w:rPr>
          <w:sz w:val="20"/>
          <w:szCs w:val="20"/>
          <w:color w:val="auto"/>
        </w:rPr>
      </w:pPr>
      <w:r>
        <w:rPr>
          <w:rFonts w:ascii="Times New Roman" w:cs="Times New Roman" w:eastAsia="Times New Roman" w:hAnsi="Times New Roman"/>
          <w:sz w:val="18"/>
          <w:szCs w:val="18"/>
          <w:color w:val="auto"/>
        </w:rPr>
        <w:t>In September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18"/>
          <w:szCs w:val="18"/>
          <w:i w:val="1"/>
          <w:iCs w:val="1"/>
          <w:color w:val="auto"/>
        </w:rPr>
        <w:t>Intangibles—Goodwill and Other—Internal</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Use Software</w:t>
      </w:r>
      <w:r>
        <w:rPr>
          <w:rFonts w:ascii="Times New Roman" w:cs="Times New Roman" w:eastAsia="Times New Roman" w:hAnsi="Times New Roman"/>
          <w:sz w:val="18"/>
          <w:szCs w:val="18"/>
          <w:color w:val="auto"/>
        </w:rPr>
        <w:t xml:space="preserve"> (Subtopic 350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which modernizes the accounting for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by removing development “project stages” and requiring capitalization to begin when management authorizes funding and it is probable the project will be completed and used as intended. The ASU also supersedes the existing website development cost guidance and incorporates it into Subtopic 350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The guidance is effective for fiscal years beginning after December 15, 2027, with early adoption permitted. The Company is evaluating the impact of this ASU on its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acquisitions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Kyodai (Japan)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31, 2025, Euronet completed the acquisition of a 60% equity stake in UNIDOS CO. LTD from multiple shareholders for a consideration of $20.0 million, including a probable earn-out of $1.6 million. The effective date of control is June 1, 2025. The Company allocated $9.9 million of the enterprise value to customer relationships, $7.9 million to acquired net assets, $3.5 million to deferred tax liability, $12.0 million to non-controlling interest and the remaining $17.7 million to goodwill. The purchase price was preliminary allocated to the assets acquired and liabilities assumed including identifiable intangible assets based on provisional values at the date of the acquisition. The acquisition has been accounted for as a business combination in accordance with US GAAP and the results of operations have been included in the Money Transfer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CoreCard (USA)</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On October 30, 2025, the Company completed the acquisition of 100% of the outstanding equity of CoreCard Corporation pursuant to the Agreement and Plan of Merger dated July 30, 2025. Under the terms of the agreement, each CoreCard common share converted into 0.3142 shares of Euronet common stock, with fractional shares settled in cash at the closing price of Euronet stock on the trading day immediately preceding the acquisition date. In addition, unvested CoreCard Restricted Stock Units (“RSUs”) vested at closing and were settled in Euronet shares, and outstanding stock options were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at intrinsic value. The total purchase consideration was $192.7 million and consisted of the fair value of Euronet shares issued, cash in lieu of fractional shares, and cash to settle options and RSU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withholding obligations. The transaction has been accounted for as a business combination under ASC</w:t>
      </w:r>
      <w:r>
        <w:rPr>
          <w:rFonts w:ascii="Arial" w:cs="Arial" w:eastAsia="Arial" w:hAnsi="Arial"/>
          <w:sz w:val="18"/>
          <w:szCs w:val="18"/>
          <w:color w:val="auto"/>
        </w:rPr>
        <w:t> </w:t>
      </w:r>
      <w:r>
        <w:rPr>
          <w:rFonts w:ascii="Times New Roman" w:cs="Times New Roman" w:eastAsia="Times New Roman" w:hAnsi="Times New Roman"/>
          <w:sz w:val="18"/>
          <w:szCs w:val="18"/>
          <w:color w:val="auto"/>
        </w:rPr>
        <w:t>805, and CoreCard’s results are included in the Company’s EFT Processing Segment beginning on the acquisition date.</w:t>
      </w:r>
    </w:p>
    <w:p>
      <w:pPr>
        <w:spacing w:after="0" w:line="1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No contingent consideration, escrow, or holdback was recognized. The Company acquired 100% of CoreCard; no noncontrolling interest was recognized.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22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Company performed a preliminary allocation of the purchase price for CoreCard to the assets acquired and liabilities assumed based on their estimated fair values at the acquisition date. The allocation is subject to change during the measurement period as the Company finalizes the valuation of identifiable intangible assets, working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 items and income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balances.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CoreCard purchase price accounting at October 30, 2025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7"/>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4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receivable</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99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99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deferred tax assets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99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Other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99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(ROU) lease assets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43"/>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3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tcPr>
          <w:p>
            <w:pPr>
              <w:spacing w:after="0"/>
              <w:rPr>
                <w:sz w:val="20"/>
                <w:szCs w:val="20"/>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43"/>
        </w:trPr>
        <w:tc>
          <w:tcPr>
            <w:tcW w:w="9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99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payables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99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Other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6"/>
        </w:trPr>
        <w:tc>
          <w:tcPr>
            <w:tcW w:w="9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7"/>
        </w:trPr>
        <w:tc>
          <w:tcPr>
            <w:tcW w:w="9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r>
      <w:tr>
        <w:trPr>
          <w:trHeight w:val="23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Net assets recognized (equals consideration transferred)</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0"/>
        </w:trPr>
        <w:tc>
          <w:tcPr>
            <w:tcW w:w="9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1" w:right="339" w:bottom="0" w:gutter="0" w:footer="0" w:header="0"/>
        </w:sectPr>
      </w:pPr>
    </w:p>
    <w:bookmarkStart w:id="6" w:name="page7"/>
    <w:bookmarkEnd w:id="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Preliminary goodwill of $88.3 million reflects anticipated synergies, assembled workforce, and the strategic benefit of integrating CoreCard’s issuing technology into the Company’s platform The Plan of Merger was intended to qualify as a "reorganization" within the meaning of Sections 368(a)(1)(A) and 368(a)(2)(E) of the Internal Revenue Code, and that this Plan of Merger will constitute a "plan of reorganization" for purposes of Sections 354 and 361 of the Internal Revenue Code and Treasury Regulations Section 1.368-2(g). As a result, the acquisition did not create deductible goodwill for tax purposes and Euronet will not amortize goodwill calculated in the valuation.</w:t>
      </w:r>
    </w:p>
    <w:p>
      <w:pPr>
        <w:spacing w:after="0" w:line="14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Measurement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period status</w:t>
      </w:r>
    </w:p>
    <w:p>
      <w:pPr>
        <w:spacing w:after="0" w:line="26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allocation above is preliminary and subject to change as the Company completes its valuation analyses of identifiable intangible assets, certain working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 accounts and related deferred taxes within the ASC</w:t>
      </w:r>
      <w:r>
        <w:rPr>
          <w:rFonts w:ascii="Arial" w:cs="Arial" w:eastAsia="Arial" w:hAnsi="Arial"/>
          <w:sz w:val="18"/>
          <w:szCs w:val="18"/>
          <w:color w:val="auto"/>
        </w:rPr>
        <w:t> </w:t>
      </w:r>
      <w:r>
        <w:rPr>
          <w:rFonts w:ascii="Times New Roman" w:cs="Times New Roman" w:eastAsia="Times New Roman" w:hAnsi="Times New Roman"/>
          <w:sz w:val="18"/>
          <w:szCs w:val="18"/>
          <w:color w:val="auto"/>
        </w:rPr>
        <w:t>805 measurement period. Any adjustments will be recorded retrospectively to the acquisition date with a corresponding adjustment to goodwill.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 and Estimated Useful Lives</w:t>
      </w:r>
    </w:p>
    <w:p>
      <w:pPr>
        <w:spacing w:after="0" w:line="22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Company noted that the identifiable intangible assets of CoreCard acquired include developed technology, customer relationships, and trade name. Fair values and useful lives are being finalized; until completion, the following table presents the aggregate amount and expected categories with preliminary useful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life ranges.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Intangibles subject to amortization (preliminary, in millions):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 and Estimated Useful Lives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00" w:type="dxa"/>
            <w:vAlign w:val="bottom"/>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Fair Value (in</w:t>
            </w:r>
          </w:p>
        </w:tc>
        <w:tc>
          <w:tcPr>
            <w:tcW w:w="18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74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0" w:type="dxa"/>
            <w:vAlign w:val="bottom"/>
          </w:tcPr>
          <w:p>
            <w:pPr>
              <w:spacing w:after="0"/>
              <w:rPr>
                <w:sz w:val="1"/>
                <w:szCs w:val="1"/>
                <w:color w:val="auto"/>
              </w:rPr>
            </w:pPr>
          </w:p>
        </w:tc>
      </w:tr>
      <w:tr>
        <w:trPr>
          <w:trHeight w:val="23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3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8"/>
                <w:szCs w:val="18"/>
                <w:color w:val="auto"/>
              </w:rPr>
              <w:t>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CoreCard Platform (Developed Technology)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3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1"/>
                <w:szCs w:val="21"/>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w:t>
            </w: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Large Individual Customer Relationship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3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2.4</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8"/>
                <w:szCs w:val="18"/>
                <w:color w:val="auto"/>
              </w:rPr>
              <w:t>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w:t>
            </w: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Customer Relationships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300" w:type="dxa"/>
            <w:vAlign w:val="bottom"/>
            <w:tcBorders>
              <w:bottom w:val="single" w:sz="8" w:color="CCEEFF"/>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center"/>
              <w:spacing w:after="0" w:line="207" w:lineRule="exact"/>
              <w:rPr>
                <w:sz w:val="20"/>
                <w:szCs w:val="20"/>
                <w:color w:val="auto"/>
              </w:rPr>
            </w:pPr>
            <w:r>
              <w:rPr>
                <w:rFonts w:ascii="Times New Roman" w:cs="Times New Roman" w:eastAsia="Times New Roman" w:hAnsi="Times New Roman"/>
                <w:sz w:val="18"/>
                <w:szCs w:val="18"/>
                <w:color w:val="auto"/>
              </w:rPr>
              <w:t>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w:t>
            </w: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Final category splits and useful lives will be determined based on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participant assumptions, technology life cycles, and customer attrition analyses.</w:t>
      </w:r>
    </w:p>
    <w:p>
      <w:pPr>
        <w:spacing w:after="0" w:line="70" w:lineRule="exact"/>
        <w:rPr>
          <w:sz w:val="20"/>
          <w:szCs w:val="20"/>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Updates will be reflected as measurement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adjustments under ASC</w:t>
      </w:r>
      <w:r>
        <w:rPr>
          <w:rFonts w:ascii="Arial" w:cs="Arial" w:eastAsia="Arial" w:hAnsi="Arial"/>
          <w:sz w:val="18"/>
          <w:szCs w:val="18"/>
          <w:color w:val="auto"/>
        </w:rPr>
        <w:t> </w:t>
      </w:r>
      <w:r>
        <w:rPr>
          <w:rFonts w:ascii="Times New Roman" w:cs="Times New Roman" w:eastAsia="Times New Roman" w:hAnsi="Times New Roman"/>
          <w:sz w:val="18"/>
          <w:szCs w:val="18"/>
          <w:color w:val="auto"/>
        </w:rPr>
        <w:t>805.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Post-acquisition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October 31, 2025 to December 31, 2025, CoreCard contributed revenue of $12.7 million, gross margin of $8.0 million and operating income of $1.9 million to consolidated results (excludes purchase accounting amortization).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January 1, 2026 to March 31, 2026, CoreCard contributed revenue of $31.1 million, gross margin of $14.6 million and operating income of $5.1 million to consolidated results (excludes purchase accounting amortization).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SETTLEMENT ASSETS AND OBLIGATIONS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the Company.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8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8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assets: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4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6"/>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credit losses of $39.1 and $39.0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971.6</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settlement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1,910.4</w:t>
            </w:r>
          </w:p>
        </w:tc>
        <w:tc>
          <w:tcPr>
            <w:tcW w:w="0" w:type="dxa"/>
            <w:vAlign w:val="bottom"/>
          </w:tcPr>
          <w:p>
            <w:pPr>
              <w:spacing w:after="0"/>
              <w:rPr>
                <w:sz w:val="1"/>
                <w:szCs w:val="1"/>
                <w:color w:val="auto"/>
              </w:rPr>
            </w:pPr>
          </w:p>
        </w:tc>
      </w:tr>
      <w:tr>
        <w:trPr>
          <w:trHeight w:val="84"/>
        </w:trPr>
        <w:tc>
          <w:tcPr>
            <w:tcW w:w="8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7"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Settlement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 payables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80" w:type="dxa"/>
            <w:vAlign w:val="bottom"/>
          </w:tcPr>
          <w:p>
            <w:pPr>
              <w:spacing w:after="0"/>
              <w:rPr>
                <w:sz w:val="18"/>
                <w:szCs w:val="18"/>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901.0</w:t>
            </w:r>
          </w:p>
        </w:tc>
      </w:tr>
      <w:tr>
        <w:trPr>
          <w:trHeight w:val="216"/>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1,009.4</w:t>
            </w:r>
          </w:p>
        </w:tc>
      </w:tr>
      <w:tr>
        <w:trPr>
          <w:trHeight w:val="209"/>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1,910.4</w:t>
            </w:r>
          </w:p>
        </w:tc>
      </w:tr>
      <w:tr>
        <w:trPr>
          <w:trHeight w:val="20"/>
        </w:trPr>
        <w:tc>
          <w:tcPr>
            <w:tcW w:w="8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0"/>
                <w:szCs w:val="10"/>
                <w:color w:val="auto"/>
              </w:rPr>
            </w:pPr>
          </w:p>
        </w:tc>
        <w:tc>
          <w:tcPr>
            <w:tcW w:w="12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0"/>
                <w:szCs w:val="10"/>
                <w:color w:val="auto"/>
              </w:rPr>
            </w:pPr>
          </w:p>
        </w:tc>
        <w:tc>
          <w:tcPr>
            <w:tcW w:w="108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5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cash</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2,614.2</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2,689.6</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99"/>
              </w:rPr>
              <w:t>11</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computation of diluted earnings and diluted weighted average number of common shares outstanding: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4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 diluted earnings: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Interest expense from assumed conversion of convertible notes,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income for diluted earnings per share calculation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8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38,921,659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43,677,294</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 restricted stock units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214,693</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debt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8,047,923</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2,347,536</w:t>
            </w: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46,990,091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46,239,523</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includes all stock options and restricted stock units that are dilutive to the Company's weighted average common shares outstanding during the period. The calculation of diluted earnings per share excludes stock options or shares of restricted stock units that are anti-dilutive to the Company's weighted average common shares outstanding of approximately 5.6 million for the three months ended March 31, 2026 and 3.6 million for the three months ended March 31, 2025, respectively.</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Euronet issued Convertible Senior Notes ("Convertible Notes") due March 2049 (the “2049 Convertible Notes”) and due October of 2030 (the “2030 Convertible Notes”).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Incremental shares assumed for conversion of Convertible Notes are required to be included in the dilutive earnings per share calculation, if dilutive, regardless of whether the market price trigger has been met. Therefore, the Convertible Notes are included in the calculation of diluted earnings per share if their inclusion is dilutive. The dilutive effect increases the more the market price exceeds the applicable conversion price for each series of the Convertible Notes.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2025, in connection with the offering of the 2030 Convertible Notes, the Company entered into several Capped Call Options with various counterparties, which cover, subject to anti-dilution adjustments substantially similar to those in the 2030 Convertible Notes, an aggregate of 7.9 million shares of the Company’s common stock, the same number of shares that initially would be issuable upon conversion of the 2030 Convertible Notes. The Capped Call Options meet the criteria for classification as equity and, as such, are not remeasured each reporting period. During the third quarter of 2025, the Company paid $99.8 million for the Capped Call Options, which was recorded as a reduction to “Additional paid-in capital” within the Company’s consolidated financial statements along with the offsetting associated deferred tax impact of $25.9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During March 2025, almost all of the holders of the 2049 Convertible Notes exercised their right to require the Company to repurchase their 2049 Notes, and the Company repurchased $491.8 million of the 2049 Convertible Notes leaving $33.2 million of the 2049 Convertible Notes outstanding at March 31, 2026.</w:t>
      </w:r>
    </w:p>
    <w:p>
      <w:pPr>
        <w:spacing w:after="0" w:line="14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issuance of the 2030 Convertible Notes increased the weighted average incremental shares from assumed conversion from 2.3 million in the prior year to 8.0 million, partially offset by a decrease due to the repurchase of the 2049 Convertible Notes for the three months ended March 31,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Debt Obligations, to the consolidated financial statements for more information about the Convertible Notes and the Capped Call Options.</w:t>
      </w:r>
    </w:p>
    <w:p>
      <w:pPr>
        <w:sectPr>
          <w:pgSz w:w="11900" w:h="16838" w:orient="portrait"/>
          <w:cols w:equalWidth="0" w:num="1">
            <w:col w:w="11240"/>
          </w:cols>
          <w:pgMar w:left="320" w:top="121" w:right="339" w:bottom="0" w:gutter="0" w:footer="0" w:header="0"/>
        </w:sectPr>
      </w:pPr>
    </w:p>
    <w:bookmarkStart w:id="8" w:name="page9"/>
    <w:bookmarkEnd w:id="8"/>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 2025, the Company put a repurchase program in place to repurchase up to $400 million in value, but not more than 8.0 million shares of common stock through June 3, 2027. As of March 31, 2026, approximately $168.4 million in value of additional shares were available to be repurchased under this repurchase program.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Repurchases under the program may take place in the open market or in privately negotiated transactions, including derivative transactions, and may be made under a Rule 10b5-1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Accumulated other comprehensive income (loss) consists entirely of foreign currency translation adjustments. The Company recorded foreign currency translation adjustments of ($45.4) million for the three months ended March 31, 2026 and $84.0 million for the three months ended March 31, 2025, respectively. There were no reclassifications of foreign currency translation adjustments into the consolidated statements of income for the three months ended March 31, 2026 and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ACQUIRED INTANGIBLE ASSETS,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acquired intangible assets and goodwill activity for the three months ended March 31, 2026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w:t>
            </w:r>
          </w:p>
        </w:tc>
      </w:tr>
      <w:tr>
        <w:trPr>
          <w:trHeight w:val="199"/>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09"/>
        </w:trPr>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(decreases):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1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0"/>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total goodwill balance of $1,031.4 million as of March 31, 2026, $413.0 million relates to the Money Transfer Segment, $490.7 million relates to the EFT Processing Segment and the remaining $127.7 million relates to the epay Segment. Estimated amortization expense on acquired intangible assets with finite lives as of March 31, 2026, is expected to total $28.8 million for the remainder of 2026, $36.1 million for 2027, $24.1 million for 2028, $19.9 million for 2029, $19.8 million for 2030 and $19.0 million for 2031.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NOTES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loaned $60.0 million to Koin Mobile, LLC and Marker Trax, LLC under two promissory notes (the "2028 Notes"), which were fully executed on October 19, 2023. Under the terms of the 2028 Notes, interest will accrue on the 2028 Notes at 2% per annum and all unpaid principal and interest will be due and payable on October 18, 2028 if not converted earlier as discussed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2025, the Company loaned $25.0 million to Marker Trax Digital, LLC under a promissory note (the "2030 Note"). Under the terms of the 2030 Note, interest will accrue on the 2030 Note at 2% per annum and all unpaid principal and interest will be due and payable on March 27, 2030 if not converted earlier as discussed below.</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 security interest in all of the assets of Koin Mobile, LLC, Marker Trax, LLC, and Marker Trax Digital, LLC. The aggregate outstanding principal and accrued interest under the 2028 Notes and the 2030 Note were $85.0 million and $3.5 million at March 31,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2028 Notes and the 2030 Note are convertible into preferred equity of Koin Mobile, LLC, Marker Trax, LLC and Marker Trax Digital, LLC, at the option of the Company upon the occurrence of certain events including a qualified equity financing, change in control, achievement of profitability or at the option of the Company at maturity, as defined in the related promissory note purchase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in millions)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83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16"/>
        </w:trPr>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tax payables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payroll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REVENUES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the Company's performance. The decrease in the deferred revenue balance for the three months ended March 31, 2026 was primarily driven by $17.1 million of revenues recognized that were included in the deferred revenue balance as of December 31, 2025 and $20.4 million of cash payments received in the current year for which the Company has not yet satisfied the performance obligations.</w:t>
      </w:r>
    </w:p>
    <w:p>
      <w:pPr>
        <w:sectPr>
          <w:pgSz w:w="11900" w:h="16923" w:orient="portrait"/>
          <w:cols w:equalWidth="0" w:num="1">
            <w:col w:w="11240"/>
          </w:cols>
          <w:pgMar w:left="320" w:top="119" w:right="339" w:bottom="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0"/>
                <w:szCs w:val="10"/>
                <w:color w:val="auto"/>
              </w:rPr>
            </w:pP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8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0.625% convertible notes, unsecured, due 2030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0.75% convertible notes, unsecured, due 2049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Uncommitted credit agreements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obligations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2,579.8</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0" w:type="dxa"/>
            <w:vAlign w:val="bottom"/>
          </w:tcPr>
          <w:p>
            <w:pPr>
              <w:spacing w:after="0"/>
              <w:rPr>
                <w:sz w:val="1"/>
                <w:szCs w:val="1"/>
                <w:color w:val="auto"/>
              </w:rPr>
            </w:pPr>
          </w:p>
        </w:tc>
      </w:tr>
      <w:tr>
        <w:trPr>
          <w:trHeight w:val="210"/>
        </w:trPr>
        <w:tc>
          <w:tcPr>
            <w:tcW w:w="8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9"/>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w:t>
            </w:r>
          </w:p>
        </w:tc>
        <w:tc>
          <w:tcPr>
            <w:tcW w:w="0" w:type="dxa"/>
            <w:vAlign w:val="bottom"/>
          </w:tcPr>
          <w:p>
            <w:pPr>
              <w:spacing w:after="0"/>
              <w:rPr>
                <w:sz w:val="1"/>
                <w:szCs w:val="1"/>
                <w:color w:val="auto"/>
              </w:rPr>
            </w:pPr>
          </w:p>
        </w:tc>
      </w:tr>
      <w:tr>
        <w:trPr>
          <w:trHeight w:val="216"/>
        </w:trPr>
        <w:tc>
          <w:tcPr>
            <w:tcW w:w="8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0" w:type="dxa"/>
            <w:vAlign w:val="bottom"/>
          </w:tcPr>
          <w:p>
            <w:pPr>
              <w:spacing w:after="0"/>
              <w:rPr>
                <w:sz w:val="1"/>
                <w:szCs w:val="1"/>
                <w:color w:val="auto"/>
              </w:rPr>
            </w:pPr>
          </w:p>
        </w:tc>
      </w:tr>
      <w:tr>
        <w:trPr>
          <w:trHeight w:val="210"/>
        </w:trPr>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 dollar borrowing tranche totaling $215 million. The amended Credit Facility also removes the credit spread adjustment on SOFR and SONIA borrowings. All other terms remain substantially the same as the existing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revolving Credit Facility (other than swing line loans) bear interest based on a margin over a secured financing rate or the base rate, as selected by the Company, which varies from 0.875% to 1.375%, in each case based on the Company’s current credit rating. The applicable margin for borrowings under the Credit Facility, based on the Company’s current credit rating is 1.075%. In addition, the Company pays a facility fee on the total commitments made under the revolving Credit Facility, which varies from 0.125% to 0.250%. The current facility fee is 0.175%.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2049 Convertible Notes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18, 2019, the Company completed the sale of $525.0 million of Convertible Senior Notes ("2049 Convertible Notes"). The 2049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2049 Convertible Notes have the option to require the Company to purchase their notes on each of March 15, 2025, March 15, 2029, March 15, 2034, March 15, 2039 and March 15, 2044 at a repurchase price equal to 100% of the principal amount of the 2049 Convertible Notes to be repurchased, plus accrued and unpaid interest to, but excluding, the relevant repurchase date. In connection with the issuance of the 2049 Convertible Notes, the Company recorded $12.8 million in debt issuance costs, which were amortized through March 1, 2025. Almost all of the holders exercised their right to require the Company to repurchase their notes in March 2025, and we repurchased the tendered 2049 Convertible Notes at that time with a combination of cash on hand and a borrowing under our Credit Facility. As of March 31, 2026, $33.2 million of the 2049 Convertible Notes remain outstanding.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15, 2025, the Company completed the sale of $1,000.0 million of Convertible Senior Notes maturing in October 2030. ("2030 Convertible Notes"). The 2030 Convertible Notes mature in October 2030 unless redeemed or converted prior to such date and are convertible into shares of Euronet common stock at a conversion price of approximately $127.04 per share if certain conditions are met (relating to the closing price of Euronet common stock exceeding certain thresholds for specified periods). The 2030 Convertible Notes bear interest at a rate of 0.625% per year, payable semi-annually in arrears on April 1 and October 1 of each year, beginning on April 1, 2026. In connection with the issuance of the 2030 Convertible Notes, we recorded $23.5 million in debt issuance costs, which will be amortized through October 1, 2030. The 2030 Convertible Notes are convertible at the option of the holders at any time prior to the close of business on the business day immediately preceding April 1, 2030 if certain conditions are met.</w:t>
      </w:r>
    </w:p>
    <w:p>
      <w:pPr>
        <w:sectPr>
          <w:pgSz w:w="11900" w:h="16838" w:orient="portrait"/>
          <w:cols w:equalWidth="0" w:num="1">
            <w:col w:w="11240"/>
          </w:cols>
          <w:pgMar w:left="320" w:top="337" w:right="33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2025, in connection with the issuance of the 2030 Convertible Notes, the Company entered into privately negotiated capped call transactions (the “2025 Capped Call Transactions”) with certain of the initial purchasers of the 2030 Convertible Notes or affiliates thereof and other financial institutions (the “Option Counterparties”). The capped call transactions initially cover, subject to customary anti-dilution adjustments, the number of shares of the Company’s common stock that initially would be issuable upon conversion of the 2030 Convertible Notes. The Capped call Transactions are net purchased call options in Euronet common stock. The Capped Call Transactions are separate transactions, entered into by the Company with the Option Counterparties, and are not part of the terms of the 2030 Convertible Notes and will not change the holders’ rights under the 2030 Convertible Notes. Holders of the 2030 Convertible Notes will not have any rights with respect to the Capped Call Transactions. The Company has concluded that the 2030 Capped Call Transactions meet the scope exceptions for derivative instruments, and as such, the 2030 Capped Call Transactions meet the criteria for classification in equity and are included as a reduction to additional paid in capital.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1.375% Senior Notes due 2026</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2019, the Company completed the sale of €600.0 million ($669.9 million) aggregate principal amount of Senior Notes that are due in May 2026 (the “Senior Notes”). The Senior Notes accrue interest at a rate of 1.375% per year, payable annually in arrears commencing May 22, 2020, until maturity or earlier redemption. As of March 31, 2026, the Company has outstanding €600.0 million ($693.1 million) principal amount of the Senior Notes. In addition, the Company may redeem some or all of these notes after February 22, 2026 at their principal amount plus any accrued and unpaid interest.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2025, the Company entered into an Uncommitted Loan Agreement for the sole purpose of providing vault cash for ATMs, that expires no later than June 19, 2026. This Uncommitted Line of Credit had a credit limit of $400 million on September 30, 2025 and $250 million thereafter. The loan had an outstanding balance of $250 million at March 31, 2026. The loan is a Prime Rate Loan, a Daily Term SOFR Rate Loan plus 1.00% or shall bear interest at the rate agreed to by the Bank and the Company at the time such loan is made. The weighted-average interest rate from loan inception date to March 31, 2026, was 5.41%.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subsidiaries have available lines of credit and overdraft credit facilities that generally provide for short-term borrowings that are used from time to time for working capital purposes. On October 9, 2024, the Company completed a facility of MYR 100 million and an overdraft facility of MYR 140 million for its Malaysian business. Each advance under this facility shall be made for a term of one month or such other period of up to 12 months. As of March 31, 2026 $24.7 million was borrowed under this facility. There were no borrowings on the overdraft facility. Including the Malaysian facility, there was a total of $32.8 million outstanding under our subsidiaries credit lines and overdraft facilities as of March 31,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unamortized debt issuance costs of $20.7 million for the 2030 Convertible Notes, $4.0 million for the Credit Facility and $0.2 million for the Senior Notes that will be amortized through October 2030 and May 2026,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 AND HEDGING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$549.3 million and $532.2 million as of March 31, 2026 and December 31, 2025, respectively. The foreign currency forward contracts consist primarily in Australian dollars, Canadian dollars, British pounds sterling, euros and Mexican pesos.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$408.1 million and $852.7 million as of March 31, 2026 and December 31, 2025, respectively, primarily in euro.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Xe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$22.1 million for the three months ended March</w:t>
      </w:r>
    </w:p>
    <w:p>
      <w:pPr>
        <w:sectPr>
          <w:pgSz w:w="11900" w:h="16838" w:orient="portrait"/>
          <w:cols w:equalWidth="0" w:num="1">
            <w:col w:w="11240"/>
          </w:cols>
          <w:pgMar w:left="320" w:top="335" w:right="339" w:bottom="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31, 2026 and $22.8 million for the three months ended March 31, 2025. All of the derivative contracts used in the Company's Xe operations are economic hedges and are not designated as hedges under ASC 815. The duration of these derivative contracts is generally less than one year.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currency derivative customer contracts held by the Company in its Xe operations as of March 31, 2026 and December 31, 2025 was $0.9 billion and $0.7 billion, respectively. The significant majority of customer contracts are written in major currencies such as the euro, U.S. dollar, British pounds sterling, Australian dollar and New Zealand dollar.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80" w:type="dxa"/>
            <w:vAlign w:val="bottom"/>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86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88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860" w:type="dxa"/>
            <w:vAlign w:val="bottom"/>
            <w:gridSpan w:val="4"/>
            <w:vMerge w:val="continue"/>
          </w:tcPr>
          <w:p>
            <w:pPr>
              <w:spacing w:after="0"/>
              <w:rPr>
                <w:sz w:val="15"/>
                <w:szCs w:val="15"/>
                <w:color w:val="auto"/>
              </w:rPr>
            </w:pPr>
          </w:p>
        </w:tc>
        <w:tc>
          <w:tcPr>
            <w:tcW w:w="86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4"/>
        </w:trPr>
        <w:tc>
          <w:tcPr>
            <w:tcW w:w="3320" w:type="dxa"/>
            <w:vAlign w:val="bottom"/>
            <w:tcBorders>
              <w:top w:val="single" w:sz="8" w:color="CCEEFF"/>
            </w:tcBorders>
            <w:shd w:val="clear" w:color="auto" w:fill="CCEEFF"/>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w w:val="99"/>
              </w:rPr>
              <w:t>Other current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Other current assets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Pr>
          <w:p>
            <w:pPr>
              <w:spacing w:after="0"/>
              <w:rPr>
                <w:sz w:val="20"/>
                <w:szCs w:val="20"/>
                <w:color w:val="auto"/>
              </w:rPr>
            </w:pPr>
          </w:p>
        </w:tc>
        <w:tc>
          <w:tcPr>
            <w:tcW w:w="130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March 31, 2026 and December 31, 2025 (in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80" w:type="dxa"/>
            <w:vAlign w:val="bottom"/>
            <w:tcBorders>
              <w:top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similar agreement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513"/>
        </w:trPr>
        <w:tc>
          <w:tcPr>
            <w:tcW w:w="4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similar agreement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432"/>
        </w:trPr>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80" w:type="dxa"/>
            <w:vAlign w:val="bottom"/>
            <w:tcBorders>
              <w:top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similar agreement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513"/>
        </w:trPr>
        <w:tc>
          <w:tcPr>
            <w:tcW w:w="4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similar agreement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Fair Value Measurements, for the determination of the fair values of derivatives.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amount of gains (losses) on derivatives in the Consolidated Statements of Income for the three months ended March 31, 2026 and 2025:</w:t>
      </w:r>
    </w:p>
    <w:p>
      <w:pPr>
        <w:spacing w:after="0" w:line="155"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Amount of Gain Recognized in Income</w:t>
      </w:r>
    </w:p>
    <w:p>
      <w:pPr>
        <w:jc w:val="center"/>
        <w:ind w:left="8660"/>
        <w:spacing w:after="0" w:line="229" w:lineRule="auto"/>
        <w:rPr>
          <w:sz w:val="20"/>
          <w:szCs w:val="20"/>
          <w:color w:val="auto"/>
        </w:rPr>
      </w:pPr>
      <w:r>
        <w:rPr>
          <w:rFonts w:ascii="Times New Roman" w:cs="Times New Roman" w:eastAsia="Times New Roman" w:hAnsi="Times New Roman"/>
          <w:sz w:val="14"/>
          <w:szCs w:val="14"/>
          <w:b w:val="1"/>
          <w:bCs w:val="1"/>
          <w:color w:val="auto"/>
        </w:rPr>
        <w:t>on</w:t>
      </w:r>
    </w:p>
    <w:p>
      <w:pPr>
        <w:jc w:val="center"/>
        <w:ind w:left="8660"/>
        <w:spacing w:after="0" w:line="232" w:lineRule="auto"/>
        <w:rPr>
          <w:sz w:val="20"/>
          <w:szCs w:val="20"/>
          <w:color w:val="auto"/>
        </w:rPr>
      </w:pPr>
      <w:r>
        <w:rPr>
          <w:rFonts w:ascii="Times New Roman" w:cs="Times New Roman" w:eastAsia="Times New Roman" w:hAnsi="Times New Roman"/>
          <w:sz w:val="14"/>
          <w:szCs w:val="14"/>
          <w:b w:val="1"/>
          <w:bCs w:val="1"/>
          <w:color w:val="auto"/>
        </w:rPr>
        <w:t>Derivative Contracts (a)</w:t>
      </w:r>
    </w:p>
    <w:tbl>
      <w:tblPr>
        <w:tblLayout w:type="fixed"/>
        <w:tblInd w:w="0" w:type="dxa"/>
        <w:tblCellMar>
          <w:top w:w="0" w:type="dxa"/>
          <w:left w:w="0" w:type="dxa"/>
          <w:bottom w:w="0" w:type="dxa"/>
          <w:right w:w="0" w:type="dxa"/>
        </w:tblCellMar>
      </w:tblPr>
      <w:tr>
        <w:trPr>
          <w:trHeight w:val="142"/>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(Loss) Recognized in Income on Derivative</w:t>
            </w:r>
          </w:p>
        </w:tc>
        <w:tc>
          <w:tcPr>
            <w:tcW w:w="280" w:type="dxa"/>
            <w:vAlign w:val="bottom"/>
            <w:tcBorders>
              <w:top w:val="single" w:sz="8" w:color="auto"/>
              <w:bottom w:val="single" w:sz="8" w:color="auto"/>
            </w:tcBorders>
          </w:tcPr>
          <w:p>
            <w:pPr>
              <w:spacing w:after="0"/>
              <w:rPr>
                <w:sz w:val="12"/>
                <w:szCs w:val="12"/>
                <w:color w:val="auto"/>
              </w:rPr>
            </w:pPr>
          </w:p>
        </w:tc>
        <w:tc>
          <w:tcPr>
            <w:tcW w:w="2420" w:type="dxa"/>
            <w:vAlign w:val="bottom"/>
            <w:tcBorders>
              <w:top w:val="single" w:sz="8" w:color="auto"/>
              <w:bottom w:val="single" w:sz="8" w:color="auto"/>
            </w:tcBorders>
            <w:gridSpan w:val="4"/>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04"/>
        </w:trPr>
        <w:tc>
          <w:tcPr>
            <w:tcW w:w="4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43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4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00" w:type="dxa"/>
            <w:vAlign w:val="bottom"/>
            <w:tcBorders>
              <w:top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Foreign currency exchange contracts - Ria</w:t>
            </w:r>
          </w:p>
        </w:tc>
        <w:tc>
          <w:tcPr>
            <w:tcW w:w="200" w:type="dxa"/>
            <w:vAlign w:val="bottom"/>
            <w:tcBorders>
              <w:top w:val="single" w:sz="8" w:color="CCEEFF"/>
            </w:tcBorders>
            <w:shd w:val="clear" w:color="auto" w:fill="CCEEFF"/>
          </w:tcPr>
          <w:p>
            <w:pPr>
              <w:spacing w:after="0"/>
              <w:rPr>
                <w:sz w:val="16"/>
                <w:szCs w:val="16"/>
                <w:color w:val="auto"/>
              </w:rPr>
            </w:pPr>
          </w:p>
        </w:tc>
        <w:tc>
          <w:tcPr>
            <w:tcW w:w="4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Operations</w:t>
            </w:r>
          </w:p>
        </w:tc>
        <w:tc>
          <w:tcPr>
            <w:tcW w:w="4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Foreign currency exchange gain (loss),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Fair Value Measurements, for the determination of the fair values of derivatives.</w:t>
      </w:r>
    </w:p>
    <w:p>
      <w:pPr>
        <w:sectPr>
          <w:pgSz w:w="11900" w:h="16838" w:orient="portrait"/>
          <w:cols w:equalWidth="0" w:num="1">
            <w:col w:w="11240"/>
          </w:cols>
          <w:pgMar w:left="320" w:top="121" w:right="339" w:bottom="0" w:gutter="0" w:footer="0" w:header="0"/>
        </w:sectPr>
      </w:pPr>
    </w:p>
    <w:bookmarkStart w:id="12" w:name="page13"/>
    <w:bookmarkEnd w:id="12"/>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36" w:lineRule="exact"/>
        <w:rPr>
          <w:sz w:val="20"/>
          <w:szCs w:val="20"/>
          <w:color w:val="auto"/>
        </w:rPr>
      </w:pPr>
    </w:p>
    <w:p>
      <w:pPr>
        <w:ind w:left="660" w:firstLine="57"/>
        <w:spacing w:after="0" w:line="266"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financial assets and liabilities measured and recorded at fair value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96"/>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7"/>
                <w:szCs w:val="17"/>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16"/>
        </w:trPr>
        <w:tc>
          <w:tcPr>
            <w:tcW w:w="3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Convertible notes receivable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3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Marketable securities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432"/>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7"/>
                <w:szCs w:val="17"/>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16"/>
        </w:trPr>
        <w:tc>
          <w:tcPr>
            <w:tcW w:w="3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Convertible notes receivable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3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Marketable securities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March 31, 2026 was based on the Secured Overnight Financing Rate ("SOFR") that resets at various intervals of less than one year. The Company estimates the fair value of the Convertible Notes and Senior Notes using quoted prices in inactive markets for identical liabilities (Level 2). </w:t>
      </w:r>
      <w:r>
        <w:rPr>
          <w:rFonts w:ascii="Times New Roman" w:cs="Times New Roman" w:eastAsia="Times New Roman" w:hAnsi="Times New Roman"/>
          <w:sz w:val="18"/>
          <w:szCs w:val="18"/>
          <w:color w:val="252525"/>
        </w:rPr>
        <w:t>As of March 31, 2026,</w:t>
      </w:r>
      <w:r>
        <w:rPr>
          <w:rFonts w:ascii="Times New Roman" w:cs="Times New Roman" w:eastAsia="Times New Roman" w:hAnsi="Times New Roman"/>
          <w:sz w:val="18"/>
          <w:szCs w:val="18"/>
          <w:color w:val="auto"/>
        </w:rPr>
        <w:t xml:space="preserve"> the fair values of the 2049 Convertible Notes, 2030 Convertible Notes and Senior Notes were $30.3 million, $901.4 million and $691.4 million, respectively, with carrying values of $33.2 million, $1,000.0 million and $693.1 million,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Euronet's Chief Executive Officer (CEO) is the Chief Operating Decision Maker (CODM) and is responsible for assessing performance and making resource allocation decisions across the Company's operating segments. The CODM evaluates segment performance primarily based on financial metrics such as revenue, operating income, and other key performance indicators. In making resource allocation decisions, the CODM reviews segment operating income and revenue on a monthly basis to assess profitability and efficiency across segments. Additionally, the CODM considers forecast-to-actual variances in revenue, operating income, and key performance indicators as part of the forecasting process. These measures are used to guide decisions related to capital investments, personnel allocation, and strategic initiatives across the Company’s segments. The CODM also evaluates segment-level profitability and return on assets when making long-term investment decisions and assessing segment performance relative to strategic goals. The accounting policies of the segments are the same as those described in the summary of significant accounting policies.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Euronet's reportable operating segments have been determined in accordance with ASC Topic 280, Segment Reporting ("ASC 280"). The Company currently operates in the following three reportable operating segments:</w:t>
      </w:r>
    </w:p>
    <w:p>
      <w:pPr>
        <w:spacing w:after="0" w:line="162" w:lineRule="exact"/>
        <w:rPr>
          <w:sz w:val="20"/>
          <w:szCs w:val="20"/>
          <w:color w:val="auto"/>
        </w:rPr>
      </w:pPr>
    </w:p>
    <w:p>
      <w:pPr>
        <w:jc w:val="both"/>
        <w:ind w:firstLine="280"/>
        <w:spacing w:after="0" w:line="258"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the Company processes transactions for a network of ATMs and POS terminals across Europe, the Middle East, Africa, Asia Pacific and the United States.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83" w:lineRule="exact"/>
        <w:rPr>
          <w:rFonts w:ascii="Times New Roman" w:cs="Times New Roman" w:eastAsia="Times New Roman" w:hAnsi="Times New Roman"/>
          <w:sz w:val="18"/>
          <w:szCs w:val="18"/>
          <w:color w:val="auto"/>
        </w:rPr>
      </w:pPr>
    </w:p>
    <w:p>
      <w:pPr>
        <w:jc w:val="both"/>
        <w:ind w:firstLine="280"/>
        <w:spacing w:after="0" w:line="26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Euronet provides distribution, processing and collection services for electronic payment products, and prepaid mobile airtime through a network of POS terminals in Europe, the Middle East, Asia Pacific, North America and South America. The epay Segment also provides vouchers and physical gift fulfillment services in Europe.</w:t>
      </w:r>
    </w:p>
    <w:p>
      <w:pPr>
        <w:spacing w:after="0" w:line="175" w:lineRule="exact"/>
        <w:rPr>
          <w:rFonts w:ascii="Times New Roman" w:cs="Times New Roman" w:eastAsia="Times New Roman" w:hAnsi="Times New Roman"/>
          <w:sz w:val="18"/>
          <w:szCs w:val="18"/>
          <w:color w:val="auto"/>
        </w:rPr>
      </w:pPr>
    </w:p>
    <w:p>
      <w:pPr>
        <w:jc w:val="both"/>
        <w:ind w:firstLine="280"/>
        <w:spacing w:after="0" w:line="312" w:lineRule="auto"/>
        <w:tabs>
          <w:tab w:leader="none" w:pos="49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Money Transfer Segment, Euronet provides global money transfers and currency exchange information in retail stores, apps, and websites through Ria Money Transfer, Xe and the Dandelion cross-border real-time payments network. Euronet’s Money Transfer segment offers real-time,</w:t>
      </w:r>
    </w:p>
    <w:p>
      <w:pPr>
        <w:sectPr>
          <w:pgSz w:w="11900" w:h="16935" w:orient="portrait"/>
          <w:cols w:equalWidth="0" w:num="1">
            <w:col w:w="11240"/>
          </w:cols>
          <w:pgMar w:left="320" w:top="121" w:right="339" w:bottom="0" w:gutter="0" w:footer="0" w:header="0"/>
        </w:sectPr>
      </w:pPr>
    </w:p>
    <w:bookmarkStart w:id="13" w:name="page14"/>
    <w:bookmarkEnd w:id="13"/>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cross-border payments to consumers and businesses across more than 200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reportable segment results for the three months ended March 31, 2026 and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EFT Processing</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Money Transfer</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 and</w:t>
            </w:r>
          </w:p>
        </w:tc>
        <w:tc>
          <w:tcPr>
            <w:tcW w:w="160" w:type="dxa"/>
            <w:vAlign w:val="bottom"/>
          </w:tcPr>
          <w:p>
            <w:pPr>
              <w:spacing w:after="0"/>
              <w:rPr>
                <w:sz w:val="12"/>
                <w:szCs w:val="12"/>
                <w:color w:val="auto"/>
              </w:rPr>
            </w:pPr>
          </w:p>
        </w:tc>
        <w:tc>
          <w:tcPr>
            <w:tcW w:w="106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0" w:type="dxa"/>
            <w:vAlign w:val="bottom"/>
          </w:tcPr>
          <w:p>
            <w:pPr>
              <w:spacing w:after="0"/>
              <w:rPr>
                <w:sz w:val="1"/>
                <w:szCs w:val="1"/>
                <w:color w:val="auto"/>
              </w:rPr>
            </w:pPr>
          </w:p>
        </w:tc>
      </w:tr>
      <w:tr>
        <w:trPr>
          <w:trHeight w:val="256"/>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Salaries and benefits</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7"/>
        </w:trPr>
        <w:tc>
          <w:tcPr>
            <w:tcW w:w="4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0" w:type="dxa"/>
            <w:vAlign w:val="bottom"/>
          </w:tcPr>
          <w:p>
            <w:pPr>
              <w:spacing w:after="0"/>
              <w:rPr>
                <w:sz w:val="1"/>
                <w:szCs w:val="1"/>
                <w:color w:val="auto"/>
              </w:rPr>
            </w:pPr>
          </w:p>
        </w:tc>
      </w:tr>
      <w:tr>
        <w:trPr>
          <w:trHeight w:val="236"/>
        </w:trPr>
        <w:tc>
          <w:tcPr>
            <w:tcW w:w="46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3" w:lineRule="exact"/>
        <w:rPr>
          <w:sz w:val="20"/>
          <w:szCs w:val="20"/>
          <w:color w:val="auto"/>
        </w:rPr>
      </w:pPr>
    </w:p>
    <w:p>
      <w:pPr>
        <w:ind w:left="100" w:right="320"/>
        <w:spacing w:after="0" w:line="266" w:lineRule="auto"/>
        <w:rPr>
          <w:sz w:val="20"/>
          <w:szCs w:val="20"/>
          <w:color w:val="auto"/>
        </w:rPr>
      </w:pPr>
      <w:r>
        <w:rPr>
          <w:rFonts w:ascii="Times New Roman" w:cs="Times New Roman" w:eastAsia="Times New Roman" w:hAnsi="Times New Roman"/>
          <w:sz w:val="18"/>
          <w:szCs w:val="18"/>
          <w:color w:val="auto"/>
        </w:rPr>
        <w:t>Direct operating costs, exclusive of depreciation Salaries and benefits</w:t>
      </w:r>
    </w:p>
    <w:p>
      <w:pPr>
        <w:ind w:left="100" w:right="1300"/>
        <w:spacing w:after="0" w:line="301" w:lineRule="auto"/>
        <w:rPr>
          <w:sz w:val="20"/>
          <w:szCs w:val="20"/>
          <w:color w:val="auto"/>
        </w:rPr>
      </w:pPr>
      <w:r>
        <w:rPr>
          <w:rFonts w:ascii="Times New Roman" w:cs="Times New Roman" w:eastAsia="Times New Roman" w:hAnsi="Times New Roman"/>
          <w:sz w:val="17"/>
          <w:szCs w:val="17"/>
          <w:color w:val="auto"/>
        </w:rPr>
        <w:t>Selling, general and administrative Depreciation and amortization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EFT Processing</w:t>
            </w:r>
          </w:p>
        </w:tc>
        <w:tc>
          <w:tcPr>
            <w:tcW w:w="32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Money Transfer</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 and</w:t>
            </w:r>
          </w:p>
        </w:tc>
        <w:tc>
          <w:tcPr>
            <w:tcW w:w="180" w:type="dxa"/>
            <w:vAlign w:val="bottom"/>
          </w:tcPr>
          <w:p>
            <w:pPr>
              <w:spacing w:after="0"/>
              <w:rPr>
                <w:sz w:val="12"/>
                <w:szCs w:val="12"/>
                <w:color w:val="auto"/>
              </w:rPr>
            </w:pPr>
          </w:p>
        </w:tc>
        <w:tc>
          <w:tcPr>
            <w:tcW w:w="10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-581025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-289560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-880745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900" w:space="720"/>
            <w:col w:w="6640"/>
          </w:cols>
          <w:pgMar w:left="320" w:top="121" w:right="319" w:bottom="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620" w:type="dxa"/>
            <w:vAlign w:val="bottom"/>
            <w:tcBorders>
              <w:top w:val="single" w:sz="8" w:color="CCEEFF"/>
            </w:tcBorders>
            <w:shd w:val="clear" w:color="auto" w:fill="CCEEFF"/>
          </w:tcPr>
          <w:p>
            <w:pPr>
              <w:ind w:left="260"/>
              <w:spacing w:after="0" w:line="192" w:lineRule="exact"/>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240.6</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372.6</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840.3</w:t>
            </w:r>
          </w:p>
        </w:tc>
        <w:tc>
          <w:tcPr>
            <w:tcW w:w="20" w:type="dxa"/>
            <w:vAlign w:val="bottom"/>
          </w:tcPr>
          <w:p>
            <w:pPr>
              <w:spacing w:after="0"/>
              <w:rPr>
                <w:sz w:val="16"/>
                <w:szCs w:val="16"/>
                <w:color w:val="auto"/>
              </w:rPr>
            </w:pPr>
          </w:p>
        </w:tc>
      </w:tr>
      <w:tr>
        <w:trPr>
          <w:trHeight w:val="210"/>
        </w:trPr>
        <w:tc>
          <w:tcPr>
            <w:tcW w:w="4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4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940" w:type="dxa"/>
            <w:vAlign w:val="bottom"/>
            <w:tcBorders>
              <w:bottom w:val="single" w:sz="8" w:color="9A9A9A"/>
            </w:tcBorders>
            <w:gridSpan w:val="4"/>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r>
        <w:trPr>
          <w:trHeight w:val="432"/>
        </w:trPr>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total assets by reportable segment:</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4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EFT Processing</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20" w:type="dxa"/>
            <w:vAlign w:val="bottom"/>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epay</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Transfer</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w:t>
            </w:r>
          </w:p>
        </w:tc>
        <w:tc>
          <w:tcPr>
            <w:tcW w:w="20" w:type="dxa"/>
            <w:vAlign w:val="bottom"/>
          </w:tcPr>
          <w:p>
            <w:pPr>
              <w:spacing w:after="0"/>
              <w:rPr>
                <w:sz w:val="19"/>
                <w:szCs w:val="19"/>
                <w:color w:val="auto"/>
              </w:rPr>
            </w:pPr>
          </w:p>
        </w:tc>
      </w:tr>
      <w:tr>
        <w:trPr>
          <w:trHeight w:val="22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4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0" w:type="dxa"/>
            <w:vAlign w:val="bottom"/>
          </w:tcPr>
          <w:p>
            <w:pPr>
              <w:spacing w:after="0"/>
              <w:rPr>
                <w:sz w:val="19"/>
                <w:szCs w:val="19"/>
                <w:color w:val="auto"/>
              </w:rPr>
            </w:pPr>
          </w:p>
        </w:tc>
      </w:tr>
      <w:tr>
        <w:trPr>
          <w:trHeight w:val="21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6,332.0</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-1486535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-1486535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09"/>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EFT Processing</w:t>
            </w:r>
          </w:p>
        </w:tc>
        <w:tc>
          <w:tcPr>
            <w:tcW w:w="28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epay</w:t>
            </w: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Money Transfer</w:t>
            </w:r>
          </w:p>
        </w:tc>
        <w:tc>
          <w:tcPr>
            <w:tcW w:w="360" w:type="dxa"/>
            <w:vAlign w:val="bottom"/>
          </w:tcPr>
          <w:p>
            <w:pPr>
              <w:spacing w:after="0"/>
              <w:rPr>
                <w:sz w:val="18"/>
                <w:szCs w:val="18"/>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r>
      <w:tr>
        <w:trPr>
          <w:trHeight w:val="229"/>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2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1,011.8</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0" w:gutter="0" w:footer="0" w:header="0"/>
          <w:type w:val="continuous"/>
        </w:sectPr>
      </w:pPr>
    </w:p>
    <w:p>
      <w:pPr>
        <w:spacing w:after="0" w:line="7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7620</wp:posOffset>
            </wp:positionV>
            <wp:extent cx="39776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ectPr>
          <w:pgSz w:w="11900" w:h="16838" w:orient="portrait"/>
          <w:cols w:equalWidth="0" w:num="1">
            <w:col w:w="11260"/>
          </w:cols>
          <w:pgMar w:left="320" w:top="121" w:right="319" w:bottom="0" w:gutter="0" w:footer="0" w:header="0"/>
          <w:type w:val="continuous"/>
        </w:sectPr>
      </w:pPr>
    </w:p>
    <w:bookmarkStart w:id="14" w:name="page15"/>
    <w:bookmarkEnd w:id="14"/>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EFT Processing</w:t>
            </w:r>
          </w:p>
        </w:tc>
        <w:tc>
          <w:tcPr>
            <w:tcW w:w="400" w:type="dxa"/>
            <w:vAlign w:val="bottom"/>
          </w:tcPr>
          <w:p>
            <w:pPr>
              <w:spacing w:after="0"/>
              <w:rPr>
                <w:sz w:val="15"/>
                <w:szCs w:val="15"/>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epay</w:t>
            </w:r>
          </w:p>
        </w:tc>
        <w:tc>
          <w:tcPr>
            <w:tcW w:w="20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Money Transfer</w:t>
            </w:r>
          </w:p>
        </w:tc>
        <w:tc>
          <w:tcPr>
            <w:tcW w:w="360" w:type="dxa"/>
            <w:vAlign w:val="bottom"/>
          </w:tcPr>
          <w:p>
            <w:pPr>
              <w:spacing w:after="0"/>
              <w:rPr>
                <w:sz w:val="15"/>
                <w:szCs w:val="15"/>
                <w:color w:val="auto"/>
              </w:rPr>
            </w:pPr>
          </w:p>
        </w:tc>
        <w:tc>
          <w:tcPr>
            <w:tcW w:w="11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r>
      <w:tr>
        <w:trPr>
          <w:trHeight w:val="229"/>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r>
      <w:tr>
        <w:trPr>
          <w:trHeight w:val="23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29"/>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9"/>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43.7% for the three months ended March 31, 2026, compared to 15.6% for the three months ended March 31,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2026 was higher than the applicable statutory income tax rate of 21% as a result of certain foreign earnings being subject to higher local statutory tax rates and our U.S. deferred tax activity. The Company's effective income tax rate for the three months ended March 31, 2025 was lower than the applicable statutory income tax rate of 21%, mainly as a result of our U.S. deferred tax activity on the repurchase of the 2049 Convertible Notes.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Pillar 2 guidelines published to date include transition and safe harbor rules around the implementation of the Pillar 2 global minimum tax of 15%. Based on current legislation, the Company does not expect a material impact in 2026. The Company is monitoring developments and evaluating the impact these new rules will have on its future income tax provision and effective income tax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$127.3 million of stand-by letters of credit/bank guarantees issued on the Company's behalf, of which $1.7 million are collateralized by cash deposits held by the respective issuing banks.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grants guarantees in support of obligations of subsidiaries. As of March 31, 2026, the Company had granted off balance sheet guarantees for cash in various ATM networks amounting to $11.7 million over the terms of the cash supply agreements and performance guarantees amounting to approximately $65.8 million over the terms of agreements with the Company's customers.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261" w:lineRule="exact"/>
        <w:rPr>
          <w:sz w:val="20"/>
          <w:szCs w:val="20"/>
          <w:color w:val="auto"/>
        </w:rPr>
      </w:pPr>
    </w:p>
    <w:p>
      <w:pPr>
        <w:ind w:left="660" w:firstLine="57"/>
        <w:spacing w:after="0" w:line="257"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managing the damage to ATMs and theft of ATM network cash. As of March 31, 2026, the balance of such cash used in the Company's ATM networks for which the Company was responsible was approximately $811.1 million. The Company and suppliers maintain insurance policies to mitigate this exposure;</w:t>
      </w:r>
    </w:p>
    <w:p>
      <w:pPr>
        <w:spacing w:after="0" w:line="1" w:lineRule="exact"/>
        <w:rPr>
          <w:sz w:val="20"/>
          <w:szCs w:val="20"/>
          <w:color w:val="auto"/>
        </w:rPr>
      </w:pPr>
    </w:p>
    <w:p>
      <w:pPr>
        <w:ind w:left="660" w:firstLine="57"/>
        <w:spacing w:after="0" w:line="250"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spacing w:after="0" w:line="1" w:lineRule="exact"/>
        <w:rPr>
          <w:sz w:val="20"/>
          <w:szCs w:val="20"/>
          <w:color w:val="auto"/>
        </w:rPr>
      </w:pPr>
    </w:p>
    <w:p>
      <w:pPr>
        <w:ind w:left="660" w:firstLine="57"/>
        <w:spacing w:after="0" w:line="250" w:lineRule="auto"/>
        <w:rPr>
          <w:sz w:val="20"/>
          <w:szCs w:val="20"/>
          <w:color w:val="auto"/>
        </w:rPr>
      </w:pPr>
      <w:r>
        <w:rPr>
          <w:rFonts w:ascii="Times New Roman" w:cs="Times New Roman" w:eastAsia="Times New Roman" w:hAnsi="Times New Roman"/>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1" w:lineRule="exact"/>
        <w:rPr>
          <w:sz w:val="20"/>
          <w:szCs w:val="20"/>
          <w:color w:val="auto"/>
        </w:rPr>
      </w:pPr>
    </w:p>
    <w:p>
      <w:pPr>
        <w:ind w:left="660" w:firstLine="57"/>
        <w:spacing w:after="0" w:line="250" w:lineRule="auto"/>
        <w:rPr>
          <w:sz w:val="20"/>
          <w:szCs w:val="20"/>
          <w:color w:val="auto"/>
        </w:rPr>
      </w:pPr>
      <w:r>
        <w:rPr>
          <w:rFonts w:ascii="Times New Roman" w:cs="Times New Roman" w:eastAsia="Times New Roman" w:hAnsi="Times New Roman"/>
          <w:sz w:val="18"/>
          <w:szCs w:val="18"/>
          <w:color w:val="auto"/>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1" w:lineRule="exact"/>
        <w:rPr>
          <w:sz w:val="20"/>
          <w:szCs w:val="20"/>
          <w:color w:val="auto"/>
        </w:rPr>
      </w:pPr>
    </w:p>
    <w:p>
      <w:pPr>
        <w:jc w:val="right"/>
        <w:ind w:left="660" w:firstLine="57"/>
        <w:spacing w:after="0" w:line="250" w:lineRule="auto"/>
        <w:rPr>
          <w:sz w:val="20"/>
          <w:szCs w:val="20"/>
          <w:color w:val="auto"/>
        </w:rPr>
      </w:pPr>
      <w:r>
        <w:rPr>
          <w:rFonts w:ascii="Times New Roman" w:cs="Times New Roman" w:eastAsia="Times New Roman" w:hAnsi="Times New Roman"/>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 w:lineRule="exact"/>
        <w:rPr>
          <w:sz w:val="20"/>
          <w:szCs w:val="20"/>
          <w:color w:val="auto"/>
        </w:rPr>
      </w:pPr>
    </w:p>
    <w:p>
      <w:pPr>
        <w:ind w:left="660" w:firstLine="57"/>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the Company is not aware of any significant claims made by the indemnified parties or third parties to guarantee agreements with the Company and, accordingly, no liabilities were recorded as of March 31, 2026 or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7780" w:firstLine="8"/>
        <w:spacing w:after="0" w:line="493" w:lineRule="auto"/>
        <w:tabs>
          <w:tab w:leader="none" w:pos="34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LITIGATION AND CONTINGENCIES Litigation and contingencies</w:t>
      </w:r>
    </w:p>
    <w:p>
      <w:pPr>
        <w:sectPr>
          <w:pgSz w:w="11900" w:h="17037" w:orient="portrait"/>
          <w:cols w:equalWidth="0" w:num="1">
            <w:col w:w="11240"/>
          </w:cols>
          <w:pgMar w:left="320" w:top="114" w:right="339" w:bottom="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the Company's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July 2024, the Company has received multiple differing judicial decisions at the same tax court addressing withholding taxes on certain agency relationships within the Money Transfer Segment in Italy. The Company had taken the position that the withholding tax is not applicable after consulting with tax advisors and receiving a tax opinion on September 13, 2010. The Company, along with the tax advisors, continue to agree with the Company’s prior conclusion. The Company completed an assessment as required under US GAAP and concluded that it is reasonably possible that a liability has been incurred, but not “probable”. The principal amount of the agent-based withholding tax could be approximately €19.4 million for all open periods.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Company was notified of a fire, resulting in the loss of Malaysian Ringgit notes in the custody of a third-party service provider. The third-party service provider had the risk of loss based on the terms of the contractual arrangement. The bank note balance of approximately $11.0 million was moved to other receivables as of March 31, 2026. At this time the Company has determined that it is probable the bank notes will be recovered from the third-party service provider.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operating leases for ATM sites, office spaces, retail stores and equipment. The Company's finance leases are immaterial. Right of use (ROU) assets and lease liabilities are recognized at the lease commencement date based on the present value of the lease payments over the lease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value of lease payments is determined using the incremental borrowing rate based on information available at the lease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expense for these leases on a straight-line basis over the lease term.</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as of March 31, 2026 are: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 of March 31, 2026</w:t>
            </w:r>
          </w:p>
        </w:tc>
      </w:tr>
      <w:tr>
        <w:trPr>
          <w:trHeight w:val="209"/>
        </w:trPr>
        <w:tc>
          <w:tcPr>
            <w:tcW w:w="9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Maturity of Lease Liabilities (in millions)</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Operating Leases (1)</w:t>
            </w:r>
          </w:p>
        </w:tc>
      </w:tr>
      <w:tr>
        <w:trPr>
          <w:trHeight w:val="20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8"/>
                <w:szCs w:val="18"/>
                <w:color w:val="auto"/>
              </w:rPr>
            </w:pP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9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18.8</w:t>
            </w: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156.6</w:t>
            </w:r>
          </w:p>
        </w:tc>
      </w:tr>
      <w:tr>
        <w:trPr>
          <w:trHeight w:val="216"/>
        </w:trPr>
        <w:tc>
          <w:tcPr>
            <w:tcW w:w="9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(12.4)</w:t>
            </w: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144.2</w:t>
            </w:r>
          </w:p>
        </w:tc>
      </w:tr>
    </w:tbl>
    <w:p>
      <w:pPr>
        <w:spacing w:after="0" w:line="198" w:lineRule="exact"/>
        <w:rPr>
          <w:sz w:val="20"/>
          <w:szCs w:val="20"/>
          <w:color w:val="auto"/>
        </w:rPr>
      </w:pPr>
    </w:p>
    <w:p>
      <w:pPr>
        <w:ind w:left="5540" w:right="2560" w:hanging="5208"/>
        <w:spacing w:after="0" w:line="532"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reflect the Company's current fixed obligations under the operating lease agreements.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recognized in the Consolidated Statements of Income is summarized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Expense</w:t>
            </w:r>
          </w:p>
        </w:tc>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3740" w:type="dxa"/>
            <w:vAlign w:val="bottom"/>
            <w:gridSpan w:val="2"/>
            <w:vMerge w:val="continue"/>
          </w:tcPr>
          <w:p>
            <w:pPr>
              <w:spacing w:after="0"/>
              <w:rPr>
                <w:sz w:val="12"/>
                <w:szCs w:val="12"/>
                <w:color w:val="auto"/>
              </w:rPr>
            </w:pP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Selling, general and administrative and Direct operating</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costs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Selling, general and administrative and Direct operating</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costs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information about lease amounts recognized in the consolidated financial statements is summarized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Lease Term and Discount Rate of Operating Leases</w:t>
            </w:r>
          </w:p>
        </w:tc>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237"/>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5"/>
              </w:rPr>
              <w:t>3.7%</w:t>
            </w:r>
          </w:p>
        </w:tc>
        <w:tc>
          <w:tcPr>
            <w:tcW w:w="0" w:type="dxa"/>
            <w:vAlign w:val="bottom"/>
          </w:tcPr>
          <w:p>
            <w:pPr>
              <w:spacing w:after="0"/>
              <w:rPr>
                <w:sz w:val="1"/>
                <w:szCs w:val="1"/>
                <w:color w:val="auto"/>
              </w:rPr>
            </w:pPr>
          </w:p>
        </w:tc>
      </w:tr>
      <w:tr>
        <w:trPr>
          <w:trHeight w:val="432"/>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73"/>
        </w:trPr>
        <w:tc>
          <w:tcPr>
            <w:tcW w:w="3740" w:type="dxa"/>
            <w:vAlign w:val="bottom"/>
            <w:tcBorders>
              <w:bottom w:val="single" w:sz="8" w:color="auto"/>
            </w:tcBorders>
            <w:gridSpan w:val="2"/>
            <w:vMerge w:val="continue"/>
          </w:tcPr>
          <w:p>
            <w:pPr>
              <w:spacing w:after="0"/>
              <w:rPr>
                <w:sz w:val="15"/>
                <w:szCs w:val="15"/>
                <w:color w:val="auto"/>
              </w:rPr>
            </w:pPr>
          </w:p>
        </w:tc>
        <w:tc>
          <w:tcPr>
            <w:tcW w:w="4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Cash paid for amounts included in the measurement of lease liabilities </w:t>
            </w:r>
            <w:r>
              <w:rPr>
                <w:rFonts w:ascii="Times New Roman" w:cs="Times New Roman" w:eastAsia="Times New Roman" w:hAnsi="Times New Roman"/>
                <w:sz w:val="18"/>
                <w:szCs w:val="18"/>
                <w:i w:val="1"/>
                <w:iCs w:val="1"/>
                <w:color w:val="auto"/>
              </w:rPr>
              <w:t>(a)</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non-cash information on lease liabilities arising from obtaining ROU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28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540" w:right="2540" w:hanging="5208"/>
        <w:spacing w:after="0" w:line="472" w:lineRule="auto"/>
        <w:tabs>
          <w:tab w:leader="none" w:pos="593"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Included in Net cash provided by operating activities on the Company's Consolidated Statements of Cash Flows. </w:t>
      </w: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w:t>
      </w:r>
    </w:p>
    <w:p>
      <w:pPr>
        <w:sectPr>
          <w:pgSz w:w="11900" w:h="16900" w:orient="portrait"/>
          <w:cols w:equalWidth="0" w:num="1">
            <w:col w:w="11240"/>
          </w:cols>
          <w:pgMar w:left="320" w:top="117" w:right="339" w:bottom="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business plans and financing plans and requirements;</w:t>
      </w:r>
    </w:p>
    <w:p>
      <w:pPr>
        <w:spacing w:after="0" w:line="27" w:lineRule="exact"/>
        <w:rPr>
          <w:sz w:val="20"/>
          <w:szCs w:val="20"/>
          <w:color w:val="auto"/>
        </w:rPr>
      </w:pPr>
    </w:p>
    <w:p>
      <w:pPr>
        <w:ind w:left="720" w:right="5240"/>
        <w:spacing w:after="0" w:line="250" w:lineRule="auto"/>
        <w:rPr>
          <w:sz w:val="20"/>
          <w:szCs w:val="20"/>
          <w:color w:val="auto"/>
        </w:rPr>
      </w:pPr>
      <w:r>
        <w:rPr>
          <w:rFonts w:ascii="Times New Roman" w:cs="Times New Roman" w:eastAsia="Times New Roman" w:hAnsi="Times New Roman"/>
          <w:sz w:val="18"/>
          <w:szCs w:val="18"/>
          <w:color w:val="auto"/>
        </w:rPr>
        <w:t>trends affecting our business plans and financing plans and requirements; trends affecting our business;</w:t>
      </w:r>
    </w:p>
    <w:p>
      <w:pPr>
        <w:ind w:left="720" w:right="4940"/>
        <w:spacing w:after="0" w:line="250" w:lineRule="auto"/>
        <w:rPr>
          <w:sz w:val="20"/>
          <w:szCs w:val="20"/>
          <w:color w:val="auto"/>
        </w:rPr>
      </w:pPr>
      <w:r>
        <w:rPr>
          <w:rFonts w:ascii="Times New Roman" w:cs="Times New Roman" w:eastAsia="Times New Roman" w:hAnsi="Times New Roman"/>
          <w:sz w:val="18"/>
          <w:szCs w:val="18"/>
          <w:color w:val="auto"/>
        </w:rPr>
        <w:t>the adequacy of capital to meet our capital requirements and expansion plans; the assumptions underlying our business plans;</w:t>
      </w:r>
    </w:p>
    <w:p>
      <w:pPr>
        <w:ind w:left="720" w:right="8020"/>
        <w:spacing w:after="0" w:line="265" w:lineRule="auto"/>
        <w:rPr>
          <w:sz w:val="20"/>
          <w:szCs w:val="20"/>
          <w:color w:val="auto"/>
        </w:rPr>
      </w:pPr>
      <w:r>
        <w:rPr>
          <w:rFonts w:ascii="Times New Roman" w:cs="Times New Roman" w:eastAsia="Times New Roman" w:hAnsi="Times New Roman"/>
          <w:sz w:val="17"/>
          <w:szCs w:val="17"/>
          <w:color w:val="auto"/>
        </w:rPr>
        <w:t>our ability to repay indebtedness; our estimated capital expenditures;</w:t>
      </w:r>
    </w:p>
    <w:p>
      <w:pPr>
        <w:ind w:left="480"/>
        <w:spacing w:after="0"/>
        <w:rPr>
          <w:sz w:val="20"/>
          <w:szCs w:val="20"/>
          <w:color w:val="auto"/>
        </w:rPr>
      </w:pPr>
      <w:r>
        <w:rPr>
          <w:rFonts w:ascii="Times New Roman" w:cs="Times New Roman" w:eastAsia="Times New Roman" w:hAnsi="Times New Roman"/>
          <w:sz w:val="18"/>
          <w:szCs w:val="18"/>
          <w:color w:val="auto"/>
        </w:rPr>
        <w:t>the potential outcome of loss contingencies;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9" w:lineRule="exact"/>
        <w:rPr>
          <w:sz w:val="20"/>
          <w:szCs w:val="20"/>
          <w:color w:val="auto"/>
        </w:rPr>
      </w:pPr>
    </w:p>
    <w:p>
      <w:pPr>
        <w:ind w:left="720" w:right="3600"/>
        <w:spacing w:after="0" w:line="250" w:lineRule="auto"/>
        <w:rPr>
          <w:sz w:val="20"/>
          <w:szCs w:val="20"/>
          <w:color w:val="auto"/>
        </w:rPr>
      </w:pPr>
      <w:r>
        <w:rPr>
          <w:rFonts w:ascii="Times New Roman" w:cs="Times New Roman" w:eastAsia="Times New Roman" w:hAnsi="Times New Roman"/>
          <w:sz w:val="18"/>
          <w:szCs w:val="18"/>
          <w:color w:val="auto"/>
        </w:rPr>
        <w:t>our ability to successfully integrate acquired businesses and to realize any anticipated synergies; business strategy;</w:t>
      </w:r>
    </w:p>
    <w:p>
      <w:pPr>
        <w:ind w:left="480"/>
        <w:spacing w:after="0"/>
        <w:rPr>
          <w:sz w:val="20"/>
          <w:szCs w:val="20"/>
          <w:color w:val="auto"/>
        </w:rPr>
      </w:pPr>
      <w:r>
        <w:rPr>
          <w:rFonts w:ascii="Times New Roman" w:cs="Times New Roman" w:eastAsia="Times New Roman" w:hAnsi="Times New Roman"/>
          <w:sz w:val="18"/>
          <w:szCs w:val="18"/>
          <w:color w:val="auto"/>
        </w:rPr>
        <w:t>government regulatory action;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expected effects of changes in laws or accounting standards;</w:t>
      </w:r>
    </w:p>
    <w:p>
      <w:pPr>
        <w:spacing w:after="0" w:line="9" w:lineRule="exact"/>
        <w:rPr>
          <w:sz w:val="20"/>
          <w:szCs w:val="20"/>
          <w:color w:val="auto"/>
        </w:rPr>
      </w:pPr>
    </w:p>
    <w:p>
      <w:pPr>
        <w:ind w:left="720" w:right="5020"/>
        <w:spacing w:after="0" w:line="250" w:lineRule="auto"/>
        <w:rPr>
          <w:sz w:val="20"/>
          <w:szCs w:val="20"/>
          <w:color w:val="auto"/>
        </w:rPr>
      </w:pPr>
      <w:r>
        <w:rPr>
          <w:rFonts w:ascii="Times New Roman" w:cs="Times New Roman" w:eastAsia="Times New Roman" w:hAnsi="Times New Roman"/>
          <w:sz w:val="18"/>
          <w:szCs w:val="18"/>
          <w:color w:val="auto"/>
        </w:rPr>
        <w:t>the impact of pandemics on our results of operations and financial positions; technological advances; and</w:t>
      </w:r>
    </w:p>
    <w:p>
      <w:pPr>
        <w:ind w:left="480"/>
        <w:spacing w:after="0"/>
        <w:rPr>
          <w:sz w:val="20"/>
          <w:szCs w:val="20"/>
          <w:color w:val="auto"/>
        </w:rPr>
      </w:pPr>
      <w:r>
        <w:rPr>
          <w:rFonts w:ascii="Times New Roman" w:cs="Times New Roman" w:eastAsia="Times New Roman" w:hAnsi="Times New Roman"/>
          <w:sz w:val="18"/>
          <w:szCs w:val="18"/>
          <w:color w:val="auto"/>
        </w:rPr>
        <w:t>projected costs and revenues.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the Company’s ability to retain customers and retain and hire key personnel and maintain relationships with their suppliers and customers, and on their operating results and businesses generally; the risk of rating agency actions and the Company’s ability to access short- and long-term debt markets on a timely and affordable basis; conditions in world financial markets and general economic conditions, including impacts from pandemics or other disease outbreaks; inflation; tariffs; military conflicts in Ukraine and the Middle East and the related economic sanctions; our ability to successfully integrate any acquired operations; economic conditions in specific countries and regions; technological developments, including artificial intelligence,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EU’s General Data Protection Regulation and Second Revised Payment Service Directive requirements; changes in laws and regulations affecting our business, including tax and immigration laws and any laws regulating payments, including dynamic currency conversion transactions, stablecoins and digital currencies;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is a leading global financial technology solutions and payments provider. We offer payment and transaction processing 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spacing w:after="0" w:line="183" w:lineRule="exact"/>
        <w:rPr>
          <w:sz w:val="20"/>
          <w:szCs w:val="20"/>
          <w:color w:val="auto"/>
        </w:rPr>
      </w:pPr>
    </w:p>
    <w:p>
      <w:pPr>
        <w:jc w:val="both"/>
        <w:ind w:firstLine="8"/>
        <w:spacing w:after="0" w:line="258" w:lineRule="auto"/>
        <w:tabs>
          <w:tab w:leader="none" w:pos="2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52,579 installed ATMs and approximately 608,000 POS terminals. EFT operates in 70 countries.</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66 countries. We operate a network that includes approximately 731,000 POS terminals that enable electronic processing of prepaid mobile airtime "top-up" services and other digital media content.</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200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 Money Transfer Segment has digital connections to 4.1 billion bank accounts and 3.7 billion digital wallet accounts.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in Leawood, Kansas, USA. With approximately 74%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29% of total consolidated revenues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2026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29% of total consolidated revenues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2026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has decreased over time, and digital media content now produces approximately 75% of epay Segment revenues. Digital media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w:t>
      </w:r>
      <w:r>
        <w:rPr>
          <w:rFonts w:ascii="Times New Roman" w:cs="Times New Roman" w:eastAsia="Times New Roman" w:hAnsi="Times New Roman"/>
          <w:sz w:val="18"/>
          <w:szCs w:val="18"/>
          <w:color w:val="auto"/>
        </w:rPr>
        <w:t>— Revenues in the Money Transfer Segment, which represented approximately 42% of total consolidated revenues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2026,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w:t>
      </w:r>
    </w:p>
    <w:p>
      <w:pPr>
        <w:sectPr>
          <w:pgSz w:w="11900" w:h="16838" w:orient="portrait"/>
          <w:cols w:equalWidth="0" w:num="1">
            <w:col w:w="11240"/>
          </w:cols>
          <w:pgMar w:left="320" w:top="117" w:right="339" w:bottom="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services to the operating segments, including most share-based compensation expense. These services are not directly identifiable with our reportable operating 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47" w:lineRule="exact"/>
        <w:rPr>
          <w:sz w:val="20"/>
          <w:szCs w:val="20"/>
          <w:color w:val="auto"/>
        </w:rPr>
      </w:pPr>
    </w:p>
    <w:p>
      <w:pPr>
        <w:jc w:val="both"/>
        <w:ind w:firstLine="8"/>
        <w:spacing w:after="0" w:line="261" w:lineRule="auto"/>
        <w:tabs>
          <w:tab w:leader="none" w:pos="1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 and financial institutions. Operational challenges in the EFT Processing Segment include obtaining and maintaining the required licenses and sponsorship agreements in</w:t>
      </w:r>
    </w:p>
    <w:p>
      <w:pPr>
        <w:spacing w:after="0" w:line="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markets in which we operate and navigating frequently changing rules imposed by international card organizations, such as Visa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Inflationary pressure may impact our business as travelers have less cash available to spend on vacations.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8"/>
        <w:spacing w:after="0" w:line="254" w:lineRule="auto"/>
        <w:tabs>
          <w:tab w:leader="none" w:pos="1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228" w:lineRule="exact"/>
        <w:rPr>
          <w:rFonts w:ascii="Times New Roman" w:cs="Times New Roman" w:eastAsia="Times New Roman" w:hAnsi="Times New Roman"/>
          <w:sz w:val="18"/>
          <w:szCs w:val="18"/>
          <w:color w:val="auto"/>
        </w:rPr>
      </w:pPr>
    </w:p>
    <w:p>
      <w:pPr>
        <w:jc w:val="both"/>
        <w:ind w:firstLine="8"/>
        <w:spacing w:after="0" w:line="254" w:lineRule="auto"/>
        <w:tabs>
          <w:tab w:leader="none" w:pos="2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inherent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SUMMARY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operating income by segment for the three months ended March 31, 2026 and 2025 are summarized in the tables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Revenue for the Three months ended</w:t>
            </w:r>
          </w:p>
        </w:tc>
        <w:tc>
          <w:tcPr>
            <w:tcW w:w="180" w:type="dxa"/>
            <w:vAlign w:val="bottom"/>
          </w:tcPr>
          <w:p>
            <w:pPr>
              <w:spacing w:after="0"/>
              <w:rPr>
                <w:sz w:val="13"/>
                <w:szCs w:val="13"/>
                <w:color w:val="auto"/>
              </w:rPr>
            </w:pPr>
          </w:p>
        </w:tc>
        <w:tc>
          <w:tcPr>
            <w:tcW w:w="244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40" w:type="dxa"/>
            <w:vAlign w:val="bottom"/>
          </w:tcPr>
          <w:p>
            <w:pPr>
              <w:spacing w:after="0"/>
              <w:rPr>
                <w:sz w:val="12"/>
                <w:szCs w:val="12"/>
                <w:color w:val="auto"/>
              </w:rPr>
            </w:pPr>
          </w:p>
        </w:tc>
        <w:tc>
          <w:tcPr>
            <w:tcW w:w="110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128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Increase Percent</w:t>
            </w:r>
          </w:p>
        </w:tc>
        <w:tc>
          <w:tcPr>
            <w:tcW w:w="0" w:type="dxa"/>
            <w:vAlign w:val="bottom"/>
          </w:tcPr>
          <w:p>
            <w:pPr>
              <w:spacing w:after="0"/>
              <w:rPr>
                <w:sz w:val="1"/>
                <w:szCs w:val="1"/>
                <w:color w:val="auto"/>
              </w:rPr>
            </w:pPr>
          </w:p>
        </w:tc>
      </w:tr>
      <w:tr>
        <w:trPr>
          <w:trHeight w:val="173"/>
        </w:trPr>
        <w:tc>
          <w:tcPr>
            <w:tcW w:w="59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EFT Processing</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epay</w:t>
            </w:r>
          </w:p>
        </w:tc>
        <w:tc>
          <w:tcPr>
            <w:tcW w:w="140" w:type="dxa"/>
            <w:vAlign w:val="bottom"/>
          </w:tcPr>
          <w:p>
            <w:pPr>
              <w:spacing w:after="0"/>
              <w:rPr>
                <w:sz w:val="18"/>
                <w:szCs w:val="18"/>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Money Transfer</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1,014.1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96.3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Income (Expense) for the</w:t>
            </w:r>
          </w:p>
        </w:tc>
        <w:tc>
          <w:tcPr>
            <w:tcW w:w="180" w:type="dxa"/>
            <w:vAlign w:val="bottom"/>
          </w:tcPr>
          <w:p>
            <w:pPr>
              <w:spacing w:after="0"/>
              <w:rPr>
                <w:sz w:val="24"/>
                <w:szCs w:val="24"/>
                <w:color w:val="auto"/>
              </w:rPr>
            </w:pPr>
          </w:p>
        </w:tc>
        <w:tc>
          <w:tcPr>
            <w:tcW w:w="2440" w:type="dxa"/>
            <w:vAlign w:val="bottom"/>
            <w:gridSpan w:val="3"/>
            <w:vMerge w:val="restart"/>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2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165"/>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48"/>
        </w:trPr>
        <w:tc>
          <w:tcPr>
            <w:tcW w:w="5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40" w:type="dxa"/>
            <w:vAlign w:val="bottom"/>
          </w:tcPr>
          <w:p>
            <w:pPr>
              <w:spacing w:after="0"/>
              <w:rPr>
                <w:sz w:val="12"/>
                <w:szCs w:val="12"/>
                <w:color w:val="auto"/>
              </w:rPr>
            </w:pPr>
          </w:p>
        </w:tc>
        <w:tc>
          <w:tcPr>
            <w:tcW w:w="1100" w:type="dxa"/>
            <w:vAlign w:val="bottom"/>
            <w:vMerge w:val="restart"/>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1280" w:type="dxa"/>
            <w:vAlign w:val="bottom"/>
          </w:tcPr>
          <w:p>
            <w:pPr>
              <w:jc w:val="center"/>
              <w:ind w:right="16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8"/>
        </w:trPr>
        <w:tc>
          <w:tcPr>
            <w:tcW w:w="5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8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ind w:left="60"/>
        <w:spacing w:after="0"/>
        <w:tabs>
          <w:tab w:leader="none" w:pos="5680" w:val="left"/>
          <w:tab w:leader="none" w:pos="6560" w:val="left"/>
          <w:tab w:leader="none" w:pos="7080" w:val="left"/>
          <w:tab w:leader="none" w:pos="7960" w:val="left"/>
          <w:tab w:leader="none" w:pos="8500" w:val="left"/>
          <w:tab w:leader="none" w:pos="9480" w:val="left"/>
          <w:tab w:leader="none" w:pos="10920" w:val="left"/>
        </w:tabs>
        <w:rPr>
          <w:sz w:val="20"/>
          <w:szCs w:val="20"/>
          <w:color w:val="auto"/>
        </w:rPr>
      </w:pPr>
      <w:r>
        <w:rPr>
          <w:rFonts w:ascii="Times New Roman" w:cs="Times New Roman" w:eastAsia="Times New Roman" w:hAnsi="Times New Roman"/>
          <w:sz w:val="18"/>
          <w:szCs w:val="18"/>
          <w:color w:val="auto"/>
        </w:rPr>
        <w:t>EFT Processing</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23.4</w:t>
        <w:tab/>
        <w:t>$</w:t>
      </w:r>
      <w:r>
        <w:rPr>
          <w:sz w:val="20"/>
          <w:szCs w:val="20"/>
          <w:color w:val="auto"/>
        </w:rPr>
        <w:tab/>
      </w:r>
      <w:r>
        <w:rPr>
          <w:rFonts w:ascii="Times New Roman" w:cs="Times New Roman" w:eastAsia="Times New Roman" w:hAnsi="Times New Roman"/>
          <w:sz w:val="18"/>
          <w:szCs w:val="18"/>
          <w:color w:val="auto"/>
        </w:rPr>
        <w:t>23.3</w:t>
        <w:tab/>
        <w:t>$</w:t>
      </w:r>
      <w:r>
        <w:rPr>
          <w:sz w:val="20"/>
          <w:szCs w:val="20"/>
          <w:color w:val="auto"/>
        </w:rPr>
        <w:tab/>
      </w:r>
      <w:r>
        <w:rPr>
          <w:rFonts w:ascii="Times New Roman" w:cs="Times New Roman" w:eastAsia="Times New Roman" w:hAnsi="Times New Roman"/>
          <w:sz w:val="18"/>
          <w:szCs w:val="18"/>
          <w:color w:val="auto"/>
        </w:rPr>
        <w:t>0.1</w:t>
      </w:r>
      <w:r>
        <w:rPr>
          <w:sz w:val="20"/>
          <w:szCs w:val="20"/>
          <w:color w:val="auto"/>
        </w:rPr>
        <w:tab/>
      </w:r>
      <w:r>
        <w:rPr>
          <w:rFonts w:ascii="Times New Roman" w:cs="Times New Roman" w:eastAsia="Times New Roman" w:hAnsi="Times New Roman"/>
          <w:sz w:val="18"/>
          <w:szCs w:val="18"/>
          <w:color w:val="auto"/>
        </w:rPr>
        <w:t>0%</w:t>
      </w:r>
    </w:p>
    <w:p>
      <w:pPr>
        <w:sectPr>
          <w:pgSz w:w="11900" w:h="16838" w:orient="portrait"/>
          <w:cols w:equalWidth="0" w:num="1">
            <w:col w:w="11240"/>
          </w:cols>
          <w:pgMar w:left="320" w:top="121" w:right="3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epay</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Money Transfer</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 Translation Rate Three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months ended March 31,</w:t>
            </w:r>
          </w:p>
        </w:tc>
        <w:tc>
          <w:tcPr>
            <w:tcW w:w="12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Currency (dollars per foreign currency)</w:t>
            </w: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12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3940" w:type="dxa"/>
            <w:vAlign w:val="bottom"/>
            <w:tcBorders>
              <w:bottom w:val="single" w:sz="8" w:color="auto"/>
            </w:tcBorders>
            <w:vMerge w:val="continue"/>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Australian dollar (AUD)</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0.6988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0.6271</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British pound (GBP)</w:t>
            </w:r>
          </w:p>
        </w:tc>
        <w:tc>
          <w:tcPr>
            <w:tcW w:w="33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Canadian dollar (CAD)</w:t>
            </w:r>
          </w:p>
        </w:tc>
        <w:tc>
          <w:tcPr>
            <w:tcW w:w="330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0.7293</w:t>
            </w:r>
          </w:p>
        </w:tc>
        <w:tc>
          <w:tcPr>
            <w:tcW w:w="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0.6973</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euro (EUR)</w:t>
            </w:r>
          </w:p>
        </w:tc>
        <w:tc>
          <w:tcPr>
            <w:tcW w:w="33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Hungarian forint (HUF)</w:t>
            </w:r>
          </w:p>
        </w:tc>
        <w:tc>
          <w:tcPr>
            <w:tcW w:w="330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0.0031</w:t>
            </w:r>
          </w:p>
        </w:tc>
        <w:tc>
          <w:tcPr>
            <w:tcW w:w="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0.0026</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Indian rupee (INR)</w:t>
            </w:r>
          </w:p>
        </w:tc>
        <w:tc>
          <w:tcPr>
            <w:tcW w:w="33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0.0108</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0.0115</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Malaysian ringgit (MYR)</w:t>
            </w:r>
          </w:p>
        </w:tc>
        <w:tc>
          <w:tcPr>
            <w:tcW w:w="330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0.2526</w:t>
            </w:r>
          </w:p>
        </w:tc>
        <w:tc>
          <w:tcPr>
            <w:tcW w:w="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0.2249</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Zealand dollar (NZD)</w:t>
            </w:r>
          </w:p>
        </w:tc>
        <w:tc>
          <w:tcPr>
            <w:tcW w:w="33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0.5917</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0.5673</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Polish zloty (PLN)</w:t>
            </w:r>
          </w:p>
        </w:tc>
        <w:tc>
          <w:tcPr>
            <w:tcW w:w="330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0.2773</w:t>
            </w:r>
          </w:p>
        </w:tc>
        <w:tc>
          <w:tcPr>
            <w:tcW w:w="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0.2508</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4"/>
                <w:szCs w:val="24"/>
                <w:color w:val="auto"/>
              </w:rPr>
            </w:pPr>
          </w:p>
        </w:tc>
        <w:tc>
          <w:tcPr>
            <w:tcW w:w="28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our EFT Processing Segment for the three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460" w:type="dxa"/>
            <w:vAlign w:val="bottom"/>
            <w:gridSpan w:val="3"/>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80" w:type="dxa"/>
            <w:vAlign w:val="bottom"/>
          </w:tcPr>
          <w:p>
            <w:pPr>
              <w:spacing w:after="0"/>
              <w:rPr>
                <w:sz w:val="12"/>
                <w:szCs w:val="12"/>
                <w:color w:val="auto"/>
              </w:rPr>
            </w:pPr>
          </w:p>
        </w:tc>
        <w:tc>
          <w:tcPr>
            <w:tcW w:w="9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2"/>
                <w:szCs w:val="12"/>
                <w:color w:val="auto"/>
              </w:rPr>
            </w:pPr>
          </w:p>
        </w:tc>
        <w:tc>
          <w:tcPr>
            <w:tcW w:w="12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5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9"/>
        </w:trPr>
        <w:tc>
          <w:tcPr>
            <w:tcW w:w="57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7"/>
        </w:trPr>
        <w:tc>
          <w:tcPr>
            <w:tcW w:w="570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Transactions processed (millions)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3,947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3,464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483</w:t>
            </w:r>
          </w:p>
        </w:tc>
        <w:tc>
          <w:tcPr>
            <w:tcW w:w="1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Active ATMs as of March 31,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installed ATMs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EFT Processing Segment total revenues were $295.4 million for the three months ended March 31, 2026, an increase of $62.9 million or 27% compared to the same period in 2025. Revenue growth was driven by continued growth in acquiring, REN infrastructure sales and contributions from the CoreCard acquisition completed in the fourth quarter of 2025. Fluctuations in foreign currency exchange rates increased revenues by approximately $17.6 million for the three months ended March 31, 2026 compared to the same period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EFT Processing Segment direct operating costs were $175.2 million for the three months ended March 31, 2026, an increase of $38.7 million or 28% compared to the same period in 2025.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The primary drivers of the increase in direct costs were additional expenses required to support increased business volumes from both new (CoreCard) and existing operations. Direct costs were also impacted by overall cost inflation in products and services. Fluctuations in foreign currency exchange rates increased direct operating costs by approximately $11.9 million for the three months ended March 31, 2026 compared to the same period in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$120.2 million for the three months ended March 31, 2026, an increase of</w:t>
      </w:r>
    </w:p>
    <w:p>
      <w:pPr>
        <w:sectPr>
          <w:pgSz w:w="11900" w:h="16838" w:orient="portrait"/>
          <w:cols w:equalWidth="0" w:num="1">
            <w:col w:w="11240"/>
          </w:cols>
          <w:pgMar w:left="320" w:top="121" w:right="339" w:bottom="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$24.2 million or 25% compared to $96.0 million for the same period in 2025. Gross profit as a percentage of revenues (“gross margin”) decreased to 40.7% for the three months ended March 31, 2026, compared to 41.3% for the same period in 2025. The decline in gross margin was primarily driven by a shift in revenue mix resulting from card activation volumes for the Bilt credit card on the CoreCard processing platform during the first quarter of 2026, which generates higher revenue at relatively lower margins.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benefits expenses were $48.4 million for the three months ended March 31, 2026, an increase of $12.9 million or 36% compared to the same period in 2025. The increase is primarily due to the acquisition of CoreCard in the fourth quarter of 2025, an increase in headcount to support the growth of the business and salary increases due to inflationary pressures. As a percentage of revenues, salary expense increased to 16.4% for the three months ended March 31, 2026, compared to 15.3% for the same period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$16.6 million for the three months ended March 31, 2026, an increase of $3.7 million or 29% compared to the same period in 2025. As a percentage of revenues, these expenses increased to 5.6% for the three months ended March 31, 2026 compared to 5.5% for the same period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were $31.8 million for the three months ended March 31, 2026, an increase of $7.5 million or 31% compared to the same period in 2025. As a percentage of revenues, these expenses increased to 10.8% for the three months ended March 31, 2026, compared to 10.5% for the same period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EFT Processing Segment had operating income of $23.4 million for the three months ended March 31, 2026, an increase of $0.1 million compared to the same period in 2025. Operating income as a percentage of revenues (“operating margin”) decreased to 7.9% for the three months ended March 31, 2026, compared to 10.0% for the same period in 2025. The decrease in operating margin was primarily attributable to lower gross margins resulting from expansion into lower-priced markets and increased salary and benefit expenses to support business growth.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2026 and 2025 for our epay Segment: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460" w:type="dxa"/>
            <w:vAlign w:val="bottom"/>
            <w:gridSpan w:val="3"/>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80" w:type="dxa"/>
            <w:vAlign w:val="bottom"/>
          </w:tcPr>
          <w:p>
            <w:pPr>
              <w:spacing w:after="0"/>
              <w:rPr>
                <w:sz w:val="12"/>
                <w:szCs w:val="12"/>
                <w:color w:val="auto"/>
              </w:rPr>
            </w:pPr>
          </w:p>
        </w:tc>
        <w:tc>
          <w:tcPr>
            <w:tcW w:w="9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2"/>
                <w:szCs w:val="12"/>
                <w:color w:val="auto"/>
              </w:rPr>
            </w:pPr>
          </w:p>
        </w:tc>
        <w:tc>
          <w:tcPr>
            <w:tcW w:w="12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5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5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9"/>
        </w:trPr>
        <w:tc>
          <w:tcPr>
            <w:tcW w:w="57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7"/>
        </w:trPr>
        <w:tc>
          <w:tcPr>
            <w:tcW w:w="5700" w:type="dxa"/>
            <w:vAlign w:val="bottom"/>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Transactions processed (millions)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epay Segment total revenues were $293.5 million for the three months ended March 31, 2026, an increase of $26.1 million or 10% compared to the same period in 2025. Fluctuations in foreign currency exchange rates increased revenues by approximately $19.9 million for the three months ended March 31, 2026 compared to the same period in 2025. Excluding the impact of foreign currency, revenue growth reflects favorable transaction mix and pricing. The decrease in transactions processed primarily relates to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volume,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revenue transactions in the Asia Pacific region and did not have a significant impact on revenues.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epay Segment direct operating costs were $221.5 million for the three months ended March 31, 2026, an increase of $19.4 million or 10% compared to the same period in 2025. Direct operating costs primarily consist of the commissions paid to retail merchants for the distribution and sale of prepaid mobile airtime and other prepaid products, expenses incurred to operate POS terminals and the cost of vouchers sold and physical gifts fulfilled. Fluctuations in foreign currency exchange rates increased direct operating costs by approximately $15.1 million for the three months ended March 31, 2026 compared to the same period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$72.0 million for the three months ended March 31, 2026, an increase of $6.7 million or 10% compared to $65.3 million for the same period in 2025. Gross margin increased to 24.5% for the three months ended March 31, 2026, compared to 24.4% for the same period in 2025. The increase in gross profit and gross margin were primarily a result of a shift in the mix of transactions processed.</w:t>
      </w:r>
    </w:p>
    <w:p>
      <w:pPr>
        <w:sectPr>
          <w:pgSz w:w="11900" w:h="16838" w:orient="portrait"/>
          <w:cols w:equalWidth="0" w:num="1">
            <w:col w:w="11240"/>
          </w:cols>
          <w:pgMar w:left="320" w:top="121" w:right="339" w:bottom="56"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56"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benefits expenses were $28.2 million for the three months ended March 31, 2026, an increase of $4.1 million or 17% compared to the same period in 2025. As a percentage of revenues, these expenses increased to 9.6% for the three months ended March 31, 2026, compared to 9.0% for the same period in 2025. Fluctuations in foreign currency exchange rates increased salaries and benefits by approximately $1.9 million for the three months ended March 31, 2026 compared to the same period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$9.9 million for the three months ended March 31, 2026, a decrease of $2.9 million or 23% compared to the same period in 2025. As a percentage of revenues, these expenses decreased to 3.4% for the three months ended March 31, 2026, compared to 4.8% for the same period in 2025. The decrease in selling, general and administrative expenses was primarily due to the payment of $4.5 million to resolve a non-recurring, multi-year operating tax matter during the same period in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$1.5 million for the three months ended March 31, 2026, a decrease of $0.1 million or 6% compared to the same period in 2025. Depreciation and amortization expense primarily represent depreciation of POS terminals we install in retail stores and amortization of acquired intangible assets. As a percentage of revenues, these expenses decreased to 0.5% for the three months ended March 31, 2026, compared to 0.6% for the same period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epay Segment operating income was $32.4 million for the three months ended March 31, 2026, an increase of $5.6 million or 21% compared to the same period in 2025. Operating margin increased to 11.0% for the three months ended March 31, 2026, compared to 10.0% for the same period in 2025. The increase in operating income and margin was primarily driven by improved gross margins resulting from a favorable shift in transaction mix, partially offset by increased salaries.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2026 and 2025 for the Money Transfer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460" w:type="dxa"/>
            <w:vAlign w:val="bottom"/>
            <w:gridSpan w:val="3"/>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80" w:type="dxa"/>
            <w:vAlign w:val="bottom"/>
          </w:tcPr>
          <w:p>
            <w:pPr>
              <w:spacing w:after="0"/>
              <w:rPr>
                <w:sz w:val="12"/>
                <w:szCs w:val="12"/>
                <w:color w:val="auto"/>
              </w:rPr>
            </w:pPr>
          </w:p>
        </w:tc>
        <w:tc>
          <w:tcPr>
            <w:tcW w:w="9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2"/>
                <w:szCs w:val="12"/>
                <w:color w:val="auto"/>
              </w:rPr>
            </w:pPr>
          </w:p>
        </w:tc>
        <w:tc>
          <w:tcPr>
            <w:tcW w:w="126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5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700" w:type="dxa"/>
            <w:vAlign w:val="bottom"/>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Transactions processed (millions)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w:t>
            </w:r>
          </w:p>
        </w:tc>
        <w:tc>
          <w:tcPr>
            <w:tcW w:w="1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Money Transfer Segment total revenues were $425.2 million for the three months ended March 31, 2026, an increase of $7.5 million or 2% compared to the same period in 2025. Direct-to-consumer digital transactions grew by 35%, reflecting strong consumer demand for digital products. Revenues per transaction increased to $9.69 for the three months ended March 31, 2026, compared to $9.37 for the same period in 2025 mainly due to foreign currency fluctuations. Fluctuations in foreign currency exchange rates increased revenues by approximately $22.9 million for the three months ended March 31, 2026 compared to the same period in 2025. The revenue decreased taking into account the impact of foreign currency fluctuations. The revenue decrease was driven by the impact of immigration reform affecting transfers from the United States to Mexico, as well as reduced volume in the Middle East. Offsetting the decline in transfers to Mexico and the Middle East was growth in all other markets together with accelerated growth in consumer-to-consumer digital transactions and the Money Transfer’s Dandelion product.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Money Transfer Segment direct operating costs were $223.0 million for the three months ended March 31, 2026, a decrease of $1.5 million or 1% compared to the same period in 2025. Direct operating costs primarily consist of commissions paid to agents who originate money transfers on our behalf and correspondent agents who disburse funds to the customers’ destination beneficiaries, together with less significant costs, such as bank depository fees. Fluctuations in foreign currency exchange rates increased direct operating costs by approximately $11.3 million for the three months ended March 31, 2026 compared to the same period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$202.2 million for the three months ended March 31, 2026, an increase of $9.0 million or 5% compared to $193.2 million for the same period in 2025. Gross margin increased to 47.6% for the three months ended March 31, 2026, compared to 46.3% for the same period in 2025. The increase in gross profit and gross margin was primarily due to increases in international-originated money transfers and direct-to-consumer digital transactions.</w:t>
      </w:r>
    </w:p>
    <w:p>
      <w:pPr>
        <w:sectPr>
          <w:pgSz w:w="11900" w:h="16838" w:orient="portrait"/>
          <w:cols w:equalWidth="0" w:num="1">
            <w:col w:w="11240"/>
          </w:cols>
          <w:pgMar w:left="320" w:top="119" w:right="339" w:bottom="218"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 w:right="339" w:bottom="218" w:gutter="0" w:footer="0" w:header="0"/>
          <w:type w:val="continuous"/>
        </w:sectPr>
      </w:pPr>
    </w:p>
    <w:bookmarkStart w:id="23" w:name="page24"/>
    <w:bookmarkEnd w:id="2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benefits expenses were $92.7 million for the three months ended March 31, 2026, an increase of $4.8 million or 5% compared to the same period in 2025. The increase in salaries and benefits was primarily driven by an increase in headcount to support the growth of the business and salary increases due to inflationary pressures. As a percentage of revenues, salary expenses increased to 21.8% for the three months ended March 31, 2026, compared to 21.0% for the same period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$61.2 million for the three months ended March 31, 2026, an increase of $7.1 million or 13% compared to the same period in 2025. The increase in selling, general and administrative expenses was primarily driven by higher costs across all SG&amp;A line items, with the most significant contributors being increased advertising and promotion spending and higher bad debt expense. As a percentage of revenues, these expenses increased to 14.4% for the three months ended March 31, 2026, compared to 13.0% for the same period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$6.4 million for the three months ended March 31, 2026, an increase of $0.3 million or 5% compared to the same period in 2025. Depreciation and amortization expenses primarily represents amortization of acquired intangible assets and depreciation of money transfer terminals, computers and software, leasehold improvements and office equipment. As a percentage of revenues, these expenses were 1.5% for both the three months ended March 31, 2026 and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Money Transfer Segment operating income was $41.9 million for the three months ended March 31, 2026, a decrease of $3.2 million or 7% compared to the same period in 2025. Operating margin was 9.9% for the three months ended March 31, 2026, compared to 10.8% for the same period in 2025. Operating income per transaction was $0.95 for the three months ended March 31, 2026, compared to $1.01 for the same period in 2025. Operating income benefited from expanded gross margins which were utilized to increase digital marketing expenditure, resulting in reduced operating income year-over-year.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expenses for the three months ended March 31, 2026 and 2025 for Corporate Services: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17"/>
        </w:trPr>
        <w:tc>
          <w:tcPr>
            <w:tcW w:w="5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49"/>
        </w:trPr>
        <w:tc>
          <w:tcPr>
            <w:tcW w:w="5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2"/>
                <w:szCs w:val="12"/>
                <w:color w:val="auto"/>
              </w:rPr>
            </w:pPr>
          </w:p>
        </w:tc>
        <w:tc>
          <w:tcPr>
            <w:tcW w:w="12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55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Corporate operating expenses were $25.7 million for the three months ended March 31, 2026, an increase of $5.7 million or 29% compared to the same period in 2025. This increase was largely driven by an increase in long-term share-based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17"/>
        </w:trPr>
        <w:tc>
          <w:tcPr>
            <w:tcW w:w="5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80" w:type="dxa"/>
            <w:vAlign w:val="bottom"/>
          </w:tcPr>
          <w:p>
            <w:pPr>
              <w:spacing w:after="0"/>
              <w:rPr>
                <w:sz w:val="10"/>
                <w:szCs w:val="10"/>
                <w:color w:val="auto"/>
              </w:rPr>
            </w:pPr>
          </w:p>
        </w:tc>
        <w:tc>
          <w:tcPr>
            <w:tcW w:w="126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8"/>
        </w:trPr>
        <w:tc>
          <w:tcPr>
            <w:tcW w:w="5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exchange gains (losses), net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 gains (losses)</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was $4.1 million for the three months ended March 31, 2026, a decrease of $1.2 million or 23% compared to the same period in 2025. This decrease was driven by a decrease in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$14.1 million for the three months ended March 31, 2026, a decrease of $5.3 million or 27% compared to the same period in 2025. This decrease for the three months ended March 31, 2026 compared to the same period in 2025 was largely driven by the shift of borrowing from the Credit Facility to the 2030 Convertible Notes during the first quarter of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w:t>
      </w:r>
    </w:p>
    <w:p>
      <w:pPr>
        <w:sectPr>
          <w:pgSz w:w="11900" w:h="16900" w:orient="portrait"/>
          <w:cols w:equalWidth="0" w:num="1">
            <w:col w:w="11240"/>
          </w:cols>
          <w:pgMar w:left="320" w:top="119" w:right="339" w:bottom="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subsidiaries give rise to foreign currency exchange gains and losses. Foreign currency exchange gains and losses that result from remeasurement of these assets and liabilities are recorded in net income.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net foreign currency exchange gains of $8.4 million for the three months ended March 31, 2026, compared to net foreign currency exchange losses of $18.1 million for the same period in 2025. These realized and unrealized foreign currency exchange results reflect the fluctuation in the value of the U.S. dollar against the currencies of the countries in which we operated during the respective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gains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gains and losses mainly relate to a discrete non-cash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43.7% for the three months ended March 31, 2026, compared to 15.6% for the same period ended March 31, 2025. The Company's effective income tax rate for the three months ended March 31, 2026 was higher than the applicable statutory income tax rate of 21% as a result of certain foreign earnings being subject to higher local statutory tax rates and our U.S. deferred tax activity. The Company’s effective income tax rate for the three months ended March 31, 2025 was lower than the applicable statutory income tax rate of 21%, mainly as a result of our U.S. deferred tax activity on the repurchase of the 2049 Convertible Notes.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elimination of net income or loss attributable to the minority shareholders’ portion of the following consolidated subsidiaries that are not wholly owned: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 Owned</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 Country</w:t>
            </w:r>
          </w:p>
        </w:tc>
      </w:tr>
      <w:tr>
        <w:trPr>
          <w:trHeight w:val="209"/>
        </w:trPr>
        <w:tc>
          <w:tcPr>
            <w:tcW w:w="5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LATAM ATM Solutions (Prosegur)</w:t>
            </w:r>
          </w:p>
        </w:tc>
        <w:tc>
          <w:tcPr>
            <w:tcW w:w="16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6"/>
              </w:rPr>
              <w:t>51%</w:t>
            </w:r>
          </w:p>
        </w:tc>
        <w:tc>
          <w:tcPr>
            <w:tcW w:w="3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EFT - South America</w:t>
            </w:r>
          </w:p>
        </w:tc>
      </w:tr>
      <w:tr>
        <w:trPr>
          <w:trHeight w:val="216"/>
        </w:trPr>
        <w:tc>
          <w:tcPr>
            <w:tcW w:w="5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Euronet Pakistan</w:t>
            </w:r>
          </w:p>
        </w:tc>
        <w:tc>
          <w:tcPr>
            <w:tcW w:w="236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6"/>
              </w:rPr>
              <w:t>70%</w:t>
            </w:r>
          </w:p>
        </w:tc>
        <w:tc>
          <w:tcPr>
            <w:tcW w:w="3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Pakistan</w:t>
            </w:r>
          </w:p>
        </w:tc>
      </w:tr>
      <w:tr>
        <w:trPr>
          <w:trHeight w:val="216"/>
        </w:trPr>
        <w:tc>
          <w:tcPr>
            <w:tcW w:w="5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Unidos Co., Ltd.</w:t>
            </w:r>
          </w:p>
        </w:tc>
        <w:tc>
          <w:tcPr>
            <w:tcW w:w="236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6"/>
              </w:rPr>
              <w:t>60%</w:t>
            </w: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MT - Japan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EURONET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attributable to Euronet was $37.5 million for the three months ended March 31, 2026, a decrease of $0.9 million or 2% compared to the same period in 2025. The decrease in net income was primarily attributable to a $21.9 million increase in income tax expenses due to deferred tax activity on the repurchase of the 2049 Convertible Notes in the first quarter of 2025 and the $6.6 million increase in other gains (losses), pertaining to the revaluation of an investment, partially offset by $26.5 million foreign currency exchange gains (losses), which are due to the weakening of the U.S. dollar compared to our other reporting currencies.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had working capital of $903.3 million, which is calculated as the difference between total current assets and total current liabilities, compared to working capital of $415.5 million as of December 31, 2025. Our ratio of current assets to current liabilities was 1.28 and 1.11 at March 31, 2026 and December 31, 2025, respectively.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ATM cash, which is our own cash in use or designated for use in our ATM network, increased $220.9 million from $650.3 million as of December 31, 2025 to $871.2 million as of March 31, 2026 as a result of the increase in the number of active ATMs as of March 31, 2026 compared to December 31, 2025. The Company has $1,229.5 million of unrestricted cash as of March 31, 2026 compared to $1,040.3 million as of December 31, 2025. Including the $871.2 million of cash in ATMs at March 31, 2026, we have access to $2,614.2 million in available cash, and $1,233.1 million available under the Credit Facility.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8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r>
      <w:tr>
        <w:trPr>
          <w:trHeight w:val="210"/>
        </w:trPr>
        <w:tc>
          <w:tcPr>
            <w:tcW w:w="8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and restricted cash provided by (used in):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60" w:type="dxa"/>
            <w:vAlign w:val="bottom"/>
          </w:tcPr>
          <w:p>
            <w:pPr>
              <w:spacing w:after="0"/>
              <w:rPr>
                <w:sz w:val="18"/>
                <w:szCs w:val="18"/>
                <w:color w:val="auto"/>
              </w:rPr>
            </w:pPr>
          </w:p>
        </w:tc>
      </w:tr>
      <w:tr>
        <w:trPr>
          <w:trHeight w:val="216"/>
        </w:trPr>
        <w:tc>
          <w:tcPr>
            <w:tcW w:w="8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 (decrease) foreign currency exchange rate changes on cash and cash equivalents and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shd w:val="clear" w:color="auto" w:fill="CCEEFF"/>
          </w:tcPr>
          <w:p>
            <w:pPr>
              <w:spacing w:after="0"/>
              <w:rPr>
                <w:sz w:val="18"/>
                <w:szCs w:val="18"/>
                <w:color w:val="auto"/>
              </w:rPr>
            </w:pPr>
          </w:p>
        </w:tc>
      </w:tr>
      <w:tr>
        <w:trPr>
          <w:trHeight w:val="209"/>
        </w:trPr>
        <w:tc>
          <w:tcPr>
            <w:tcW w:w="8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18"/>
                <w:szCs w:val="18"/>
                <w:color w:val="auto"/>
              </w:rPr>
            </w:pPr>
          </w:p>
        </w:tc>
      </w:tr>
      <w:tr>
        <w:trPr>
          <w:trHeight w:val="20"/>
        </w:trPr>
        <w:tc>
          <w:tcPr>
            <w:tcW w:w="8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Operating activity 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operating activities were $122.0 million for the three months ended March 31, 2026 compared to provided by operating activities of $1.7 million for the same period in 2025. The decline was primarily driven by unfavourable changes in working capital due to timing. Net income remained relatively consistent year-over-year.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$28.8 million for the three months ended March 31, 2026 compared to $54.7 million for the same period in 2025. The decrease in cash outflows was primarily attributable to the issuance of convertible notes receivable in 2025, which did not recur in 2026. Other investing activities, including purchases of property and equipment, remained relatively consistent year-over-year.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provided by financing activities were $441.3 million for the three months ended March 31, 2026 compared to $162.6 million for the same period in 2025. The increase in cash flows was primarily attributable to the repayment of the 2049 Convertible Notes in 2025, which did not recur in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 on cash, cash equivalents and restricted cash</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in foreign currency exchange rates impacted cash, cash equivalents, and restricted cash by ($39.1) million and $91.8 million for the three months ended March 31, 2026 and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 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 dollar borrowing tranche totaling $215 million. The amended Credit Facility also removes the credit spread adjustment on SOFR and SONIA borrowings. All other terms remain substantially the same as the previous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Borrowings under the revolving Credit Facility (other than swing line loans) bear interest based on a margin over a secured financing rate or the base rate, as selected by the Company, which varies from </w:t>
      </w:r>
      <w:r>
        <w:rPr>
          <w:rFonts w:ascii="Times New Roman" w:cs="Times New Roman" w:eastAsia="Times New Roman" w:hAnsi="Times New Roman"/>
          <w:sz w:val="19"/>
          <w:szCs w:val="19"/>
          <w:color w:val="auto"/>
        </w:rPr>
        <w:t>0.</w:t>
      </w:r>
      <w:r>
        <w:rPr>
          <w:rFonts w:ascii="Times New Roman" w:cs="Times New Roman" w:eastAsia="Times New Roman" w:hAnsi="Times New Roman"/>
          <w:sz w:val="18"/>
          <w:szCs w:val="18"/>
          <w:color w:val="auto"/>
        </w:rPr>
        <w:t xml:space="preserve">875% to </w:t>
      </w:r>
      <w:r>
        <w:rPr>
          <w:rFonts w:ascii="Times New Roman" w:cs="Times New Roman" w:eastAsia="Times New Roman" w:hAnsi="Times New Roman"/>
          <w:sz w:val="19"/>
          <w:szCs w:val="19"/>
          <w:color w:val="auto"/>
        </w:rPr>
        <w:t>1.</w:t>
      </w:r>
      <w:r>
        <w:rPr>
          <w:rFonts w:ascii="Times New Roman" w:cs="Times New Roman" w:eastAsia="Times New Roman" w:hAnsi="Times New Roman"/>
          <w:sz w:val="18"/>
          <w:szCs w:val="18"/>
          <w:color w:val="auto"/>
        </w:rPr>
        <w:t xml:space="preserve">375%, in each case based on the Company’s current credit rating. The applicable margin for borrowings under the Credit Facility, based on the Company’s current credit rating is </w:t>
      </w:r>
      <w:r>
        <w:rPr>
          <w:rFonts w:ascii="Times New Roman" w:cs="Times New Roman" w:eastAsia="Times New Roman" w:hAnsi="Times New Roman"/>
          <w:sz w:val="19"/>
          <w:szCs w:val="19"/>
          <w:color w:val="auto"/>
        </w:rPr>
        <w:t>1.</w:t>
      </w:r>
      <w:r>
        <w:rPr>
          <w:rFonts w:ascii="Times New Roman" w:cs="Times New Roman" w:eastAsia="Times New Roman" w:hAnsi="Times New Roman"/>
          <w:sz w:val="18"/>
          <w:szCs w:val="18"/>
          <w:color w:val="auto"/>
        </w:rPr>
        <w:t xml:space="preserve">075%. In addition, the Company pays a facility fee on the total commitments made under the revolving Credit Facility, which varies from </w:t>
      </w:r>
      <w:r>
        <w:rPr>
          <w:rFonts w:ascii="Times New Roman" w:cs="Times New Roman" w:eastAsia="Times New Roman" w:hAnsi="Times New Roman"/>
          <w:sz w:val="19"/>
          <w:szCs w:val="19"/>
          <w:color w:val="auto"/>
        </w:rPr>
        <w:t>0.</w:t>
      </w:r>
      <w:r>
        <w:rPr>
          <w:rFonts w:ascii="Times New Roman" w:cs="Times New Roman" w:eastAsia="Times New Roman" w:hAnsi="Times New Roman"/>
          <w:sz w:val="18"/>
          <w:szCs w:val="18"/>
          <w:color w:val="auto"/>
        </w:rPr>
        <w:t xml:space="preserve">125% to </w:t>
      </w:r>
      <w:r>
        <w:rPr>
          <w:rFonts w:ascii="Times New Roman" w:cs="Times New Roman" w:eastAsia="Times New Roman" w:hAnsi="Times New Roman"/>
          <w:sz w:val="19"/>
          <w:szCs w:val="19"/>
          <w:color w:val="auto"/>
        </w:rPr>
        <w:t>0.</w:t>
      </w:r>
      <w:r>
        <w:rPr>
          <w:rFonts w:ascii="Times New Roman" w:cs="Times New Roman" w:eastAsia="Times New Roman" w:hAnsi="Times New Roman"/>
          <w:sz w:val="18"/>
          <w:szCs w:val="18"/>
          <w:color w:val="auto"/>
        </w:rPr>
        <w:t xml:space="preserve">250%. The current facility fee is </w:t>
      </w:r>
      <w:r>
        <w:rPr>
          <w:rFonts w:ascii="Times New Roman" w:cs="Times New Roman" w:eastAsia="Times New Roman" w:hAnsi="Times New Roman"/>
          <w:sz w:val="19"/>
          <w:szCs w:val="19"/>
          <w:color w:val="auto"/>
        </w:rPr>
        <w:t>0.</w:t>
      </w:r>
      <w:r>
        <w:rPr>
          <w:rFonts w:ascii="Times New Roman" w:cs="Times New Roman" w:eastAsia="Times New Roman" w:hAnsi="Times New Roman"/>
          <w:sz w:val="18"/>
          <w:szCs w:val="18"/>
          <w:color w:val="auto"/>
        </w:rPr>
        <w:t>175%.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had $570.7 million of borrowings and $96.2 million of stand-by letters of credit outstanding under the Credit Facility. The remaining $1,233.1 million under the Credit Facility was available for borrowing.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2049 Convertible Notes</w:t>
      </w:r>
      <w:r>
        <w:rPr>
          <w:rFonts w:ascii="Times New Roman" w:cs="Times New Roman" w:eastAsia="Times New Roman" w:hAnsi="Times New Roman"/>
          <w:sz w:val="18"/>
          <w:szCs w:val="18"/>
          <w:color w:val="auto"/>
        </w:rPr>
        <w:t xml:space="preserve"> - On March 18, 2019, we completed the sale of $525.0 million in principal amount of Convertible Senior Notes due 2049 (“2049 Convertible Notes”). The 2049 Convertible Notes were issued pursuant to an indenture, dated as of March 18, 2019, by and between us and U.S. Bank National Association, as trustee. The 2049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2049 Convertible Notes have the option to require us to repurchase for cash all or part of their 2049 Convertible Notes on each of March 15, 2025, 2029, 2034, 2039 and 2044 at a repurchase price equal to 100% of the principal amount of the 2049 Convertible Notes to be repurchased, plus accrued and unpaid interest to, but excluding, the relevant repurchase date. In connection with the issuance of the 2049 Convertible Notes, we recorded $12.8 million in debt issuance costs, which were amortized through March 1, 2025. Almost all of the holders exercised their repurchase option in March 2025 and we repurchased $491.8 million of the 2049 Convertible Notes with a combination of cash on hand and a borrowing under our Credit Facility. As of March 31, 2026, $33.2 million of the 2049 Convertible Notes remain outstanding.</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2030 Convertible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August 15, 2025, the Company completed the sale of $1,000.0 million of Convertible Senior Notes maturing in October 2030. ("2030 Convertible Notes"). The 2030 Convertible Notes mature in October 2030 unless redeemed or converted prior to such date and are convertible into shares of Euronet common stock at a conversion price of approximately $127.04 per share if certain conditions are met (relating to the closing price of Euronet common stock exceeding certain thresholds for specified periods. The 2030 Convertible Notes have an interest rate of 0.625% per year, payable semi-annually in arrears on April 1 and October 1 of each year, beginning on April 1, 2026. In connection with the issuance of the 2030 Convertible Notes, we recorded $23.5 million in debt issuance costs, which will be amortized through October 1, 2030. The 2030 Convertible Notes are convertible at the option of the holders at any time prior to the close of business on the business day immediately preceding April 1, 2030 if certain conditions are met.</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Capped Call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August 2025, in connection with the issuance of the 2030 Convertible Notes, the Company entered into privately negotiated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capped call transactions (the “2025 Capped Call Transactions”) with certain of the initial purchasers of the 2030 Convertible Notes or affiliates thereof and other financial institutions (the “Option Counterparties”). The capped call transactions initially cover, subject to customary anti-dilution adjustments, the number of shares of the Company’s common stock that initially would be issuable upon conversion of the 2030 Convertible Notes. The Capped Call Transactions are net purchased call options in Euronet common stock. The Capped Call Transactions are separate transactions, entered into by the Company with the Option Counterparties, and are not part of the terms of the 2030 Convertible Notes and will not change the holders’ rights under the 2030 Convertible Notes. Holders of the 2030 Convertible Notes will not have any rights with respect to the Capped Call Transactions. The Company has concluded that the 2030 Capped Call Transactions meet the scope exceptions for derivative instruments, and as such, the 2030 Capped Call Transactions meet the criteria for classification in equity and are included as a reduction to additional paid in capital.</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xml:space="preserve"> - On May 22, 2019, we completed the sale of €600 million ($669.9 million) aggregate principal amount of Senior Notes that expire May 2026 (the “Senior Notes”). The Senior Notes accrue interest at a rate of 1.375% per year, payable annually in arrears on May 22 of each year, until maturity or earlier redemption. As of March 31, 2026, we have outstanding €600 million ($693.1 million) principal amount of the Senior Notes. In addition, we may redeem some or all of these notes after February 22, 2026 at their principal amount plus any accrued and unpaid interest. Depending on market conditions,</w:t>
      </w:r>
    </w:p>
    <w:p>
      <w:pPr>
        <w:sectPr>
          <w:pgSz w:w="11900" w:h="16838" w:orient="portrait"/>
          <w:cols w:equalWidth="0" w:num="1">
            <w:col w:w="11240"/>
          </w:cols>
          <w:pgMar w:left="320" w:top="119" w:right="339" w:bottom="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repay the Senior Notes at or prior to their maturity date using cash on hand, borrowing under its Credit Facility, the issuance of additional senior notes or a combination thereof.</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Uncommitted Credit Agreements</w:t>
      </w:r>
      <w:r>
        <w:rPr>
          <w:rFonts w:ascii="Times New Roman" w:cs="Times New Roman" w:eastAsia="Times New Roman" w:hAnsi="Times New Roman"/>
          <w:sz w:val="18"/>
          <w:szCs w:val="18"/>
          <w:color w:val="auto"/>
        </w:rPr>
        <w:t xml:space="preserve"> - On June 20, 2025, the Company entered into an Uncommitted Loan Agreement for the sole purpose of providing vault cash for ATMs, that expires no later than June 19, 2026. This Uncommitted Line of Credit had a credit limit of $400 million on September 30, 2025 and $250 million thereafter. The loan had an outstanding balance of $250 million at March 31, 2026. The loan is a Prime Rate Loan, a Daily Term SOFR Rate Loan plus 1.00% or shall bear interest at the rate agreed to by the Bank and the Company at the time such loan is made. The weighted-average interest rate from loan inception date to March 31, 2026, was 5.41%.</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the Company’s subsidiaries have available lines of credit and overdraft credit facilities that generally provide for short-term borrowings that are used from time to time for working capital purposes. On October 9, 2024, the Company completed a facility of MYR 100 million and an overdraft facility of MYR 140 million for its Malaysian business. Each advance under this facility shall be made for a term of 1 month or such other period of up to 12 months. As of March 31, 2026, $24.7 million was borrowed under this facility. There were no borrowings on the overdraft facility. Including the Malaysian facility, there was a total of $32.8 million outstanding under our subsidiaries credit lines and overdraft facilities as of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xml:space="preserve"> - Total capital expenditures for the three months ended March 31, 2026 were $28.5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2026 are currently estimated to range from approximately $135 million to $145 million. At current and projected cash flow levels, we anticipate that cash generated from operations, together with cash on hand and amounts available under our Credit Facility and other existing and potential future financings will be sufficient to meet our debt (including our uncommitted credit facilities),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countries in which we operate have experienced low and stable inflation. Therefore, the local currency in each of these markets is the functional currency. We have seen indications that the current inflationary period will put pressure on our results of operations and our financial position. We have seen some signs of inflation impacting discretionary spend items, such as gaming products, in our epay business, discretionary travel expenditures in EFT, as well as some pressure on send amounts in money transfer. As a consequence of this inflationary period, we expect to see increasing expenses forthcoming. We continually review inflation and the functional currency in each of the countries where we operate.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2026, there were no material changes from the disclosure in our Annual Report on Form 10-K for the year ended December 31, 2025. To date, we are not aware of any significant claims made by the indemnified parties or parties to whom we have provided guarantees on behalf of our subsidiaries and, accordingly, no liabilities have been recorded as of March 31, 2026. See also Note 15, Commitments, to the unaudited consolidated financial statements included elsewhere in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have been no material changes outside the ordinary course of business in our future contractual obligations from the amounts reported within our Annual Report on Form 10-K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our total debt outstanding, excluding unamortized debt issuance costs, was $2,579.8 million.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this amount, $1 billion, net of debt discounts, or 39% of our total debt obligations, relates to our 2030 Convertible Notes that have a fixed coupon rate. Our $1,000 million outstanding principal amount of 2030 Convertible Notes accrue cash interest at a rate of 0.625% of the principal amount per annum. Based on quoted market prices, as of March 31, 2026, the fair value of our fixed rate 2030 Convertible Notes was $901.4 million, compared to a carrying value of $1 billion.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$33.2 million, net of debt discounts, or 1% of our total debt obligations, relates to our contingent 2049 Convertible Notes that have a fixed coupon rate. Our $33.2 million outstanding principal amount of 2049 Convertible Notes accrue cash interest at a rate of 0.75% of the principal amount per annum. Based on quoted market prices, as of March 31, 2026, the fair value of our fixed rate 2049 Convertible Notes was $30.3 million, compared to a carrying value of $33.2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of March 31, 2026 we had $570.7 million of borrowings under our Credit Facility, or 22% of our total debt obligations. If we were to maintain these borrowings for one year, a 1% (100 basis points) increase in the applicable interest rate would result in additional interest expense to the Company of approximately $5.7 million. The carrying values of the Credit Facility approximates fair value because interest as of March 31, 2026, was based on SOFR that resets at various intervals of less than one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$693.1 million, or 27% of our total debt obligations, relates to Senior Notes having a fixed coupon rate. Our $693.1 million outstanding principal amount of Senior Notes accrue cash interest at a rate of 1.375% of the principal amount per annum. Based on quoted market prices, as of March 31, 2026, the fair value of our fixed rate Senior Notes was $691.4 million, compared to a carrying value of $693.1 million.</w:t>
      </w:r>
    </w:p>
    <w:p>
      <w:pPr>
        <w:sectPr>
          <w:pgSz w:w="11900" w:h="16838" w:orient="portrait"/>
          <w:cols w:equalWidth="0" w:num="1">
            <w:col w:w="11240"/>
          </w:cols>
          <w:pgMar w:left="320" w:top="121" w:right="339" w:bottom="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additional $250.0 million, or 10% of our total debt, is related to one short-term uncommitted credit agreement. The credit agreement is due within one year and accrues interest at variable 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remaining $32.8 million is related to borrowings by certain subsidiaries to fund, from time to time, working capital requirements. These arrangements generally are due within one year and accrue interest at variable rates. 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approximately 74% of our revenues were generated in non-U.S. dollar countries and we expect to continue generating a significant portion of our revenues in countries with currencies other than the U.S. dollar.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March 31, 2026, we estimate that a 10% fluctuation in these foreign currency exchange rates would have the combined annualized effect on reported net income and working capital of approximately $125 million to $135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$70 million to $80 million as a result of the change in value of these items during translation to the U.S. dollar. For the fluctuations described above, a strengthening U.S. dollar produces a financial loss, while a weakening U.S. dollar produces a financial gain.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 March 31, 2026, we had foreign currency derivative contracts outstanding with a notional value of $549.3 million, primarily in Australian dollars, British pounds, Canadian dollars, euros and Mexican pesos, that were not designated as hedges and mature within a few days.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 March 31, 2026, we held foreign currency derivative contracts outstanding with a notional value of $0.9 billion, primarily in U.S. dollars, euros, British pounds, Australian dollars and New Zealand dollars, that were not designated as hedges and for which the majority mature within the next twelve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assets and liability positions. As of March 31, 2026, the Company had foreign currency forward contracts outstanding with a notional value of $408.1 million, primarily in euros.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March 31, 2026.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Internal Controls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2026 that has materially affected, or is reasonably likely to materially affect, our internal control over financial reporting.</w:t>
      </w:r>
    </w:p>
    <w:p>
      <w:pPr>
        <w:sectPr>
          <w:pgSz w:w="11900" w:h="16838" w:orient="portrait"/>
          <w:cols w:equalWidth="0" w:num="1">
            <w:col w:w="11240"/>
          </w:cols>
          <w:pgMar w:left="320" w:top="121" w:right="33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29845"/>
                    </a:xfrm>
                    <a:prstGeom prst="rect">
                      <a:avLst/>
                    </a:prstGeom>
                    <a:noFill/>
                  </pic:spPr>
                </pic:pic>
              </a:graphicData>
            </a:graphic>
          </wp:anchor>
        </w:drawing>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regarding contingencies in Part I, Item 1 — Financial Statements (unaudited), Note 16, Litigation and Contingencies, to the unaudited consolidated financial statements in this report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July 2024, the Company has received multiple differing judicial decisions at the same tax court addressing withholding taxes on certain agency relationships within the Money Transfer Segment in Italy. The Company had taken the position that the withholding tax is not applicable after consulting with tax advisors and receiving a tax opinion on September 13, 2010. The Company, along with the tax advisors, continue to agree with the Company’s prior conclusion. The Company completed an assessment as required under US GAAP and concluded that it is reasonably possible that a liability has been incurred, but not “probable”. The principal amount of the agent-based withholding tax could be approximately €19.4 million for all open periods.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Company was notified of a fire, resulting in the loss of Malaysian Ringgit notes in the custody of a third-party service provider. The third-party service provider had the risk of loss based on the terms of the contractual arrangement. The bank note balance of approximately $11.0 million was moved to other receivables as of March 31, 2026. At this time the Company has determined that it is probable the bank notes will be recovered from the third-party service provider.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were no material changes to the risk factors previously disclosed in our Annual Report on Form 10-K for the year ended December 31, 2025, as filed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by the Company during the three months ended March 31, 2026.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0" w:type="dxa"/>
            <w:vAlign w:val="bottom"/>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0" w:type="dxa"/>
            <w:vAlign w:val="bottom"/>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 that</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400" w:type="dxa"/>
            <w:vAlign w:val="bottom"/>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00" w:type="dxa"/>
            <w:vAlign w:val="bottom"/>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400" w:type="dxa"/>
            <w:vAlign w:val="bottom"/>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 the</w:t>
            </w:r>
          </w:p>
        </w:tc>
        <w:tc>
          <w:tcPr>
            <w:tcW w:w="0" w:type="dxa"/>
            <w:vAlign w:val="bottom"/>
          </w:tcPr>
          <w:p>
            <w:pPr>
              <w:spacing w:after="0"/>
              <w:rPr>
                <w:sz w:val="1"/>
                <w:szCs w:val="1"/>
                <w:color w:val="auto"/>
              </w:rPr>
            </w:pPr>
          </w:p>
        </w:tc>
      </w:tr>
      <w:tr>
        <w:trPr>
          <w:trHeight w:val="148"/>
        </w:trPr>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4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400" w:type="dxa"/>
            <w:vAlign w:val="bottom"/>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rPr>
              <w:t>Programs (in</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4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millions) (1)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January 1 - January 31, 2026</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740,768</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740,768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 1 -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656,322</w:t>
            </w:r>
          </w:p>
        </w:tc>
        <w:tc>
          <w:tcPr>
            <w:tcW w:w="1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2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10"/>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1,397,090</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1,397,090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 2025, the Company put a repurchase program in place to repurchase up to $400 million in value, but not more than 8.0 million shares of common stock through June 3, 2027. As of March 31, 2026, approximately $168.4 million in value of additional shares were available to be repurchased under this repurchase program. Repurchases under the program may take place in the open market or in privately negotiated transactions, including derivative transactions, and may be made under a Rule 10b5-1 plan.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2026, none of the Company’s directors or "officers," as defined in Rule 16a-1(f) of the Securities Exchange Act of 1934, as amended (the "Exchange Act"), adopted or terminated a "Rule 10b5-1 trading arrangement" or a "non-Rule 10b5-1 trading arrangement," as each term is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71"/>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FF"/>
              </w:rPr>
              <w:t>Section 302 — Certification of Chief Executive Officer</w:t>
            </w: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302 — Certification of Chief Financial Officer</w:t>
            </w:r>
          </w:p>
        </w:tc>
        <w:tc>
          <w:tcPr>
            <w:tcW w:w="20" w:type="dxa"/>
            <w:vAlign w:val="bottom"/>
            <w:tcBorders>
              <w:top w:val="single" w:sz="8" w:color="0000FF"/>
              <w:bottom w:val="single" w:sz="8" w:color="0000EE"/>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40" w:type="dxa"/>
            <w:vAlign w:val="bottom"/>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Section 906 — Certification of Chief Executive Officer</w:t>
            </w: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906 — Certification of Chief Financial Officer</w:t>
            </w:r>
          </w:p>
        </w:tc>
        <w:tc>
          <w:tcPr>
            <w:tcW w:w="20" w:type="dxa"/>
            <w:vAlign w:val="bottom"/>
            <w:tcBorders>
              <w:top w:val="single" w:sz="8" w:color="0000FF"/>
              <w:bottom w:val="single" w:sz="8" w:color="0000EE"/>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40" w:type="dxa"/>
            <w:vAlign w:val="bottom"/>
          </w:tcPr>
          <w:p>
            <w:pPr>
              <w:spacing w:after="0"/>
              <w:rPr>
                <w:sz w:val="21"/>
                <w:szCs w:val="21"/>
                <w:color w:val="auto"/>
              </w:rPr>
            </w:pPr>
          </w:p>
        </w:tc>
      </w:tr>
      <w:tr>
        <w:trPr>
          <w:trHeight w:val="27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Euronet Worldwide, Inc.’s Quarterly Report on Form 10-Q for the quarter ended March 31, 2026, formatted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XBRL (eXtensible Business Reporting Language): (i) Consolidated Balance Sheets at March 31, 2026 (unaudited) and December 31,</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2025, (ii) Consolidated Statements of Operations (unaudited) for the three months ended March 31, 2026 and 2025, (iii) Consolidated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Statements of Comprehensive Income (Loss) (unaudited) for the three months ended March 31, 2026 and 2025, (iv) Consolidated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Statements of Changes in Equity (unaudited) for the three months ended March 31, 2026 and 2025 (v) Consolidated Statements of Cash</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Flows (unaudited) for the three months ended March 31, 2026 and 2025, and (vi) Notes to the Unaudited Consolidated Financial</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Statements.</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left="620" w:hanging="216"/>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 of Regulation S-K, this Exhibit is furnished rather than filed with this Form 10-Q.</w:t>
      </w:r>
    </w:p>
    <w:p>
      <w:pPr>
        <w:spacing w:after="0" w:line="9" w:lineRule="exact"/>
        <w:rPr>
          <w:rFonts w:ascii="Times New Roman" w:cs="Times New Roman" w:eastAsia="Times New Roman" w:hAnsi="Times New Roman"/>
          <w:sz w:val="18"/>
          <w:szCs w:val="18"/>
          <w:color w:val="auto"/>
        </w:rPr>
      </w:pPr>
    </w:p>
    <w:p>
      <w:pPr>
        <w:ind w:left="560" w:right="20" w:hanging="156"/>
        <w:spacing w:after="0" w:line="260" w:lineRule="auto"/>
        <w:tabs>
          <w:tab w:leader="none" w:pos="7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The registrant will provide a copy of omitted schedule to the SEC upon request.</w:t>
      </w:r>
    </w:p>
    <w:p>
      <w:pPr>
        <w:spacing w:after="0" w:line="3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252"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57"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8"/>
          <w:szCs w:val="18"/>
          <w:color w:val="auto"/>
        </w:rPr>
        <w:t>Michael J. Brown</w:t>
      </w:r>
    </w:p>
    <w:p>
      <w:pPr>
        <w:spacing w:after="0" w:line="63"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57"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8"/>
          <w:szCs w:val="18"/>
          <w:color w:val="auto"/>
        </w:rPr>
        <w:t>Rick L. Weller</w:t>
      </w:r>
    </w:p>
    <w:p>
      <w:pPr>
        <w:spacing w:after="0" w:line="63"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198" w:lineRule="exact"/>
        <w:rPr>
          <w:sz w:val="20"/>
          <w:szCs w:val="20"/>
          <w:color w:val="auto"/>
        </w:rPr>
      </w:pPr>
    </w:p>
    <w:p>
      <w:pPr>
        <w:ind w:left="200" w:hanging="192"/>
        <w:spacing w:after="0"/>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184" w:lineRule="exact"/>
        <w:rPr>
          <w:rFonts w:ascii="Times New Roman" w:cs="Times New Roman" w:eastAsia="Times New Roman" w:hAnsi="Times New Roman"/>
          <w:sz w:val="18"/>
          <w:szCs w:val="18"/>
          <w:color w:val="auto"/>
        </w:rPr>
      </w:pPr>
    </w:p>
    <w:p>
      <w:pPr>
        <w:ind w:firstLine="8"/>
        <w:spacing w:after="0" w:line="282" w:lineRule="auto"/>
        <w:tabs>
          <w:tab w:leader="none" w:pos="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firstLine="8"/>
        <w:spacing w:after="0" w:line="266" w:lineRule="auto"/>
        <w:tabs>
          <w:tab w:leader="none" w:pos="1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March 31, 2026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March 31, 2026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 "/>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
      <w:numFmt w:val="bullet"/>
      <w:start w:val="1"/>
    </w:lvl>
  </w:abstractNum>
  <w:abstractNum w:abstractNumId="7">
    <w:nsid w:val="7FDCC233"/>
    <w:multiLevelType w:val="hybridMultilevel"/>
    <w:lvl w:ilvl="0">
      <w:lvlJc w:val="left"/>
      <w:lvlText w:val="(%1)"/>
      <w:numFmt w:val="decimal"/>
      <w:start w:val="16"/>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 "/>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2026-05-07T15:39:03Z</dcterms:created>
  <dcterms:modified xsi:type="dcterms:W3CDTF">2026-05-07T15:39:03Z</dcterms:modified>
</cp:coreProperties>
</file>