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00" w:lineRule="exact"/>
        <w:rPr>
          <w:sz w:val="24"/>
          <w:szCs w:val="24"/>
          <w:color w:val="auto"/>
        </w:rPr>
      </w:pPr>
    </w:p>
    <w:p>
      <w:pPr>
        <w:spacing w:after="0" w:line="2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line="207" w:lineRule="exact"/>
        <w:tabs>
          <w:tab w:leader="none" w:pos="3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0" w:lineRule="exact"/>
        <w:rPr>
          <w:sz w:val="24"/>
          <w:szCs w:val="24"/>
          <w:color w:val="auto"/>
        </w:rPr>
      </w:pPr>
    </w:p>
    <w:p>
      <w:pPr>
        <w:spacing w:after="0" w:line="214" w:lineRule="exact"/>
        <w:rPr>
          <w:sz w:val="24"/>
          <w:szCs w:val="24"/>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760" w:hanging="719"/>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760" w:hanging="719"/>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sz w:val="24"/>
          <w:szCs w:val="24"/>
          <w:color w:val="auto"/>
        </w:rPr>
      </w:pPr>
    </w:p>
    <w:p>
      <w:pPr>
        <w:ind w:left="760" w:hanging="719"/>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Euronet Worldwide, Inc.</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760" w:hanging="719"/>
        <w:spacing w:after="0"/>
        <w:tabs>
          <w:tab w:leader="none" w:pos="7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760" w:hanging="719"/>
        <w:spacing w:after="0"/>
        <w:tabs>
          <w:tab w:leader="none" w:pos="7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1Title of each class of securities to which transaction applies:</w:t>
      </w:r>
    </w:p>
    <w:p>
      <w:pPr>
        <w:spacing w:after="0" w:line="63"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43180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-136525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70" w:lineRule="exact"/>
        <w:rPr>
          <w:sz w:val="24"/>
          <w:szCs w:val="24"/>
          <w:color w:val="auto"/>
        </w:rPr>
      </w:pPr>
    </w:p>
    <w:p>
      <w:pPr>
        <w:ind w:left="1520" w:hanging="426"/>
        <w:spacing w:after="0" w:line="281" w:lineRule="auto"/>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-3810</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ind w:left="1520" w:hanging="426"/>
        <w:spacing w:after="0"/>
        <w:tabs>
          <w:tab w:leader="none" w:pos="15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6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Total fee paid:</w:t>
      </w:r>
    </w:p>
    <w:p>
      <w:pPr>
        <w:spacing w:after="0" w:line="76" w:lineRule="exact"/>
        <w:rPr>
          <w:rFonts w:ascii="Times New Roman" w:cs="Times New Roman" w:eastAsia="Times New Roman" w:hAnsi="Times New Roman"/>
          <w:sz w:val="18"/>
          <w:szCs w:val="18"/>
          <w:color w:val="auto"/>
        </w:rPr>
      </w:pPr>
    </w:p>
    <w:p>
      <w:pPr>
        <w:ind w:left="760" w:hanging="719"/>
        <w:spacing w:after="0"/>
        <w:tabs>
          <w:tab w:leader="none" w:pos="7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760" w:right="140" w:hanging="719"/>
        <w:spacing w:after="0" w:line="281" w:lineRule="auto"/>
        <w:tabs>
          <w:tab w:leader="none" w:pos="76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1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34290</wp:posOffset>
            </wp:positionV>
            <wp:extent cx="6189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-796290</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57" w:lineRule="exact"/>
        <w:rPr>
          <w:sz w:val="24"/>
          <w:szCs w:val="24"/>
          <w:color w:val="auto"/>
        </w:rPr>
      </w:pPr>
    </w:p>
    <w:p>
      <w:pPr>
        <w:ind w:left="1520" w:hanging="426"/>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3Filing Party:</w:t>
      </w:r>
    </w:p>
    <w:p>
      <w:pPr>
        <w:spacing w:after="0" w:line="76"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43180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-136525</wp:posOffset>
            </wp:positionV>
            <wp:extent cx="6189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-316230</wp:posOffset>
            </wp:positionV>
            <wp:extent cx="6189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6216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336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591820</wp:posOffset>
            </wp:positionV>
            <wp:extent cx="182562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EURONET WORLDWIDE, INC.</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11400 TOMAHAWK CREEK PARKWAY, SUITE 300</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LEAWOOD, KANSAS 66211</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913-327-4200</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SUPPLEMENT TO</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TO BE HELD ON MAY 21, 2026</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Regarding Director Nominee</w:t>
      </w:r>
    </w:p>
    <w:p>
      <w:pPr>
        <w:spacing w:after="0" w:line="260"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Euronet Worldwide, Inc. (the “Company”) is filing this supplement to its definitive proxy statement filed with the Securities and Exchange Commission (the “SEC”) on April 13, 2026 (the “Proxy Statement”) in connection with the Company’s 2026 Annual Meeting of Stockholders (the “Annual Meeting”).</w:t>
      </w:r>
    </w:p>
    <w:p>
      <w:pPr>
        <w:sectPr>
          <w:pgSz w:w="11900" w:h="16838" w:orient="portrait"/>
          <w:cols w:equalWidth="0" w:num="1">
            <w:col w:w="11060"/>
          </w:cols>
          <w:pgMar w:left="320" w:top="371" w:right="519" w:bottom="0" w:gutter="0" w:footer="0" w:header="0"/>
        </w:sectPr>
      </w:pPr>
    </w:p>
    <w:bookmarkStart w:id="1" w:name="page2"/>
    <w:bookmarkEnd w:id="1"/>
    <w:p>
      <w:pPr>
        <w:ind w:right="460"/>
        <w:spacing w:after="0" w:line="268" w:lineRule="auto"/>
        <w:rPr>
          <w:sz w:val="20"/>
          <w:szCs w:val="20"/>
          <w:color w:val="auto"/>
        </w:rPr>
      </w:pPr>
      <w:r>
        <w:rPr>
          <w:rFonts w:ascii="Times New Roman" w:cs="Times New Roman" w:eastAsia="Times New Roman" w:hAnsi="Times New Roman"/>
          <w:sz w:val="20"/>
          <w:szCs w:val="20"/>
          <w:color w:val="auto"/>
        </w:rPr>
        <w:t>It is with deep sadness that the Company announces that Dr. Andrzej Olechowski, a member of the Company’s Board of Directors (the “Board”) and a nominee for re-election at the Annual Meeting, passed away on April 25,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Withdrawal of Nomination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light of his passing, Dr. Olechowski is no longer standing for re-election to the Board at the Annual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not nominate a replacement candidate at this time.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of Proxies</w:t>
      </w:r>
    </w:p>
    <w:p>
      <w:pPr>
        <w:spacing w:after="0" w:line="24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Proxies previously submitted with respect to the election of directors will be voted only for the remaining nominees named in the Proxy Statement (as supplemented hereby). Votes cast for Dr. Olechowski will not be counted.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who have already returned a proxy or voted their shares do not need to take any action unless they wish to change their vote.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Statement</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Dr. Olechowski built his professional experience in international finance, working with UNCTAD and the World Bank. He held the office of Minister of Finance, headed the Ministry of Foreign Affairs and served as economic advisor to Poland’s President Lech Wałęsa.</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Dr. Olechowski brought extensive international experience in finance, economics and public service to the Board, contributing meaningfully to the Company’s growth and strategic direction over more than two decades of service.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and management of the Company extend their deepest condolences to his family and loved ones.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described in this supplement, all information set forth in the Proxy Statement remains unchanged and continues to apply.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Information</w:t>
      </w:r>
    </w:p>
    <w:p>
      <w:pPr>
        <w:spacing w:after="0" w:line="260"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This supplement should be read in conjunction with the Proxy Statement. The Proxy Statement and this supplement are available free of charge at the SEC’s website at www.sec.gov and on the Company’s investor relations website.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giving this topic your attention.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J. Brown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Chief Executive Officer</w:t>
      </w:r>
    </w:p>
    <w:sectPr>
      <w:pgSz w:w="11900" w:h="16838" w:orient="portrait"/>
      <w:cols w:equalWidth="0" w:num="1">
        <w:col w:w="11140"/>
      </w:cols>
      <w:pgMar w:left="32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
      <w:numFmt w:val="bullet"/>
      <w:start w:val="1"/>
    </w:lvl>
    <w:lvl w:ilvl="1">
      <w:lvlJc w:val="left"/>
      <w:lvlText w:val="4"/>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2026-04-28T16:43:24Z</dcterms:created>
  <dcterms:modified xsi:type="dcterms:W3CDTF">2026-04-28T16:43:24Z</dcterms:modified>
</cp:coreProperties>
</file>