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3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31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1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33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31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ectPr>
          <w:pgSz w:w="11900" w:h="16838" w:orient="portrait"/>
          <w:cols w:equalWidth="0" w:num="1">
            <w:col w:w="11120"/>
          </w:cols>
          <w:pgMar w:left="240" w:top="122" w:right="539" w:bottom="1440" w:gutter="0" w:footer="0" w:header="0"/>
        </w:sectPr>
      </w:pPr>
    </w:p>
    <w:p>
      <w:pPr>
        <w:spacing w:after="0" w:line="205"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0"/>
          <w:szCs w:val="20"/>
          <w:color w:val="auto"/>
        </w:rPr>
      </w:pPr>
    </w:p>
    <w:p>
      <w:pPr>
        <w:jc w:val="center"/>
        <w:ind w:right="1880"/>
        <w:spacing w:after="0"/>
        <w:rPr>
          <w:sz w:val="20"/>
          <w:szCs w:val="20"/>
          <w:color w:val="auto"/>
        </w:rPr>
      </w:pPr>
      <w:r>
        <w:rPr>
          <w:rFonts w:ascii="Arial" w:cs="Arial" w:eastAsia="Arial" w:hAnsi="Arial"/>
          <w:sz w:val="18"/>
          <w:szCs w:val="18"/>
          <w:b w:val="1"/>
          <w:bCs w:val="1"/>
          <w:color w:val="auto"/>
        </w:rPr>
        <w:t>(State or other jurisdiction</w:t>
      </w:r>
    </w:p>
    <w:p>
      <w:pPr>
        <w:spacing w:after="0" w:line="9" w:lineRule="exact"/>
        <w:rPr>
          <w:sz w:val="20"/>
          <w:szCs w:val="20"/>
          <w:color w:val="auto"/>
        </w:rPr>
      </w:pPr>
    </w:p>
    <w:p>
      <w:pPr>
        <w:jc w:val="center"/>
        <w:ind w:right="1880"/>
        <w:spacing w:after="0"/>
        <w:rPr>
          <w:sz w:val="20"/>
          <w:szCs w:val="20"/>
          <w:color w:val="auto"/>
        </w:rPr>
      </w:pPr>
      <w:r>
        <w:rPr>
          <w:rFonts w:ascii="Arial" w:cs="Arial" w:eastAsia="Arial" w:hAnsi="Arial"/>
          <w:sz w:val="16"/>
          <w:szCs w:val="16"/>
          <w:b w:val="1"/>
          <w:bCs w:val="1"/>
          <w:color w:val="auto"/>
        </w:rPr>
        <w:t>of incorporation or organization)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740"/>
        <w:spacing w:after="0"/>
        <w:rPr>
          <w:sz w:val="20"/>
          <w:szCs w:val="20"/>
          <w:color w:val="auto"/>
        </w:rPr>
      </w:pPr>
      <w:r>
        <w:rPr>
          <w:rFonts w:ascii="Arial" w:cs="Arial" w:eastAsia="Arial" w:hAnsi="Arial"/>
          <w:sz w:val="18"/>
          <w:szCs w:val="18"/>
          <w:b w:val="1"/>
          <w:bCs w:val="1"/>
          <w:color w:val="auto"/>
        </w:rPr>
        <w:t>74-2806888</w:t>
      </w:r>
    </w:p>
    <w:p>
      <w:pPr>
        <w:spacing w:after="0" w:line="27" w:lineRule="exact"/>
        <w:rPr>
          <w:sz w:val="20"/>
          <w:szCs w:val="20"/>
          <w:color w:val="auto"/>
        </w:rPr>
      </w:pPr>
    </w:p>
    <w:p>
      <w:pPr>
        <w:jc w:val="center"/>
        <w:ind w:right="1740"/>
        <w:spacing w:after="0"/>
        <w:rPr>
          <w:sz w:val="20"/>
          <w:szCs w:val="20"/>
          <w:color w:val="auto"/>
        </w:rPr>
      </w:pPr>
      <w:r>
        <w:rPr>
          <w:rFonts w:ascii="Arial" w:cs="Arial" w:eastAsia="Arial" w:hAnsi="Arial"/>
          <w:sz w:val="17"/>
          <w:szCs w:val="17"/>
          <w:b w:val="1"/>
          <w:bCs w:val="1"/>
          <w:color w:val="auto"/>
        </w:rPr>
        <w:t>(I.R.S. employer</w:t>
      </w:r>
    </w:p>
    <w:p>
      <w:pPr>
        <w:spacing w:after="0" w:line="21" w:lineRule="exact"/>
        <w:rPr>
          <w:sz w:val="20"/>
          <w:szCs w:val="20"/>
          <w:color w:val="auto"/>
        </w:rPr>
      </w:pPr>
    </w:p>
    <w:p>
      <w:pPr>
        <w:jc w:val="center"/>
        <w:ind w:right="1740"/>
        <w:spacing w:after="0"/>
        <w:rPr>
          <w:sz w:val="20"/>
          <w:szCs w:val="20"/>
          <w:color w:val="auto"/>
        </w:rPr>
      </w:pPr>
      <w:r>
        <w:rPr>
          <w:rFonts w:ascii="Arial" w:cs="Arial" w:eastAsia="Arial" w:hAnsi="Arial"/>
          <w:sz w:val="16"/>
          <w:szCs w:val="16"/>
          <w:b w:val="1"/>
          <w:bCs w:val="1"/>
          <w:color w:val="auto"/>
        </w:rPr>
        <w:t>identification no.)</w:t>
      </w:r>
    </w:p>
    <w:p>
      <w:pPr>
        <w:spacing w:after="0" w:line="200" w:lineRule="exact"/>
        <w:rPr>
          <w:sz w:val="20"/>
          <w:szCs w:val="20"/>
          <w:color w:val="auto"/>
        </w:rPr>
      </w:pPr>
    </w:p>
    <w:p>
      <w:pPr>
        <w:sectPr>
          <w:pgSz w:w="11900" w:h="16838" w:orient="portrait"/>
          <w:cols w:equalWidth="0" w:num="2">
            <w:col w:w="7300" w:space="720"/>
            <w:col w:w="3100"/>
          </w:cols>
          <w:pgMar w:left="240" w:top="122" w:right="539" w:bottom="1440" w:gutter="0" w:footer="0" w:header="0"/>
          <w:type w:val="continuous"/>
        </w:sectPr>
      </w:pPr>
    </w:p>
    <w:p>
      <w:pPr>
        <w:spacing w:after="0" w:line="138"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4601 COLLEGE BOULEVARD, SUITE 300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LEAWOOD, KANSAS 66211</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31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(913) 327-4200</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6"/>
          <w:szCs w:val="16"/>
          <w:b w:val="1"/>
          <w:bCs w:val="1"/>
          <w:color w:val="auto"/>
        </w:rPr>
        <w:t>(Registrant’s telephone number, including area code)</w:t>
      </w:r>
    </w:p>
    <w:p>
      <w:pPr>
        <w:sectPr>
          <w:pgSz w:w="11900" w:h="16838" w:orient="portrait"/>
          <w:cols w:equalWidth="0" w:num="1">
            <w:col w:w="11120"/>
          </w:cols>
          <w:pgMar w:left="240" w:top="122" w:right="539" w:bottom="1440" w:gutter="0" w:footer="0" w:header="0"/>
          <w:type w:val="continuous"/>
        </w:sectPr>
      </w:pPr>
    </w:p>
    <w:p>
      <w:pPr>
        <w:spacing w:after="0" w:line="126" w:lineRule="exact"/>
        <w:rPr>
          <w:sz w:val="20"/>
          <w:szCs w:val="20"/>
          <w:color w:val="auto"/>
        </w:rPr>
      </w:pPr>
    </w:p>
    <w:p>
      <w:pPr>
        <w:ind w:right="1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38" w:lineRule="exact"/>
        <w:rPr>
          <w:sz w:val="20"/>
          <w:szCs w:val="20"/>
          <w:color w:val="auto"/>
        </w:rPr>
      </w:pPr>
    </w:p>
    <w:p>
      <w:pPr>
        <w:ind w:right="1380" w:firstLine="1601"/>
        <w:spacing w:after="0" w:line="30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8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the issuer’s common stock, $0.02 par value, outstanding as of October 31, 2006 was 37,281,342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22" w:right="5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380" w:type="dxa"/>
            <w:vAlign w:val="bottom"/>
            <w:gridSpan w:val="4"/>
          </w:tcPr>
          <w:p>
            <w:pPr>
              <w:spacing w:after="0"/>
              <w:rPr>
                <w:sz w:val="20"/>
                <w:szCs w:val="20"/>
                <w:color w:val="auto"/>
              </w:rPr>
            </w:pPr>
            <w:r>
              <w:rPr>
                <w:rFonts w:ascii="Arial" w:cs="Arial" w:eastAsia="Arial" w:hAnsi="Arial"/>
                <w:sz w:val="18"/>
                <w:szCs w:val="18"/>
                <w:b w:val="1"/>
                <w:bCs w:val="1"/>
                <w:color w:val="auto"/>
                <w:w w:val="89"/>
              </w:rPr>
              <w:t>Table of Contents</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103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0"/>
        </w:trPr>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0" w:type="dxa"/>
            <w:vAlign w:val="bottom"/>
            <w:gridSpan w:val="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w:t>
              </w:r>
            </w:hyperlink>
          </w:p>
        </w:tc>
        <w:tc>
          <w:tcPr>
            <w:tcW w:w="8920" w:type="dxa"/>
            <w:vAlign w:val="bottom"/>
            <w:gridSpan w:val="11"/>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STATEMENTS</w:t>
              </w:r>
            </w:hyperlink>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0" w:type="dxa"/>
            <w:vAlign w:val="bottom"/>
            <w:gridSpan w:val="3"/>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2.</w:t>
              </w:r>
            </w:hyperlink>
          </w:p>
        </w:tc>
        <w:tc>
          <w:tcPr>
            <w:tcW w:w="8920" w:type="dxa"/>
            <w:vAlign w:val="bottom"/>
            <w:gridSpan w:val="11"/>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MANAGEMENT’S DISCUSSION AND ANALYSIS OF FINANCIAL CONDITION AND RESULTS OF</w:t>
              </w:r>
            </w:hyperlink>
          </w:p>
        </w:tc>
        <w:tc>
          <w:tcPr>
            <w:tcW w:w="112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80" w:type="dxa"/>
            <w:vAlign w:val="bottom"/>
            <w:tcBorders>
              <w:top w:val="single" w:sz="8" w:color="0000EE"/>
            </w:tcBorders>
            <w:gridSpan w:val="10"/>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OPERATIONS</w:t>
              </w:r>
            </w:hyperlink>
          </w:p>
        </w:tc>
        <w:tc>
          <w:tcPr>
            <w:tcW w:w="840" w:type="dxa"/>
            <w:vAlign w:val="bottom"/>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17</w:t>
            </w:r>
          </w:p>
        </w:tc>
      </w:tr>
      <w:tr>
        <w:trPr>
          <w:trHeight w:val="20"/>
        </w:trPr>
        <w:tc>
          <w:tcPr>
            <w:tcW w:w="1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0" w:type="dxa"/>
            <w:vAlign w:val="bottom"/>
            <w:gridSpan w:val="3"/>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3.</w:t>
              </w:r>
            </w:hyperlink>
          </w:p>
        </w:tc>
        <w:tc>
          <w:tcPr>
            <w:tcW w:w="8920" w:type="dxa"/>
            <w:vAlign w:val="bottom"/>
            <w:gridSpan w:val="11"/>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QUANTITATIVE AND QUALITATIVE DISCLOSURES ABOUT MARKET RISK</w:t>
              </w:r>
            </w:hyperlink>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36</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3720" w:type="dxa"/>
            <w:vAlign w:val="bottom"/>
            <w:shd w:val="clear" w:color="auto" w:fill="0000EE"/>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200" w:type="dxa"/>
            <w:vAlign w:val="bottom"/>
            <w:gridSpan w:val="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4.</w:t>
              </w:r>
            </w:hyperlink>
          </w:p>
        </w:tc>
        <w:tc>
          <w:tcPr>
            <w:tcW w:w="8920" w:type="dxa"/>
            <w:vAlign w:val="bottom"/>
            <w:gridSpan w:val="11"/>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CONTROLS AND PROCEDURES</w:t>
              </w:r>
            </w:hyperlink>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18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7"/>
          </w:tcPr>
          <w:p>
            <w:pPr>
              <w:spacing w:after="0" w:line="196" w:lineRule="exact"/>
              <w:rPr>
                <w:rFonts w:ascii="Arial" w:cs="Arial" w:eastAsia="Arial" w:hAnsi="Arial"/>
                <w:sz w:val="18"/>
                <w:szCs w:val="18"/>
                <w:color w:val="0000EE"/>
                <w:w w:val="96"/>
              </w:rPr>
            </w:pPr>
            <w:hyperlink w:anchor="page38">
              <w:r>
                <w:rPr>
                  <w:rFonts w:ascii="Arial" w:cs="Arial" w:eastAsia="Arial" w:hAnsi="Arial"/>
                  <w:sz w:val="18"/>
                  <w:szCs w:val="18"/>
                  <w:color w:val="0000EE"/>
                  <w:w w:val="96"/>
                </w:rPr>
                <w:t>PART II—OTHER INFORMATION</w:t>
              </w:r>
            </w:hyperlink>
          </w:p>
        </w:tc>
        <w:tc>
          <w:tcPr>
            <w:tcW w:w="7620" w:type="dxa"/>
            <w:vAlign w:val="bottom"/>
            <w:gridSpan w:val="8"/>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1200" w:type="dxa"/>
            <w:vAlign w:val="bottom"/>
            <w:gridSpan w:val="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1.</w:t>
              </w:r>
            </w:hyperlink>
          </w:p>
        </w:tc>
        <w:tc>
          <w:tcPr>
            <w:tcW w:w="8920" w:type="dxa"/>
            <w:vAlign w:val="bottom"/>
            <w:gridSpan w:val="11"/>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LEGAL PROCEEDINGS</w:t>
              </w:r>
            </w:hyperlink>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920" w:type="dxa"/>
            <w:vAlign w:val="bottom"/>
            <w:gridSpan w:val="5"/>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00" w:type="dxa"/>
            <w:vAlign w:val="bottom"/>
            <w:tcBorders>
              <w:bottom w:val="single" w:sz="8" w:color="0000EE"/>
            </w:tcBorders>
            <w:gridSpan w:val="2"/>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1A.</w:t>
              </w:r>
            </w:hyperlink>
          </w:p>
        </w:tc>
        <w:tc>
          <w:tcPr>
            <w:tcW w:w="400" w:type="dxa"/>
            <w:vAlign w:val="bottom"/>
          </w:tcPr>
          <w:p>
            <w:pPr>
              <w:spacing w:after="0"/>
              <w:rPr>
                <w:sz w:val="17"/>
                <w:szCs w:val="17"/>
                <w:color w:val="auto"/>
              </w:rPr>
            </w:pPr>
          </w:p>
        </w:tc>
        <w:tc>
          <w:tcPr>
            <w:tcW w:w="134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7"/>
              </w:rPr>
            </w:pPr>
            <w:hyperlink w:anchor="page39">
              <w:r>
                <w:rPr>
                  <w:rFonts w:ascii="Arial" w:cs="Arial" w:eastAsia="Arial" w:hAnsi="Arial"/>
                  <w:sz w:val="18"/>
                  <w:szCs w:val="18"/>
                  <w:b w:val="1"/>
                  <w:bCs w:val="1"/>
                  <w:color w:val="0000EE"/>
                  <w:w w:val="97"/>
                </w:rPr>
                <w:t>RISK FACTORS</w:t>
              </w:r>
            </w:hyperlink>
          </w:p>
        </w:tc>
        <w:tc>
          <w:tcPr>
            <w:tcW w:w="7580" w:type="dxa"/>
            <w:vAlign w:val="bottom"/>
            <w:gridSpan w:val="7"/>
          </w:tcPr>
          <w:p>
            <w:pPr>
              <w:spacing w:after="0"/>
              <w:rPr>
                <w:sz w:val="17"/>
                <w:szCs w:val="17"/>
                <w:color w:val="auto"/>
              </w:rPr>
            </w:pPr>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38</w:t>
            </w:r>
          </w:p>
        </w:tc>
      </w:tr>
      <w:tr>
        <w:trPr>
          <w:trHeight w:val="196"/>
        </w:trPr>
        <w:tc>
          <w:tcPr>
            <w:tcW w:w="180" w:type="dxa"/>
            <w:vAlign w:val="bottom"/>
          </w:tcPr>
          <w:p>
            <w:pPr>
              <w:spacing w:after="0"/>
              <w:rPr>
                <w:sz w:val="17"/>
                <w:szCs w:val="17"/>
                <w:color w:val="auto"/>
              </w:rPr>
            </w:pPr>
          </w:p>
        </w:tc>
        <w:tc>
          <w:tcPr>
            <w:tcW w:w="1200" w:type="dxa"/>
            <w:vAlign w:val="bottom"/>
            <w:gridSpan w:val="3"/>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6.</w:t>
              </w:r>
            </w:hyperlink>
          </w:p>
        </w:tc>
        <w:tc>
          <w:tcPr>
            <w:tcW w:w="8920" w:type="dxa"/>
            <w:vAlign w:val="bottom"/>
            <w:gridSpan w:val="11"/>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EXHIBITS</w:t>
              </w:r>
            </w:hyperlink>
          </w:p>
        </w:tc>
        <w:tc>
          <w:tcPr>
            <w:tcW w:w="1120" w:type="dxa"/>
            <w:vAlign w:val="bottom"/>
          </w:tcPr>
          <w:p>
            <w:pPr>
              <w:jc w:val="right"/>
              <w:ind w:right="30"/>
              <w:spacing w:after="0" w:line="196" w:lineRule="exact"/>
              <w:rPr>
                <w:sz w:val="20"/>
                <w:szCs w:val="20"/>
                <w:color w:val="auto"/>
              </w:rPr>
            </w:pPr>
            <w:r>
              <w:rPr>
                <w:rFonts w:ascii="Arial" w:cs="Arial" w:eastAsia="Arial" w:hAnsi="Arial"/>
                <w:sz w:val="18"/>
                <w:szCs w:val="18"/>
                <w:color w:val="auto"/>
              </w:rPr>
              <w:t>39</w:t>
            </w:r>
          </w:p>
        </w:tc>
      </w:tr>
      <w:tr>
        <w:trPr>
          <w:trHeight w:val="426"/>
        </w:trPr>
        <w:tc>
          <w:tcPr>
            <w:tcW w:w="180" w:type="dxa"/>
            <w:vAlign w:val="bottom"/>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Borders>
              <w:top w:val="single" w:sz="8" w:color="0000EE"/>
            </w:tcBorders>
          </w:tcPr>
          <w:p>
            <w:pPr>
              <w:spacing w:after="0"/>
              <w:rPr>
                <w:sz w:val="24"/>
                <w:szCs w:val="24"/>
                <w:color w:val="auto"/>
              </w:rPr>
            </w:pPr>
          </w:p>
        </w:tc>
        <w:tc>
          <w:tcPr>
            <w:tcW w:w="5580" w:type="dxa"/>
            <w:vAlign w:val="bottom"/>
            <w:gridSpan w:val="8"/>
          </w:tcPr>
          <w:p>
            <w:pPr>
              <w:jc w:val="right"/>
              <w:ind w:right="2080"/>
              <w:spacing w:after="0"/>
              <w:rPr>
                <w:sz w:val="20"/>
                <w:szCs w:val="20"/>
                <w:color w:val="auto"/>
              </w:rPr>
            </w:pPr>
            <w:r>
              <w:rPr>
                <w:rFonts w:ascii="Arial" w:cs="Arial" w:eastAsia="Arial" w:hAnsi="Arial"/>
                <w:sz w:val="18"/>
                <w:szCs w:val="18"/>
                <w:color w:val="auto"/>
              </w:rPr>
              <w:t>2</w:t>
            </w:r>
          </w:p>
        </w:tc>
        <w:tc>
          <w:tcPr>
            <w:tcW w:w="1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26"/>
        </w:trPr>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16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8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210"/>
              <w:spacing w:after="0" w:line="149"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9"/>
              </w:rPr>
              <w:t>(unaudited)</w:t>
            </w:r>
          </w:p>
        </w:tc>
        <w:tc>
          <w:tcPr>
            <w:tcW w:w="120" w:type="dxa"/>
            <w:vAlign w:val="bottom"/>
          </w:tcPr>
          <w:p>
            <w:pPr>
              <w:spacing w:after="0"/>
              <w:rPr>
                <w:sz w:val="14"/>
                <w:szCs w:val="14"/>
                <w:color w:val="auto"/>
              </w:rPr>
            </w:pPr>
          </w:p>
        </w:tc>
        <w:tc>
          <w:tcPr>
            <w:tcW w:w="720" w:type="dxa"/>
            <w:vAlign w:val="bottom"/>
          </w:tcPr>
          <w:p>
            <w:pPr>
              <w:jc w:val="right"/>
              <w:ind w:right="90"/>
              <w:spacing w:after="0"/>
              <w:rPr>
                <w:sz w:val="20"/>
                <w:szCs w:val="20"/>
                <w:color w:val="auto"/>
              </w:rPr>
            </w:pPr>
            <w:r>
              <w:rPr>
                <w:rFonts w:ascii="Arial" w:cs="Arial" w:eastAsia="Arial" w:hAnsi="Arial"/>
                <w:sz w:val="14"/>
                <w:szCs w:val="14"/>
                <w:b w:val="1"/>
                <w:bCs w:val="1"/>
                <w:color w:val="auto"/>
                <w:w w:val="99"/>
              </w:rPr>
              <w:t>2005 (1)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255,366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219,932</w:t>
            </w: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88,300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73,942</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Inventory — PINs and other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35,253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25,595</w:t>
            </w:r>
          </w:p>
        </w:tc>
        <w:tc>
          <w:tcPr>
            <w:tcW w:w="0" w:type="dxa"/>
            <w:vAlign w:val="bottom"/>
          </w:tcPr>
          <w:p>
            <w:pPr>
              <w:spacing w:after="0"/>
              <w:rPr>
                <w:sz w:val="1"/>
                <w:szCs w:val="1"/>
                <w:color w:val="auto"/>
              </w:rPr>
            </w:pPr>
          </w:p>
        </w:tc>
      </w:tr>
      <w:tr>
        <w:trPr>
          <w:trHeight w:val="202"/>
        </w:trPr>
        <w:tc>
          <w:tcPr>
            <w:tcW w:w="8920" w:type="dxa"/>
            <w:vAlign w:val="bottom"/>
          </w:tcPr>
          <w:p>
            <w:pPr>
              <w:ind w:left="220"/>
              <w:spacing w:after="0" w:line="201" w:lineRule="exact"/>
              <w:rPr>
                <w:sz w:val="20"/>
                <w:szCs w:val="20"/>
                <w:color w:val="auto"/>
              </w:rPr>
            </w:pPr>
            <w:r>
              <w:rPr>
                <w:rFonts w:ascii="Arial" w:cs="Arial" w:eastAsia="Arial" w:hAnsi="Arial"/>
                <w:sz w:val="18"/>
                <w:szCs w:val="18"/>
                <w:color w:val="auto"/>
                <w:w w:val="96"/>
              </w:rPr>
              <w:t>Trade accounts receivable, net of allowances for doubtful accounts of $2,651 at September 30, 2006 and $1,995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420"/>
              <w:spacing w:after="0"/>
              <w:rPr>
                <w:sz w:val="20"/>
                <w:szCs w:val="20"/>
                <w:color w:val="auto"/>
              </w:rPr>
            </w:pPr>
            <w:r>
              <w:rPr>
                <w:rFonts w:ascii="Arial" w:cs="Arial" w:eastAsia="Arial" w:hAnsi="Arial"/>
                <w:sz w:val="18"/>
                <w:szCs w:val="18"/>
                <w:color w:val="auto"/>
              </w:rPr>
              <w:t>at December 31, 2005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164,171</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166,451</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19,490</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566,173</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508,943</w:t>
            </w:r>
          </w:p>
        </w:tc>
        <w:tc>
          <w:tcPr>
            <w:tcW w:w="0" w:type="dxa"/>
            <w:vAlign w:val="bottom"/>
          </w:tcPr>
          <w:p>
            <w:pPr>
              <w:spacing w:after="0"/>
              <w:rPr>
                <w:sz w:val="1"/>
                <w:szCs w:val="1"/>
                <w:color w:val="auto"/>
              </w:rPr>
            </w:pPr>
          </w:p>
        </w:tc>
      </w:tr>
      <w:tr>
        <w:trPr>
          <w:trHeight w:val="202"/>
        </w:trPr>
        <w:tc>
          <w:tcPr>
            <w:tcW w:w="892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 accumulated depreciation of $83,110 at September 30, 2006 and $66,644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2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51,648</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44,852</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274,918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267,195</w:t>
            </w:r>
          </w:p>
        </w:tc>
        <w:tc>
          <w:tcPr>
            <w:tcW w:w="0" w:type="dxa"/>
            <w:vAlign w:val="bottom"/>
          </w:tcPr>
          <w:p>
            <w:pPr>
              <w:spacing w:after="0"/>
              <w:rPr>
                <w:sz w:val="1"/>
                <w:szCs w:val="1"/>
                <w:color w:val="auto"/>
              </w:rPr>
            </w:pPr>
          </w:p>
        </w:tc>
      </w:tr>
      <w:tr>
        <w:trPr>
          <w:trHeight w:val="202"/>
        </w:trPr>
        <w:tc>
          <w:tcPr>
            <w:tcW w:w="8920" w:type="dxa"/>
            <w:vAlign w:val="bottom"/>
          </w:tcPr>
          <w:p>
            <w:pPr>
              <w:spacing w:after="0" w:line="201" w:lineRule="exact"/>
              <w:rPr>
                <w:sz w:val="20"/>
                <w:szCs w:val="20"/>
                <w:color w:val="auto"/>
              </w:rPr>
            </w:pPr>
            <w:r>
              <w:rPr>
                <w:rFonts w:ascii="Arial" w:cs="Arial" w:eastAsia="Arial" w:hAnsi="Arial"/>
                <w:sz w:val="18"/>
                <w:szCs w:val="18"/>
                <w:color w:val="auto"/>
              </w:rPr>
              <w:t>Acquired intangible assets, net of accumulated amortization of $18,348 at September 30, 2006 and $11,918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2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48,712</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50,724</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6,186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w w:val="97"/>
              </w:rPr>
              <w:t>Other assets, net of accumulated amortization of $9,600 at September 30, 2006 and $7,721 at December 31, 2005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16,604</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assets</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964,241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894,352</w:t>
            </w:r>
          </w:p>
        </w:tc>
        <w:tc>
          <w:tcPr>
            <w:tcW w:w="0" w:type="dxa"/>
            <w:vAlign w:val="bottom"/>
          </w:tcPr>
          <w:p>
            <w:pPr>
              <w:spacing w:after="0"/>
              <w:rPr>
                <w:sz w:val="1"/>
                <w:szCs w:val="1"/>
                <w:color w:val="auto"/>
              </w:rPr>
            </w:pPr>
          </w:p>
        </w:tc>
      </w:tr>
      <w:tr>
        <w:trPr>
          <w:trHeight w:val="20"/>
        </w:trPr>
        <w:tc>
          <w:tcPr>
            <w:tcW w:w="8920" w:type="dxa"/>
            <w:vAlign w:val="bottom"/>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204,675</w:t>
            </w:r>
          </w:p>
        </w:tc>
        <w:tc>
          <w:tcPr>
            <w:tcW w:w="6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202,655</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89,230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77,101</w:t>
            </w: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Current portion of capital lease obligations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6,170</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9,232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22,893</w:t>
            </w: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Income taxes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10,962</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8,207</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9,858</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333,307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327,323</w:t>
            </w:r>
          </w:p>
        </w:tc>
        <w:tc>
          <w:tcPr>
            <w:tcW w:w="0" w:type="dxa"/>
            <w:vAlign w:val="bottom"/>
          </w:tcPr>
          <w:p>
            <w:pPr>
              <w:spacing w:after="0"/>
              <w:rPr>
                <w:sz w:val="1"/>
                <w:szCs w:val="1"/>
                <w:color w:val="auto"/>
              </w:rPr>
            </w:pPr>
          </w:p>
        </w:tc>
      </w:tr>
      <w:tr>
        <w:trPr>
          <w:trHeight w:val="432"/>
        </w:trPr>
        <w:tc>
          <w:tcPr>
            <w:tcW w:w="8920" w:type="dxa"/>
            <w:vAlign w:val="bottom"/>
          </w:tcPr>
          <w:p>
            <w:pPr>
              <w:spacing w:after="0"/>
              <w:rPr>
                <w:sz w:val="20"/>
                <w:szCs w:val="20"/>
                <w:color w:val="auto"/>
              </w:rPr>
            </w:pPr>
            <w:r>
              <w:rPr>
                <w:rFonts w:ascii="Arial" w:cs="Arial" w:eastAsia="Arial" w:hAnsi="Arial"/>
                <w:sz w:val="18"/>
                <w:szCs w:val="18"/>
                <w:color w:val="auto"/>
              </w:rPr>
              <w:t>Debt obligations, net of current portion</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321,643</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315,000</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12,749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12,229</w:t>
            </w:r>
          </w:p>
        </w:tc>
        <w:tc>
          <w:tcPr>
            <w:tcW w:w="0" w:type="dxa"/>
            <w:vAlign w:val="bottom"/>
          </w:tcPr>
          <w:p>
            <w:pPr>
              <w:spacing w:after="0"/>
              <w:rPr>
                <w:sz w:val="1"/>
                <w:szCs w:val="1"/>
                <w:color w:val="auto"/>
              </w:rPr>
            </w:pP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Deferred income taxes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23,766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25,157</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Minority interest</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700,862</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687,999</w:t>
            </w:r>
          </w:p>
        </w:tc>
        <w:tc>
          <w:tcPr>
            <w:tcW w:w="0" w:type="dxa"/>
            <w:vAlign w:val="bottom"/>
          </w:tcPr>
          <w:p>
            <w:pPr>
              <w:spacing w:after="0"/>
              <w:rPr>
                <w:sz w:val="1"/>
                <w:szCs w:val="1"/>
                <w:color w:val="auto"/>
              </w:rPr>
            </w:pPr>
          </w:p>
        </w:tc>
      </w:tr>
      <w:tr>
        <w:trPr>
          <w:trHeight w:val="223"/>
        </w:trPr>
        <w:tc>
          <w:tcPr>
            <w:tcW w:w="89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920" w:type="dxa"/>
            <w:vAlign w:val="bottom"/>
          </w:tcPr>
          <w:p>
            <w:pPr>
              <w:ind w:left="220"/>
              <w:spacing w:after="0" w:line="201" w:lineRule="exact"/>
              <w:rPr>
                <w:sz w:val="20"/>
                <w:szCs w:val="20"/>
                <w:color w:val="auto"/>
              </w:rPr>
            </w:pPr>
            <w:r>
              <w:rPr>
                <w:rFonts w:ascii="Arial" w:cs="Arial" w:eastAsia="Arial" w:hAnsi="Arial"/>
                <w:sz w:val="18"/>
                <w:szCs w:val="18"/>
                <w:color w:val="auto"/>
                <w:w w:val="95"/>
              </w:rPr>
              <w:t>Common Stock, $0.02 par value. Authorized 90,000,000 shares at September 30, 2006 and 60,000,000 shares at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20" w:type="dxa"/>
            <w:vAlign w:val="bottom"/>
          </w:tcPr>
          <w:p>
            <w:pPr>
              <w:ind w:left="420"/>
              <w:spacing w:after="0"/>
              <w:rPr>
                <w:sz w:val="20"/>
                <w:szCs w:val="20"/>
                <w:color w:val="auto"/>
              </w:rPr>
            </w:pPr>
            <w:r>
              <w:rPr>
                <w:rFonts w:ascii="Arial" w:cs="Arial" w:eastAsia="Arial" w:hAnsi="Arial"/>
                <w:sz w:val="18"/>
                <w:szCs w:val="18"/>
                <w:color w:val="auto"/>
              </w:rPr>
              <w:t>December 31, 2005; issued and outstanding 37,245,861 shares at September 30, 2006 and 35,776,431 at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20" w:type="dxa"/>
            <w:vAlign w:val="bottom"/>
          </w:tcPr>
          <w:p>
            <w:pPr>
              <w:ind w:left="420"/>
              <w:spacing w:after="0"/>
              <w:rPr>
                <w:sz w:val="20"/>
                <w:szCs w:val="20"/>
                <w:color w:val="auto"/>
              </w:rPr>
            </w:pPr>
            <w:r>
              <w:rPr>
                <w:rFonts w:ascii="Arial" w:cs="Arial" w:eastAsia="Arial" w:hAnsi="Arial"/>
                <w:sz w:val="18"/>
                <w:szCs w:val="18"/>
                <w:color w:val="auto"/>
              </w:rPr>
              <w:t>December 31, 2005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746</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Additional paid-in-capital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334,245</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312,025</w:t>
            </w: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Treasury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Subscriptions receivable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3"/>
          </w:tcPr>
          <w:p>
            <w:pPr>
              <w:jc w:val="right"/>
              <w:ind w:right="600"/>
              <w:spacing w:after="0"/>
              <w:rPr>
                <w:sz w:val="20"/>
                <w:szCs w:val="20"/>
                <w:color w:val="auto"/>
              </w:rPr>
            </w:pPr>
            <w:r>
              <w:rPr>
                <w:rFonts w:ascii="Arial" w:cs="Arial" w:eastAsia="Arial" w:hAnsi="Arial"/>
                <w:sz w:val="18"/>
                <w:szCs w:val="18"/>
                <w:color w:val="auto"/>
              </w:rPr>
              <w:t>(73,893)</w:t>
            </w:r>
          </w:p>
        </w:tc>
        <w:tc>
          <w:tcPr>
            <w:tcW w:w="1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(104,787)</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reserve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w:t>
            </w:r>
          </w:p>
        </w:tc>
        <w:tc>
          <w:tcPr>
            <w:tcW w:w="0" w:type="dxa"/>
            <w:vAlign w:val="bottom"/>
          </w:tcPr>
          <w:p>
            <w:pPr>
              <w:spacing w:after="0"/>
              <w:rPr>
                <w:sz w:val="1"/>
                <w:szCs w:val="1"/>
                <w:color w:val="auto"/>
              </w:rPr>
            </w:pPr>
          </w:p>
        </w:tc>
      </w:tr>
      <w:tr>
        <w:trPr>
          <w:trHeight w:val="223"/>
        </w:trPr>
        <w:tc>
          <w:tcPr>
            <w:tcW w:w="8920" w:type="dxa"/>
            <w:vAlign w:val="bottom"/>
          </w:tcPr>
          <w:p>
            <w:pPr>
              <w:ind w:left="22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(2,058)</w:t>
            </w:r>
          </w:p>
        </w:tc>
        <w:tc>
          <w:tcPr>
            <w:tcW w:w="0" w:type="dxa"/>
            <w:vAlign w:val="bottom"/>
          </w:tcPr>
          <w:p>
            <w:pPr>
              <w:spacing w:after="0"/>
              <w:rPr>
                <w:sz w:val="1"/>
                <w:szCs w:val="1"/>
                <w:color w:val="auto"/>
              </w:rPr>
            </w:pPr>
          </w:p>
        </w:tc>
      </w:tr>
      <w:tr>
        <w:trPr>
          <w:trHeight w:val="216"/>
        </w:trPr>
        <w:tc>
          <w:tcPr>
            <w:tcW w:w="8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263,379</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20" w:type="dxa"/>
            <w:vAlign w:val="bottom"/>
          </w:tcPr>
          <w:p>
            <w:pPr>
              <w:ind w:left="62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964,241</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894,352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780" w:hanging="452"/>
        <w:spacing w:after="0" w:line="308"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1 — General, Note 2 — Significant Accounting Policies and Practices and Note 7 — Stock Plans to the unaudited consolidated financial statements.</w:t>
      </w:r>
    </w:p>
    <w:p>
      <w:pPr>
        <w:sectPr>
          <w:pgSz w:w="11900" w:h="16838" w:orient="portrait"/>
          <w:cols w:equalWidth="0" w:num="1">
            <w:col w:w="11420"/>
          </w:cols>
          <w:pgMar w:left="240" w:top="419" w:right="239" w:bottom="624"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624"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8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w w:val="97"/>
              </w:rPr>
              <w:t>Three Months Ended September 30,</w:t>
            </w:r>
          </w:p>
        </w:tc>
        <w:tc>
          <w:tcPr>
            <w:tcW w:w="160" w:type="dxa"/>
            <w:vAlign w:val="bottom"/>
          </w:tcPr>
          <w:p>
            <w:pPr>
              <w:spacing w:after="0"/>
              <w:rPr>
                <w:sz w:val="14"/>
                <w:szCs w:val="14"/>
                <w:color w:val="auto"/>
              </w:rPr>
            </w:pPr>
          </w:p>
        </w:tc>
        <w:tc>
          <w:tcPr>
            <w:tcW w:w="25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2005(1)</w:t>
            </w:r>
          </w:p>
        </w:tc>
        <w:tc>
          <w:tcPr>
            <w:tcW w:w="5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2005(1)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EFT Processing</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33,212</w:t>
            </w:r>
          </w:p>
        </w:tc>
        <w:tc>
          <w:tcPr>
            <w:tcW w:w="5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26,315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95,498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121,114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107,669</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346,260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Software Solutions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7,327</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3,406</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20,668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11,066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161,653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137,390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462,426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386,841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112,488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95,779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319,602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18,676</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15,086</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56,164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9,971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27,684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7,388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5,773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21,270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148,523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124,801</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424,720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12,589</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37,706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3,682</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1,013</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9,791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(3,802)</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(1,695)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(11,055)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Income from unconsolidated affiliates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197</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Foreign exchange gain (loss), net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854</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5,420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400"/>
              <w:spacing w:after="0"/>
              <w:rPr>
                <w:sz w:val="20"/>
                <w:szCs w:val="20"/>
                <w:color w:val="auto"/>
              </w:rPr>
            </w:pPr>
            <w:r>
              <w:rPr>
                <w:rFonts w:ascii="Arial" w:cs="Arial" w:eastAsia="Arial" w:hAnsi="Arial"/>
                <w:sz w:val="18"/>
                <w:szCs w:val="18"/>
                <w:color w:val="auto"/>
              </w:rPr>
              <w:t>Other income (expense), net</w:t>
            </w:r>
          </w:p>
        </w:tc>
        <w:tc>
          <w:tcPr>
            <w:tcW w:w="7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4,711</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(7,372)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14,297</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13,015</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42,417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 expense</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right"/>
              <w:ind w:right="500"/>
              <w:spacing w:after="0"/>
              <w:rPr>
                <w:sz w:val="20"/>
                <w:szCs w:val="20"/>
                <w:color w:val="auto"/>
              </w:rPr>
            </w:pPr>
            <w:r>
              <w:rPr>
                <w:rFonts w:ascii="Arial" w:cs="Arial" w:eastAsia="Arial" w:hAnsi="Arial"/>
                <w:sz w:val="18"/>
                <w:szCs w:val="18"/>
                <w:color w:val="auto"/>
              </w:rPr>
              <w:t>(3,638)</w:t>
            </w:r>
          </w:p>
        </w:tc>
        <w:tc>
          <w:tcPr>
            <w:tcW w:w="200" w:type="dxa"/>
            <w:vAlign w:val="bottom"/>
          </w:tcPr>
          <w:p>
            <w:pPr>
              <w:spacing w:after="0"/>
              <w:rPr>
                <w:sz w:val="18"/>
                <w:szCs w:val="18"/>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(3,929)</w:t>
            </w:r>
          </w:p>
        </w:tc>
        <w:tc>
          <w:tcPr>
            <w:tcW w:w="16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(10,807)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10,416</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8,904</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30,894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2,224</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(617)</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3,739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7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12,640</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8,287</w:t>
            </w:r>
          </w:p>
        </w:tc>
        <w:tc>
          <w:tcPr>
            <w:tcW w:w="5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34,633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0.28</w:t>
            </w:r>
          </w:p>
        </w:tc>
        <w:tc>
          <w:tcPr>
            <w:tcW w:w="540" w:type="dxa"/>
            <w:vAlign w:val="bottom"/>
          </w:tcPr>
          <w:p>
            <w:pPr>
              <w:spacing w:after="0"/>
              <w:rPr>
                <w:sz w:val="18"/>
                <w:szCs w:val="18"/>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0.25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0.84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37,230,518</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35,404,949</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36,938,652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34,806,093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 diluted (see Note 3):</w:t>
            </w: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Earnings per share</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0.78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vMerge w:val="restart"/>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42,524,973</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41,584,931</w:t>
            </w:r>
          </w:p>
        </w:tc>
        <w:tc>
          <w:tcPr>
            <w:tcW w:w="5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42,462,863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36,747,479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66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to include the retroactively applied effects of SFAS No. 123R share-based compensation expense; see Note 1 — General, Note 2 — Significant Accounting Policies and Practices, Note 3 — Earnings Per Share and Note 7 — Stock Plans to the unaudited consolidated financial statements.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2260" w:type="dxa"/>
            <w:vAlign w:val="bottom"/>
            <w:gridSpan w:val="6"/>
          </w:tcPr>
          <w:p>
            <w:pPr>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0"/>
              <w:spacing w:after="0" w:line="142" w:lineRule="exact"/>
              <w:rPr>
                <w:sz w:val="20"/>
                <w:szCs w:val="20"/>
                <w:color w:val="auto"/>
              </w:rPr>
            </w:pPr>
            <w:r>
              <w:rPr>
                <w:rFonts w:ascii="Arial" w:cs="Arial" w:eastAsia="Arial" w:hAnsi="Arial"/>
                <w:sz w:val="14"/>
                <w:szCs w:val="14"/>
                <w:b w:val="1"/>
                <w:bCs w:val="1"/>
                <w:color w:val="auto"/>
              </w:rPr>
              <w:t>2006</w:t>
            </w: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50"/>
              <w:spacing w:after="0" w:line="142" w:lineRule="exact"/>
              <w:rPr>
                <w:sz w:val="20"/>
                <w:szCs w:val="20"/>
                <w:color w:val="auto"/>
              </w:rPr>
            </w:pPr>
            <w:r>
              <w:rPr>
                <w:rFonts w:ascii="Arial" w:cs="Arial" w:eastAsia="Arial" w:hAnsi="Arial"/>
                <w:sz w:val="14"/>
                <w:szCs w:val="14"/>
                <w:b w:val="1"/>
                <w:bCs w:val="1"/>
                <w:color w:val="auto"/>
                <w:w w:val="95"/>
              </w:rPr>
              <w:t>2005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30,894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432"/>
        </w:trPr>
        <w:tc>
          <w:tcPr>
            <w:tcW w:w="916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21,270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5,832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Gain on disposal of property and equipment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 expense (benefit)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(3,176)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Income assigned to minority interest</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Amortization of debt issuance expense</w:t>
            </w:r>
          </w:p>
        </w:tc>
        <w:tc>
          <w:tcPr>
            <w:tcW w:w="100" w:type="dxa"/>
            <w:vAlign w:val="bottom"/>
          </w:tcPr>
          <w:p>
            <w:pPr>
              <w:spacing w:after="0"/>
              <w:rPr>
                <w:sz w:val="20"/>
                <w:szCs w:val="20"/>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1,581</w:t>
            </w:r>
          </w:p>
        </w:tc>
        <w:tc>
          <w:tcPr>
            <w:tcW w:w="10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9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(8,997)</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Inventory — PINs and other</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(8,793)</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(6,867)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receivable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10,945</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3,318</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(10,741)</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1,750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9,336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50,620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39,253</w:t>
            </w:r>
          </w:p>
        </w:tc>
        <w:tc>
          <w:tcPr>
            <w:tcW w:w="0" w:type="dxa"/>
            <w:vAlign w:val="bottom"/>
          </w:tcPr>
          <w:p>
            <w:pPr>
              <w:spacing w:after="0"/>
              <w:rPr>
                <w:sz w:val="1"/>
                <w:szCs w:val="1"/>
                <w:color w:val="auto"/>
              </w:rPr>
            </w:pPr>
          </w:p>
        </w:tc>
      </w:tr>
      <w:tr>
        <w:trPr>
          <w:trHeight w:val="439"/>
        </w:trPr>
        <w:tc>
          <w:tcPr>
            <w:tcW w:w="9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(2,312)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Proceeds from sale of property and equipment</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(15,586)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(3,106)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5"/>
              </w:rPr>
              <w:t>(20,272)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(111,394)</w:t>
            </w:r>
          </w:p>
        </w:tc>
        <w:tc>
          <w:tcPr>
            <w:tcW w:w="0" w:type="dxa"/>
            <w:vAlign w:val="bottom"/>
          </w:tcPr>
          <w:p>
            <w:pPr>
              <w:spacing w:after="0"/>
              <w:rPr>
                <w:sz w:val="1"/>
                <w:szCs w:val="1"/>
                <w:color w:val="auto"/>
              </w:rPr>
            </w:pPr>
          </w:p>
        </w:tc>
      </w:tr>
      <w:tr>
        <w:trPr>
          <w:trHeight w:val="439"/>
        </w:trPr>
        <w:tc>
          <w:tcPr>
            <w:tcW w:w="91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12,456</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Net borrowings (repayments) on short-term debt obligations and revolving credit agreements</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(5,941)</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(4,639)</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1,680</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3,406</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35,434</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w w:val="89"/>
              </w:rPr>
              <w:t>219,932</w:t>
            </w:r>
          </w:p>
        </w:tc>
        <w:tc>
          <w:tcPr>
            <w:tcW w:w="1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124,198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89"/>
              </w:rPr>
              <w:t>255,366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52,798</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6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7,366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8,862</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10,183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303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67" w:lineRule="exact"/>
        <w:rPr>
          <w:sz w:val="20"/>
          <w:szCs w:val="20"/>
          <w:color w:val="auto"/>
        </w:rPr>
      </w:pPr>
    </w:p>
    <w:p>
      <w:pPr>
        <w:ind w:left="460" w:right="7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Adjusted to include the retroactively applied effects of SFAS No. 123R share-based compensation expense; see Note 1 — General, Note 2 — Significant Accounting Policies and Practices and Note 7 — Stock Plans to the unaudited consolidated financial statements.</w:t>
      </w:r>
    </w:p>
    <w:p>
      <w:pPr>
        <w:sectPr>
          <w:pgSz w:w="11900" w:h="16838" w:orient="portrait"/>
          <w:cols w:equalWidth="0" w:num="1">
            <w:col w:w="11420"/>
          </w:cols>
          <w:pgMar w:left="240" w:top="419" w:right="239" w:bottom="1440" w:gutter="0" w:footer="0" w:header="0"/>
        </w:sectPr>
      </w:pP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accompanying unaudited consolidated financial statements of Euronet Worldwide, Inc. and its subsidiaries (“Euronet” or the “Company”) have been prepared from the records of the Company, in conformity with U.S. generally accepted accounting principles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September 30, 2006, the results of its operations for the three- and nine-month periods ended September 30, 2006 and 2005 and cash flows for the nine-month periods ended September 30, 2006 and 2005.</w:t>
      </w:r>
    </w:p>
    <w:p>
      <w:pPr>
        <w:spacing w:after="0" w:line="8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unaudited consolidated financial statements should be read in conjunction with the audited consolidated financial statements of Euronet for the year ended December 31, 2005, including the notes thereto, set forth in the Company’s Form 10-K. Certain prior year amounts have been reclassified to conform to the current period consolidated financial statement presentation.</w:t>
      </w:r>
    </w:p>
    <w:p>
      <w:pPr>
        <w:spacing w:after="0" w:line="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adopted the provisions of Statement of Financial Accounting Standards (“SFAS”) No. 123(R), “Share-Based Payment,” (“SFAS No. 123R”) on January 1, 2006. The Company elected to adopt SFAS No. 123R utilizing the modified retrospective application method and, accordingly, financial statement amounts for the prior periods presented in this Form 10-Q have been adjusted to reflect the fair value method of expensing prescribed by SFAS No. 123R. See Note 2 — Significant Accounting Policies and Practices and Note 7 — Stock Plans for further discussion.</w:t>
      </w:r>
    </w:p>
    <w:p>
      <w:pPr>
        <w:spacing w:after="0" w:line="63"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 and nine-month periods ended September 30, 2006 are not necessarily indicative of the results to be expected for the full year ending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AND PRACTICES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recognition-EFT Processing</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Certain of the Company’s non-cancelable customer contracts provide for the receipt of up-front fees from the customer and/or decreasing or increasing fee schedules over the agreement term for substantially the same level of services to be provided by the Company. As prescribed in SEC Staff Accounting Bulletin (“SAB”) 101, “Revenue Recognition in Financial Statements,” as amended by SAB 104, “Revenue Recognition,” the Company recognizes revenue under these contracts based on proportional performance of services over the term of the contract. This generally results in “straight-line” (i.e. consistent value per period) revenue recognition of the contracts’ total cash flows, including any up-front payment received from the customer.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117"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Effective January 1, 2006, the Company adopted the provisions of SFAS No. 123R, which is a revision of SFAS No. 123, “Accounting for Stock-Based Compensation,” and supersedes Accounting Principles Board (“APB”) Opinion No. 25, “Accounting for Stock Issued to Employees.” For equity classified awards, SFAS No. 123R requires the determination of the fair value of the share-based compensation at the grant date and the recognition of the related expense over the period in which the share-based compensation is earned (“requisite service period”). The Company elected to adopt the modified retrospective application method as provided by SFAS No. 123R and, accordingly, financial statement amounts for the prior periods presented in this Form 10-Q have been adjusted to reflect the fair value method of expensing prescribed by SFAS No. 123R. The Company believes that this method achieves the highest level of clarity and comparability among the presented periods.</w:t>
      </w:r>
    </w:p>
    <w:p>
      <w:pPr>
        <w:spacing w:after="0" w:line="7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As a result of adopting SFAS No. 123R, the Company’s deferred tax assets related to U.S. Federal and state net operating loss carryforwards, reported for U.S. GAAP purposes, and the Company’s deferred tax assets related to deferred compensation, increased by an estimated $8.1 million as of December 31, 2005. This estimate remains preliminary while management completes its analysis. However, since the Company records a valuation allowance for its entire U.S. net deferred tax asset position, upon adoption of SFAS No. 123R, the amount of net deferred tax assets did not, and is not expected to, change. The Company has chosen to use the Black-Scholes pricing model for the determination of fair value for stock option grants. The amount of future compensation expense related to awards of nonvested shares or nonvested share units (restricted stock) is based on the market price for Euronet Common Stock at the grant date. The grant date is the date at which all key terms and conditions of the grant have been determined and the Company becomes contingently obligated to transfer assets to the employee who renders the requisite service, generally the date at which grants are approved by the Company’s Board of Directors or Compensation Committee thereof. Share-based compensation expense for awards with service conditions only is generally recognized as an expense of the Corporate division on a “straight-line” basis over the requisite service period.</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For awards with performance conditions, expense is recognized on a “graded attribution method.” The graded attribution method results in expense recognition on a straight-line basis over the requisite service period for each separately vesting portion of an award, as if the award was, in-substance, multiple awards. See Note 7 — Stock Plans for further disclosure.</w:t>
      </w:r>
    </w:p>
    <w:p>
      <w:pPr>
        <w:spacing w:after="0" w:line="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a description of other significant accounting policies of the Company, see Note 3 to the Audited Consolidated Financial Statements as of and for the year ended December 31, 2005, set forth in the Company’s Annual Report on Form 10-K.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March 2006, the Emerging Issues Task Force (“EITF”) issued EITF 06-3, “How Taxes Collected and Remitted to Governmental Authorities Should Be Presented in the Income Statement (That Is, Gross versus Net Presentation).” If significant, this issue requires companies to disclose the policy of presenting such taxes in the income statement on either a gross or net basis. The provisions of this issue will be effective for the Company beginning January 1, 2007.</w:t>
      </w:r>
    </w:p>
    <w:p>
      <w:pPr>
        <w:spacing w:after="0" w:line="3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July 2006, the Financial Accounting Standards Board (“FASB”) issued FASB Interpretation No. 48 (“FIN 48”), “Accounting for Uncertainty in Income Taxes.” FIN 48 is an interpretation of SFAS No. 109, “Accounting for Income Taxes,” and seeks to reduce the diversity in practice associated with certain aspects of the measurement and recognition related to accounting for income taxes. This interpretation also requires expanded disclosure with respect to uncertain tax positions. The provisions of FIN 48 will be effective for the Company beginning January 1, 2007.</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September 2006, the FASB issued SFAS No. 157, “Fair Value Measurements.”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The provisions of SFAS No. 157 will be effective for the Company beginning January 1, 2008.</w:t>
      </w:r>
    </w:p>
    <w:p>
      <w:pPr>
        <w:spacing w:after="0" w:line="7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Company is in the process of determining the effect, if any, that the adoption of the above accounting pronouncements will have on its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Basic earnings per share has been computed by dividing income available to common stockholders by the weighted average number of common shares outstanding during the respective period. Diluted earnings per share reflect the weighted-average shares outstanding during the respective period, after adjusting for the potential dilution upon the assumed conversion of the Company’s convertible debentures, options to purchase the Company’s common stock, restricted stock and shares issuable in connection with acquisition obligations. The following table provides a reconciliation of the weighted average number of common shares outstanding to the diluted weighted average number of common shares outstanding and a reconciliation of net income to earnings available to common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200" w:type="dxa"/>
            <w:vAlign w:val="bottom"/>
          </w:tcPr>
          <w:p>
            <w:pPr>
              <w:spacing w:after="0"/>
              <w:rPr>
                <w:sz w:val="14"/>
                <w:szCs w:val="14"/>
                <w:color w:val="auto"/>
              </w:rPr>
            </w:pPr>
          </w:p>
        </w:tc>
        <w:tc>
          <w:tcPr>
            <w:tcW w:w="290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96"/>
              </w:rPr>
              <w:t>Three Months Ended 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538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2005(1)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2006</w:t>
            </w: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2005(1)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37,230,518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35,404,949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36,938,652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34,806,093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Additional shares from assumed conversion of 1.625% convertible</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debentures</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4,162,950</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4,162,950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4,162,950</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Weighted average shares issuable in connection with acquisition</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obligations (See Note 4 - Acquisitions)</w:t>
            </w:r>
          </w:p>
        </w:tc>
        <w:tc>
          <w:tcPr>
            <w:tcW w:w="20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48,685</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60" w:type="dxa"/>
            <w:vAlign w:val="bottom"/>
            <w:gridSpan w:val="2"/>
          </w:tcPr>
          <w:p>
            <w:pPr>
              <w:spacing w:after="0" w:line="201" w:lineRule="exact"/>
              <w:rPr>
                <w:sz w:val="20"/>
                <w:szCs w:val="20"/>
                <w:color w:val="auto"/>
              </w:rPr>
            </w:pPr>
            <w:r>
              <w:rPr>
                <w:rFonts w:ascii="Arial" w:cs="Arial" w:eastAsia="Arial" w:hAnsi="Arial"/>
                <w:sz w:val="18"/>
                <w:szCs w:val="18"/>
                <w:color w:val="auto"/>
              </w:rPr>
              <w:t>Incremental shares from assumed conversion of stock options and</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gridSpan w:val="2"/>
          </w:tcPr>
          <w:p>
            <w:pPr>
              <w:ind w:left="200"/>
              <w:spacing w:after="0"/>
              <w:rPr>
                <w:sz w:val="20"/>
                <w:szCs w:val="20"/>
                <w:color w:val="auto"/>
              </w:rPr>
            </w:pPr>
            <w:r>
              <w:rPr>
                <w:rFonts w:ascii="Arial" w:cs="Arial" w:eastAsia="Arial" w:hAnsi="Arial"/>
                <w:sz w:val="18"/>
                <w:szCs w:val="18"/>
                <w:color w:val="auto"/>
              </w:rPr>
              <w:t>restricted stock (1)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1,131,505</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2,017,032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1,312,576</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1,941,386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42,524,973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41,584,931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42,462,863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36,747,479</w:t>
            </w:r>
          </w:p>
        </w:tc>
        <w:tc>
          <w:tcPr>
            <w:tcW w:w="0" w:type="dxa"/>
            <w:vAlign w:val="bottom"/>
          </w:tcPr>
          <w:p>
            <w:pPr>
              <w:spacing w:after="0"/>
              <w:rPr>
                <w:sz w:val="1"/>
                <w:szCs w:val="1"/>
                <w:color w:val="auto"/>
              </w:rPr>
            </w:pPr>
          </w:p>
        </w:tc>
      </w:tr>
      <w:tr>
        <w:trPr>
          <w:trHeight w:val="20"/>
        </w:trPr>
        <w:tc>
          <w:tcPr>
            <w:tcW w:w="5380" w:type="dxa"/>
            <w:vAlign w:val="bottom"/>
            <w:gridSpan w:val="3"/>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3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10,416</w:t>
            </w:r>
          </w:p>
        </w:tc>
        <w:tc>
          <w:tcPr>
            <w:tcW w:w="4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8,904</w:t>
            </w:r>
          </w:p>
        </w:tc>
        <w:tc>
          <w:tcPr>
            <w:tcW w:w="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30,894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interest expense of 1.625% convertible debentures</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2,391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gridSpan w:val="3"/>
          </w:tcPr>
          <w:p>
            <w:pPr>
              <w:spacing w:after="0"/>
              <w:rPr>
                <w:sz w:val="20"/>
                <w:szCs w:val="20"/>
                <w:color w:val="auto"/>
              </w:rPr>
            </w:pPr>
            <w:r>
              <w:rPr>
                <w:rFonts w:ascii="Arial" w:cs="Arial" w:eastAsia="Arial" w:hAnsi="Arial"/>
                <w:sz w:val="18"/>
                <w:szCs w:val="18"/>
                <w:color w:val="auto"/>
              </w:rPr>
              <w:t>Earnings available to common stockholders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11,213</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33,285</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40" w:hanging="452"/>
        <w:spacing w:after="0" w:line="34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the adoption of SFAS No. 123R, the computation of incremental shares from the assumed conversion of stock options changed. The incremental shares previously reported for the three- and nine-month periods ended September 30, 2005 were 2,438,734 and 2,344,846, respectively.</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nine-month periods ended September 30, 2006 and 2005, the average market price of Euronet common stock exceeded the exercise price of all stock options outstanding.</w:t>
      </w:r>
    </w:p>
    <w:p>
      <w:pPr>
        <w:spacing w:after="0" w:line="6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$140 million of 1.625% convertible debentures due 2024 and $175 million of 3.50% convertible debentures due 2025 outstanding that, if converted, would have a potentially dilutive effect on the Company’s stock. These debentures are convertible into 4.2 million shares of Common Stock for the $140 million 1.625% issue, and 4.3 million shares of Common Stock for the $175 million 3.50% issue, initially in December 2009 and October 2012, respectively, or earlier upon the occurrence of certain conditions. As required by EITF Issue No. 04-8, “The Effect of Contingently Convertible Debt on Diluted Earnings per Share,” if dilutive, the impact of the contingently issuable shares must be included in the calculation of diluted net income per share under the “if-converted” method, regardless of whether the conditions upon which the debentures would be convertible into shares of the Company’s Common Stock have been met. Under the if-converted method, the assumed conversion of the 1.625% convertible debentures was dilutive for the three-month periods ended September 30, 2006 and 2005 and for the nine-month period ended September 30, 2006 and, accordingly, the impact has been included in the above computation of diluted weighted average shares outstanding for these periods. The assumed conversion of the 1.625% convertible debentures was anti-dilutive for the nine-month period ended September 30, 2005 and, accordingly, the impact has been excluded from the above computation for the nine-month period ended September 30, 2005. Under the if-converted method, the assumed conversion of the 3.50% convertible debentures was anti-dilutive for the three- and nine-month periods ended September 30, 2006 and, accordingly, the impact has been excluded from the above computation of dilutive weighted average shares outstanding. The 3.50% convertible debentures were not outstanding for the three- and nine-month periods ended September 30,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SFAS No. 141, “Business Combinations,” the Company allocates the purchase price of its acquisitions to the tangible assets, liabilities and intangible assets acquired based on estimated fair values. The excess purchase price over those fair values is recorded as goodwill. The fair value assigned to intangible assets acquired is supported by valuations using estimates and assumptions provided by management. For certain large or unique acquisitions management engaged an appraiser to assist in the valuation.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Essentis Limited</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January 2006, the Company completed the acquisition of the assets of Essentis Limited (“Essentis”) for approximately $3.0 million, which was comprised of $0.9 million in cash and approximately $2.1 million in assumed liabilities. Essentis is a U.K. company that owns and develops software packages that enhance Euronet’s outsourcing and software offerings to banks. Essentis is reported in the Company’s Software Solutions Segment. The Company’s allocation of the purchase price to the fair values of acquired tangible and intangible assets is preliminary and remains so while management completes its valuation of the fair value of the net assets acquired. The following table summarizes the estimated allocation of the purchase price to the fair values of the acquired tangible and intangible assets at the acquisition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92"/>
              </w:rPr>
              <w:t>Estimated</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Essentis</w:t>
            </w:r>
          </w:p>
        </w:tc>
        <w:tc>
          <w:tcPr>
            <w:tcW w:w="0" w:type="dxa"/>
            <w:vAlign w:val="bottom"/>
          </w:tcPr>
          <w:p>
            <w:pPr>
              <w:spacing w:after="0"/>
              <w:rPr>
                <w:sz w:val="1"/>
                <w:szCs w:val="1"/>
                <w:color w:val="auto"/>
              </w:rPr>
            </w:pPr>
          </w:p>
        </w:tc>
      </w:tr>
      <w:tr>
        <w:trPr>
          <w:trHeight w:val="171"/>
        </w:trPr>
        <w:tc>
          <w:tcPr>
            <w:tcW w:w="87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Life</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various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Software</w:t>
            </w:r>
          </w:p>
        </w:tc>
        <w:tc>
          <w:tcPr>
            <w:tcW w:w="5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 years</w:t>
            </w: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Assets acquired</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are no potential additional purchase price or escrow arrangements associated with the acquisition of Essentis.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2005 Acquisitions: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During 2005, the Company completed seven acquisitions for an aggregate purchase price of approximately $119.0 million. The Company’s allocation of the purchase price to the fair values of acquired tangible and intangible assets for certain acquisitions are preliminary and remain so while management completes its valuation of the fair value of the net assets acquired. The following table summarizes the allocation of the purchase price, including $2.9 million paid in prior years for acquisitions accounted for as step acquisitions, to the fair values of the acquired tangible and intangible assets at the acquisition dates.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2"/>
              </w:rPr>
              <w:t>Estimated</w:t>
            </w:r>
          </w:p>
        </w:tc>
        <w:tc>
          <w:tcPr>
            <w:tcW w:w="11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Telerecarga</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Other</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600" w:type="dxa"/>
            <w:vAlign w:val="bottom"/>
          </w:tcPr>
          <w:p>
            <w:pPr>
              <w:spacing w:after="0"/>
              <w:rPr>
                <w:sz w:val="14"/>
                <w:szCs w:val="14"/>
                <w:color w:val="auto"/>
              </w:rPr>
            </w:pPr>
          </w:p>
        </w:tc>
        <w:tc>
          <w:tcPr>
            <w:tcW w:w="16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rPr>
              <w:t>Life</w:t>
            </w:r>
          </w:p>
        </w:tc>
        <w:tc>
          <w:tcPr>
            <w:tcW w:w="11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Acquisitions</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3,841</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60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various</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1,415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1,412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8 or 9 years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14,703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60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5 years</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655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900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Patent</w:t>
            </w: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7 years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1,699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Trade name</w:t>
            </w:r>
          </w:p>
        </w:tc>
        <w:tc>
          <w:tcPr>
            <w:tcW w:w="600" w:type="dxa"/>
            <w:vAlign w:val="bottom"/>
          </w:tcPr>
          <w:p>
            <w:pPr>
              <w:spacing w:after="0"/>
              <w:rPr>
                <w:sz w:val="18"/>
                <w:szCs w:val="18"/>
                <w:color w:val="auto"/>
              </w:rPr>
            </w:pPr>
          </w:p>
        </w:tc>
        <w:tc>
          <w:tcPr>
            <w:tcW w:w="1640" w:type="dxa"/>
            <w:vAlign w:val="bottom"/>
            <w:gridSpan w:val="2"/>
          </w:tcPr>
          <w:p>
            <w:pPr>
              <w:jc w:val="center"/>
              <w:ind w:right="600"/>
              <w:spacing w:after="0"/>
              <w:rPr>
                <w:sz w:val="20"/>
                <w:szCs w:val="20"/>
                <w:color w:val="auto"/>
              </w:rPr>
            </w:pPr>
            <w:r>
              <w:rPr>
                <w:rFonts w:ascii="Arial" w:cs="Arial" w:eastAsia="Arial" w:hAnsi="Arial"/>
                <w:sz w:val="18"/>
                <w:szCs w:val="18"/>
                <w:color w:val="auto"/>
                <w:w w:val="88"/>
              </w:rPr>
              <w:t>2 years</w:t>
            </w: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600"/>
              <w:spacing w:after="0"/>
              <w:rPr>
                <w:sz w:val="20"/>
                <w:szCs w:val="20"/>
                <w:color w:val="auto"/>
              </w:rPr>
            </w:pPr>
            <w:r>
              <w:rPr>
                <w:rFonts w:ascii="Arial" w:cs="Arial" w:eastAsia="Arial" w:hAnsi="Arial"/>
                <w:sz w:val="18"/>
                <w:szCs w:val="18"/>
                <w:color w:val="auto"/>
                <w:w w:val="88"/>
              </w:rPr>
              <w:t>5 years</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income tax asset</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1,055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6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color w:val="auto"/>
                <w:w w:val="95"/>
              </w:rPr>
              <w:t>Indefinite</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42,144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53,417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95,561</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280" w:type="dxa"/>
            <w:vAlign w:val="bottom"/>
          </w:tcPr>
          <w:p>
            <w:pPr>
              <w:ind w:left="200"/>
              <w:spacing w:after="0"/>
              <w:rPr>
                <w:sz w:val="20"/>
                <w:szCs w:val="20"/>
                <w:color w:val="auto"/>
              </w:rPr>
            </w:pPr>
            <w:r>
              <w:rPr>
                <w:rFonts w:ascii="Arial" w:cs="Arial" w:eastAsia="Arial" w:hAnsi="Arial"/>
                <w:sz w:val="18"/>
                <w:szCs w:val="18"/>
                <w:color w:val="auto"/>
              </w:rPr>
              <w:t>Assets acquired</w:t>
            </w: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54,910</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131,937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5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Deferred income tax liability</w:t>
            </w:r>
          </w:p>
        </w:tc>
        <w:tc>
          <w:tcPr>
            <w:tcW w:w="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(3,892)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(5,442)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(9,334)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assets acquired</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51,018</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70,898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121,916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Telerecarga S.L.</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March 2005, to supplement the Company’s prepaid processing business in Spain, Euronet purchased 100% of the assets of Telerecarga S.L. (“Telerecarga”), a Spanish company that distributes prepaid mobile airtime and other prepaid products via Point of Sale (“POS”) terminals throughout Spain. The purchase price of €38.1 million (approximately $51.0 million) was settled through the assumption of €25.4 million (approximately $34.0 million) in liabilities and cash payments of €12.7 million (approximately $17.0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During 2005, Euronet completed six other acquisitions described below for a total purchase price of $68.0 million, comprised of $39.6 million in cash, 864,131 shares of Euronet Common Stock (including 109,542 shares issued in settlement of contingent payment arrangements discussed below), valued at $23.6 million and $4.8 million in liabilities assumed. Additionally, the purchase price for acquisitions accounted for as step acquisitions, in accordance with SFAS No. 141, include $2.9 million paid in prior years.</w:t>
      </w:r>
    </w:p>
    <w:p>
      <w:pPr>
        <w:spacing w:after="0" w:line="79" w:lineRule="exact"/>
        <w:rPr>
          <w:sz w:val="20"/>
          <w:szCs w:val="20"/>
          <w:color w:val="auto"/>
        </w:rPr>
      </w:pPr>
    </w:p>
    <w:p>
      <w:pPr>
        <w:ind w:left="540" w:right="180" w:hanging="316"/>
        <w:spacing w:after="0" w:line="259"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December 2005, EFT Services Holding B.V. (a wholly-owned subsidiary of Euronet) purchased 6.25% of Euronet Services Private Limited, the Company’s subsidiary in India (“Euronet India”), increasing its share ownership of Euronet India to 100%. Euronet India is included in the Company’s EFT Processing Segment and, since the Company’s ownership share previously exceeded 50%, has been a consolidated subsidiary since inception.</w:t>
      </w:r>
    </w:p>
    <w:p>
      <w:pPr>
        <w:spacing w:after="0" w:line="92" w:lineRule="exact"/>
        <w:rPr>
          <w:rFonts w:ascii="Arial" w:cs="Arial" w:eastAsia="Arial" w:hAnsi="Arial"/>
          <w:sz w:val="18"/>
          <w:szCs w:val="18"/>
          <w:b w:val="1"/>
          <w:bCs w:val="1"/>
          <w:color w:val="auto"/>
        </w:rPr>
      </w:pPr>
    </w:p>
    <w:p>
      <w:pPr>
        <w:ind w:left="540" w:right="60" w:hanging="316"/>
        <w:spacing w:after="0" w:line="276" w:lineRule="auto"/>
        <w:tabs>
          <w:tab w:leader="none" w:pos="5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two separate transactions, one in April 2005 and one in December 2005, EFT Services Holding B.V. purchased an additional 64% of Europlanet a.d. (“Europlanet”), a Serbian company, increasing its share ownership in Europlanet to 100%. Europlanet is an ATM and card processor that owns, operates and manages a network of ATMs and POS terminals. Upon obtaining a controlling interest in April 2005, Euronet began consolidating Europlanet’s financial position and results of operations. Euronet’s $0.2 million share of dividends declared prior to acquiring a controlling ownership share of Europlanet was recognized as income from unconsolidated affiliates during 2005.</w:t>
      </w:r>
    </w:p>
    <w:p>
      <w:pPr>
        <w:spacing w:after="0" w:line="77" w:lineRule="exact"/>
        <w:rPr>
          <w:rFonts w:ascii="Arial" w:cs="Arial" w:eastAsia="Arial" w:hAnsi="Arial"/>
          <w:sz w:val="17"/>
          <w:szCs w:val="17"/>
          <w:b w:val="1"/>
          <w:bCs w:val="1"/>
          <w:color w:val="auto"/>
        </w:rPr>
      </w:pPr>
    </w:p>
    <w:p>
      <w:pPr>
        <w:ind w:left="540" w:right="300" w:hanging="316"/>
        <w:spacing w:after="0" w:line="259"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October 2005, Euronet EFT Services Hellas EPE (a wholly-owned subsidiary of Euronet) acquired all of the share capital of Instreamline S.A. (“Instreamline”), a Greek company that provides card processing services in addition to debit card and transaction gateway switching services in Greece and the Balkan region. Instreamline will complement the Company’s EFT Processing Segment. Subsequent to the acquisition, Instreamline was renamed Euronet Card Services Greece.</w:t>
      </w:r>
    </w:p>
    <w:p>
      <w:pPr>
        <w:spacing w:after="0" w:line="92" w:lineRule="exact"/>
        <w:rPr>
          <w:rFonts w:ascii="Arial" w:cs="Arial" w:eastAsia="Arial" w:hAnsi="Arial"/>
          <w:sz w:val="18"/>
          <w:szCs w:val="18"/>
          <w:b w:val="1"/>
          <w:bCs w:val="1"/>
          <w:color w:val="auto"/>
        </w:rPr>
      </w:pPr>
    </w:p>
    <w:p>
      <w:pPr>
        <w:ind w:left="540" w:right="100" w:hanging="316"/>
        <w:spacing w:after="0" w:line="279" w:lineRule="auto"/>
        <w:tabs>
          <w:tab w:leader="none" w:pos="540" w:val="left"/>
        </w:tabs>
        <w:numPr>
          <w:ilvl w:val="0"/>
          <w:numId w:val="7"/>
        </w:numPr>
        <w:rPr>
          <w:rFonts w:ascii="Arial" w:cs="Arial" w:eastAsia="Arial" w:hAnsi="Arial"/>
          <w:sz w:val="17"/>
          <w:szCs w:val="17"/>
          <w:b w:val="1"/>
          <w:bCs w:val="1"/>
          <w:color w:val="auto"/>
        </w:rPr>
      </w:pPr>
      <w:r>
        <w:rPr>
          <w:rFonts w:ascii="Arial" w:cs="Arial" w:eastAsia="Arial" w:hAnsi="Arial"/>
          <w:sz w:val="17"/>
          <w:szCs w:val="17"/>
          <w:color w:val="auto"/>
        </w:rPr>
        <w:t>In May 2005, Euronet acquired all of the outstanding membership interests in Continental Transfer, LLC and a wholly-owned subsidiary, TelecommUSA, Limited (“TelecommUSA”), a company based in North Carolina. TelecommUSA, now known as Euronet Payments and Remittance, Inc. (“Euronet Payments &amp; Remittance”), provides money transfer services, primarily to consumers in the U.S. to destinations in Latin America, and bill payment services within the U.S. This acquisition launched the Company’s money transfer and bill payment business.</w:t>
      </w:r>
    </w:p>
    <w:p>
      <w:pPr>
        <w:spacing w:after="0" w:line="76" w:lineRule="exact"/>
        <w:rPr>
          <w:rFonts w:ascii="Arial" w:cs="Arial" w:eastAsia="Arial" w:hAnsi="Arial"/>
          <w:sz w:val="17"/>
          <w:szCs w:val="17"/>
          <w:b w:val="1"/>
          <w:bCs w:val="1"/>
          <w:color w:val="auto"/>
        </w:rPr>
      </w:pPr>
    </w:p>
    <w:p>
      <w:pPr>
        <w:jc w:val="both"/>
        <w:ind w:left="540" w:right="40" w:hanging="316"/>
        <w:spacing w:after="0" w:line="312" w:lineRule="auto"/>
        <w:tabs>
          <w:tab w:leader="none" w:pos="5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In March 2005, to enhance the Company’s U.S. prepaid processing business, PaySpot (a wholly-owned subsidiary of Euronet) purchased substantially all of the assets of Dynamic Telecom, Inc. (“Dynamic Telecom”), a company based in Iowa. Dynamic Telecom’s distribution network in convenience store chains throughout the U.S. provides several types of prepaid products including wireless, long distance and gift cards via POS terminals.</w:t>
      </w:r>
    </w:p>
    <w:p>
      <w:pPr>
        <w:spacing w:after="0" w:line="52" w:lineRule="exact"/>
        <w:rPr>
          <w:rFonts w:ascii="Arial" w:cs="Arial" w:eastAsia="Arial" w:hAnsi="Arial"/>
          <w:sz w:val="16"/>
          <w:szCs w:val="16"/>
          <w:b w:val="1"/>
          <w:bCs w:val="1"/>
          <w:color w:val="auto"/>
        </w:rPr>
      </w:pPr>
    </w:p>
    <w:p>
      <w:pPr>
        <w:ind w:left="540" w:right="140" w:hanging="316"/>
        <w:spacing w:after="0" w:line="264" w:lineRule="auto"/>
        <w:tabs>
          <w:tab w:leader="none" w:pos="5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In March 2005, the Company exercised its option to acquire an additional 41% of the shares of ATX Software, Ltd. (“ATX”) and increased its share ownership in ATX to 51%. Euronet originally acquired a 10% share in ATX in May 2004. Euronet’s $0.1 million share of dividends declared prior to acquiring the additional 41% ownership share of ATX was recognized as income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right="360"/>
        <w:spacing w:after="0" w:line="277" w:lineRule="auto"/>
        <w:rPr>
          <w:sz w:val="20"/>
          <w:szCs w:val="20"/>
          <w:color w:val="auto"/>
        </w:rPr>
      </w:pPr>
      <w:r>
        <w:rPr>
          <w:rFonts w:ascii="Arial" w:cs="Arial" w:eastAsia="Arial" w:hAnsi="Arial"/>
          <w:sz w:val="18"/>
          <w:szCs w:val="18"/>
          <w:color w:val="auto"/>
        </w:rPr>
        <w:t>from unconsolidated affiliates during 2005. Upon the increase in ownership from 10% to 51%, Euronet consolidated ATX’s financial position and results of operations.</w:t>
      </w:r>
    </w:p>
    <w:p>
      <w:pPr>
        <w:spacing w:after="0" w:line="62"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In connection with these six acquisitions, $3.5 million in cash remains in escrow, subject to the achievement of certain performance criteria. This cash has been reflected in the purchase price allocation because the Company has determined beyond a reasonable doubt that the performance criteria will be met. During the nine-month period ending September 30, 2006, the Company issued 109,542 shares of Euronet Common Stock, valued at $4.1 million, in settlement of contingent payment arrangements associated with the Company’s 2005 acquisitions. This settlement was recorded as an increase in goodwill.</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p>
    <w:p>
      <w:pPr>
        <w:spacing w:after="0" w:line="12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following unaudited pro forma financial information presents the condensed combined results of operations of Euronet for the three- and nine-month periods ended September 30, 2005, as if the acquisitions described above had occurred January 1, 2005. An adjustment was made to the combined results of operations, reflecting amortization of purchased intangible assets, net of tax, which would have been recorded if the acquisitions had occurred on January 1, 2005. Because the Company’s 2006 acquisition was effective January 1, 2006, there is no pro-forma financial information for 2006. The unaudited pro forma financial information is not intended to represent, or be indicative of, the consolidated results of operations or financial condition of Euronet that would have been reported had the acquisitions been completed as of the beginning of the periods presented. Moreover, the unaudited pro forma financial information should not be considered as representative of the future consolidated results of operations or financial condition of Euronet.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4"/>
                <w:szCs w:val="14"/>
                <w:b w:val="1"/>
                <w:bCs w:val="1"/>
                <w:color w:val="auto"/>
              </w:rPr>
              <w:t>Pro-forma</w:t>
            </w: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00" w:type="dxa"/>
            <w:vAlign w:val="bottom"/>
            <w:gridSpan w:val="2"/>
          </w:tcPr>
          <w:p>
            <w:pPr>
              <w:jc w:val="right"/>
              <w:ind w:right="90"/>
              <w:spacing w:after="0" w:line="119" w:lineRule="exact"/>
              <w:rPr>
                <w:sz w:val="20"/>
                <w:szCs w:val="20"/>
                <w:color w:val="auto"/>
              </w:rPr>
            </w:pPr>
            <w:r>
              <w:rPr>
                <w:rFonts w:ascii="Arial" w:cs="Arial" w:eastAsia="Arial" w:hAnsi="Arial"/>
                <w:sz w:val="13"/>
                <w:szCs w:val="13"/>
                <w:b w:val="1"/>
                <w:bCs w:val="1"/>
                <w:color w:val="auto"/>
              </w:rPr>
              <w:t>Three Months Ended</w:t>
            </w:r>
          </w:p>
        </w:tc>
        <w:tc>
          <w:tcPr>
            <w:tcW w:w="760" w:type="dxa"/>
            <w:vAlign w:val="bottom"/>
          </w:tcPr>
          <w:p>
            <w:pPr>
              <w:spacing w:after="0"/>
              <w:rPr>
                <w:sz w:val="10"/>
                <w:szCs w:val="10"/>
                <w:color w:val="auto"/>
              </w:rPr>
            </w:pPr>
          </w:p>
        </w:tc>
        <w:tc>
          <w:tcPr>
            <w:tcW w:w="1720" w:type="dxa"/>
            <w:vAlign w:val="bottom"/>
            <w:gridSpan w:val="2"/>
          </w:tcPr>
          <w:p>
            <w:pPr>
              <w:jc w:val="right"/>
              <w:ind w:right="150"/>
              <w:spacing w:after="0" w:line="119" w:lineRule="exact"/>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171"/>
        </w:trPr>
        <w:tc>
          <w:tcPr>
            <w:tcW w:w="7240" w:type="dxa"/>
            <w:vAlign w:val="bottom"/>
            <w:gridSpan w:val="3"/>
          </w:tcPr>
          <w:p>
            <w:pPr>
              <w:spacing w:after="0"/>
              <w:rPr>
                <w:sz w:val="20"/>
                <w:szCs w:val="20"/>
                <w:color w:val="auto"/>
              </w:rPr>
            </w:pPr>
            <w:r>
              <w:rPr>
                <w:rFonts w:ascii="Arial" w:cs="Arial" w:eastAsia="Arial" w:hAnsi="Arial"/>
                <w:sz w:val="14"/>
                <w:szCs w:val="14"/>
                <w:color w:val="auto"/>
              </w:rPr>
              <w:t>(amounts in thousands, except per share data)</w:t>
            </w:r>
          </w:p>
        </w:tc>
        <w:tc>
          <w:tcPr>
            <w:tcW w:w="17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September 30, 2005</w:t>
            </w:r>
          </w:p>
        </w:tc>
        <w:tc>
          <w:tcPr>
            <w:tcW w:w="760" w:type="dxa"/>
            <w:vAlign w:val="bottom"/>
          </w:tcPr>
          <w:p>
            <w:pPr>
              <w:spacing w:after="0"/>
              <w:rPr>
                <w:sz w:val="14"/>
                <w:szCs w:val="14"/>
                <w:color w:val="auto"/>
              </w:rPr>
            </w:pPr>
          </w:p>
        </w:tc>
        <w:tc>
          <w:tcPr>
            <w:tcW w:w="17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September 30, 2005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Borders>
              <w:top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5"/>
              </w:rPr>
              <w:t>142,731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95"/>
              </w:rPr>
              <w:t>411,435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11,481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30,161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8,287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12,090</w:t>
            </w:r>
          </w:p>
        </w:tc>
        <w:tc>
          <w:tcPr>
            <w:tcW w:w="0" w:type="dxa"/>
            <w:vAlign w:val="bottom"/>
          </w:tcPr>
          <w:p>
            <w:pPr>
              <w:spacing w:after="0"/>
              <w:rPr>
                <w:sz w:val="1"/>
                <w:szCs w:val="1"/>
                <w:color w:val="auto"/>
              </w:rPr>
            </w:pPr>
          </w:p>
        </w:tc>
      </w:tr>
      <w:tr>
        <w:trPr>
          <w:trHeight w:val="432"/>
        </w:trPr>
        <w:tc>
          <w:tcPr>
            <w:tcW w:w="7240" w:type="dxa"/>
            <w:vAlign w:val="bottom"/>
            <w:gridSpan w:val="3"/>
          </w:tcPr>
          <w:p>
            <w:pPr>
              <w:spacing w:after="0"/>
              <w:rPr>
                <w:sz w:val="20"/>
                <w:szCs w:val="20"/>
                <w:color w:val="auto"/>
              </w:rPr>
            </w:pPr>
            <w:r>
              <w:rPr>
                <w:rFonts w:ascii="Arial" w:cs="Arial" w:eastAsia="Arial" w:hAnsi="Arial"/>
                <w:sz w:val="18"/>
                <w:szCs w:val="18"/>
                <w:color w:val="auto"/>
              </w:rPr>
              <w:t>Per share data:</w:t>
            </w:r>
          </w:p>
        </w:tc>
        <w:tc>
          <w:tcPr>
            <w:tcW w:w="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Earnings per share-basic</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0.23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20" w:type="dxa"/>
            <w:vAlign w:val="bottom"/>
            <w:gridSpan w:val="2"/>
          </w:tcPr>
          <w:p>
            <w:pPr>
              <w:ind w:left="200"/>
              <w:spacing w:after="0"/>
              <w:rPr>
                <w:sz w:val="20"/>
                <w:szCs w:val="20"/>
                <w:color w:val="auto"/>
              </w:rPr>
            </w:pPr>
            <w:r>
              <w:rPr>
                <w:rFonts w:ascii="Arial" w:cs="Arial" w:eastAsia="Arial" w:hAnsi="Arial"/>
                <w:sz w:val="18"/>
                <w:szCs w:val="18"/>
                <w:color w:val="auto"/>
              </w:rPr>
              <w:t>Earnings per share-diluted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0.22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Intangible assets are carried at amortized cost, and goodwill, which is not amortized, is carried at cost. Intangible assets and goodwill are evaluated for impairment annually or more frequently if there is an indication of impairment. Goodwill represents the excess of the purchase price of the acquired businesses over the fair value of the underlying net tangible and intangible assets acquired. A summary of intangible assets and goodwill activity for the nine-month period ended September 30, 2006, is presented below: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50,724</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$ 267,195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2,467</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2005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4,126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(6,229)</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September 30, 2006</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$ 274,918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$ 323,630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Estimated annual amortization expense on intangible assets with finite lives, before income taxes, as of September 30, 2006 is expected to be $8.3 million for 2006, $8.3 million for 2007, $8.1 million for 2008, $8.1 million for 2009, $8.0 million for 2010 and $6.1 million for 2011.</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for the nine-month period ended September 30, 2006 for all debt obligations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2"/>
              </w:rPr>
              <w:t>Revolving</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left="214"/>
              <w:spacing w:after="0"/>
              <w:rPr>
                <w:sz w:val="20"/>
                <w:szCs w:val="20"/>
                <w:color w:val="auto"/>
              </w:rPr>
            </w:pPr>
            <w:r>
              <w:rPr>
                <w:rFonts w:ascii="Arial" w:cs="Arial" w:eastAsia="Arial" w:hAnsi="Arial"/>
                <w:sz w:val="14"/>
                <w:szCs w:val="14"/>
                <w:b w:val="1"/>
                <w:bCs w:val="1"/>
                <w:color w:val="auto"/>
                <w:w w:val="96"/>
              </w:rPr>
              <w:t>1.625%</w:t>
            </w:r>
          </w:p>
        </w:tc>
        <w:tc>
          <w:tcPr>
            <w:tcW w:w="320" w:type="dxa"/>
            <w:vAlign w:val="bottom"/>
          </w:tcPr>
          <w:p>
            <w:pPr>
              <w:spacing w:after="0"/>
              <w:rPr>
                <w:sz w:val="14"/>
                <w:szCs w:val="14"/>
                <w:color w:val="auto"/>
              </w:rPr>
            </w:pPr>
          </w:p>
        </w:tc>
        <w:tc>
          <w:tcPr>
            <w:tcW w:w="104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rPr>
              <w:t>3.50%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20" w:type="dxa"/>
            <w:vAlign w:val="bottom"/>
          </w:tcPr>
          <w:p>
            <w:pPr>
              <w:spacing w:after="0"/>
              <w:rPr>
                <w:sz w:val="12"/>
                <w:szCs w:val="12"/>
                <w:color w:val="auto"/>
              </w:rPr>
            </w:pPr>
          </w:p>
        </w:tc>
        <w:tc>
          <w:tcPr>
            <w:tcW w:w="10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8"/>
              </w:rPr>
              <w:t>Credit</w:t>
            </w:r>
          </w:p>
        </w:tc>
        <w:tc>
          <w:tcPr>
            <w:tcW w:w="1040" w:type="dxa"/>
            <w:vAlign w:val="bottom"/>
            <w:gridSpan w:val="3"/>
            <w:vMerge w:val="continue"/>
          </w:tcPr>
          <w:p>
            <w:pPr>
              <w:spacing w:after="0"/>
              <w:rPr>
                <w:sz w:val="12"/>
                <w:szCs w:val="12"/>
                <w:color w:val="auto"/>
              </w:rPr>
            </w:pPr>
          </w:p>
        </w:tc>
        <w:tc>
          <w:tcPr>
            <w:tcW w:w="154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Capital Leases</w:t>
            </w:r>
          </w:p>
        </w:tc>
        <w:tc>
          <w:tcPr>
            <w:tcW w:w="3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3"/>
              </w:rPr>
              <w:t>Facilities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1540" w:type="dxa"/>
            <w:vAlign w:val="bottom"/>
            <w:gridSpan w:val="4"/>
            <w:vMerge w:val="continue"/>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Due 2024</w:t>
            </w:r>
          </w:p>
        </w:tc>
        <w:tc>
          <w:tcPr>
            <w:tcW w:w="3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Due 2025</w:t>
            </w: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7,343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15,550</w:t>
            </w: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17,660</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$ 140,000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Increases (decreases):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Indebtedness incurred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9,146</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Repayments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w w:val="89"/>
              </w:rPr>
              <w:t>(12,761)</w:t>
            </w: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(5,704)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(5,993)</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 accrued</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Foreign exchange loss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251</w:t>
            </w:r>
          </w:p>
        </w:tc>
        <w:tc>
          <w:tcPr>
            <w:tcW w:w="14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502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608</w:t>
            </w:r>
          </w:p>
        </w:tc>
        <w:tc>
          <w:tcPr>
            <w:tcW w:w="3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2006</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11,896</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18,919</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140,000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349,794</w:t>
            </w:r>
          </w:p>
        </w:tc>
        <w:tc>
          <w:tcPr>
            <w:tcW w:w="0" w:type="dxa"/>
            <w:vAlign w:val="bottom"/>
          </w:tcPr>
          <w:p>
            <w:pPr>
              <w:spacing w:after="0"/>
              <w:rPr>
                <w:sz w:val="1"/>
                <w:szCs w:val="1"/>
                <w:color w:val="auto"/>
              </w:rPr>
            </w:pPr>
          </w:p>
        </w:tc>
      </w:tr>
      <w:tr>
        <w:trPr>
          <w:trHeight w:val="439"/>
        </w:trPr>
        <w:tc>
          <w:tcPr>
            <w:tcW w:w="308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(9,232)</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(6,170)</w:t>
            </w:r>
          </w:p>
        </w:tc>
        <w:tc>
          <w:tcPr>
            <w:tcW w:w="30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Long-term obligations at September 30,</w:t>
            </w:r>
          </w:p>
        </w:tc>
        <w:tc>
          <w:tcPr>
            <w:tcW w:w="5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34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12,749</w:t>
            </w:r>
          </w:p>
        </w:tc>
        <w:tc>
          <w:tcPr>
            <w:tcW w:w="13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$ 140,000</w:t>
            </w:r>
          </w:p>
        </w:tc>
        <w:tc>
          <w:tcPr>
            <w:tcW w:w="13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$ 334,392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During the second quarter 2006 the Company amended its October 2004, $50 million revolving credit agreement to extend the maturity date to May 26, 2009 and established a new credit facility in India maturing on May 26, 2009. The amended facility also increased the number of participating financial institutions from one to three. The credit agreement, as amended, comprises the following:</w:t>
      </w:r>
    </w:p>
    <w:p>
      <w:pPr>
        <w:spacing w:after="0" w:line="73" w:lineRule="exact"/>
        <w:rPr>
          <w:sz w:val="20"/>
          <w:szCs w:val="20"/>
          <w:color w:val="auto"/>
        </w:rPr>
      </w:pPr>
    </w:p>
    <w:p>
      <w:pPr>
        <w:ind w:left="540" w:right="160" w:hanging="316"/>
        <w:spacing w:after="0" w:line="293" w:lineRule="auto"/>
        <w:tabs>
          <w:tab w:leader="none" w:pos="5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A $10 million facility is to be used by the Company and certain U.S. subsidiaries (the “U.S. facility”) and drawn in U.S. dollars. This facility bears interest at either (i) the prime rate plus an applicable margin specified in the respective agreement, or (ii) a fixed rate equal to the U.S. dollar London Interbank Offered Rate (“LIBOR”), plus an applicable margin set forth in the agreement, and varies based on a consolidated funded debt to earnings before interest, taxes, depreciation and amortization (“EBITDA”) ratio, adjusted for certain other items as defined in the agreements. Fixed rate borrowings are made with maturities of one month, two months or three months. The U.S. facility is secured by approximately 65% of the share capital of Euronet Services Holding B.V. and the share capital of a majority of the Company’s U.S. subsidiaries.</w:t>
      </w:r>
    </w:p>
    <w:p>
      <w:pPr>
        <w:spacing w:after="0" w:line="70" w:lineRule="exact"/>
        <w:rPr>
          <w:rFonts w:ascii="Arial" w:cs="Arial" w:eastAsia="Arial" w:hAnsi="Arial"/>
          <w:sz w:val="16"/>
          <w:szCs w:val="16"/>
          <w:b w:val="1"/>
          <w:bCs w:val="1"/>
          <w:color w:val="auto"/>
        </w:rPr>
      </w:pPr>
    </w:p>
    <w:p>
      <w:pPr>
        <w:ind w:left="540" w:right="100" w:hanging="316"/>
        <w:spacing w:after="0" w:line="255" w:lineRule="auto"/>
        <w:tabs>
          <w:tab w:leader="none" w:pos="5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$30 million facility for use by the Company and certain European subsidiaries (the “European facility”). The European facility is a multi-currency facility that may be drawn in any combination of U.S. dollar, euro or British pound denominations. U.S. dollar draws are subject to interest charges similar to the $10 million U.S. facility described above. Borrowings in euro or British pounds bear interest at a rate fixed to the Euro Interbank Offered Rate (“EURIBOR”) or LIBOR rate, respectively, plus a margin that varies based on a consolidated funded debt to EBITDA ratio, plus ancillary costs. Fixed rate borrowings are made with maturities of one month, two months or three months. Borrowings under this facility are secured by the share capital of e-pay Ltd., Euronet Services GmbH, Transact GmbH and Delta Euronet GmbH, and are secured and guaranteed by a majority of the Company’s U.S. subsidiaries.</w:t>
      </w:r>
    </w:p>
    <w:p>
      <w:pPr>
        <w:spacing w:after="0" w:line="94" w:lineRule="exact"/>
        <w:rPr>
          <w:rFonts w:ascii="Arial" w:cs="Arial" w:eastAsia="Arial" w:hAnsi="Arial"/>
          <w:sz w:val="18"/>
          <w:szCs w:val="18"/>
          <w:b w:val="1"/>
          <w:bCs w:val="1"/>
          <w:color w:val="auto"/>
        </w:rPr>
      </w:pPr>
    </w:p>
    <w:p>
      <w:pPr>
        <w:ind w:left="540" w:right="60" w:hanging="316"/>
        <w:spacing w:after="0" w:line="279" w:lineRule="auto"/>
        <w:tabs>
          <w:tab w:leader="none" w:pos="5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A $10 million facility, to be drawn in Indian rupees, for use by the Company’s Indian subsidiary (the “Rupee facility”). Borrowings under the Rupee facility bear interest at either (i) a floating rate equal to the Indian prime lending rate or the Mumbai Interbank Offered Rate (“MIBOR”), plus an applicable margin, or (ii) at a fixed MIBOR rate plus an applicable margin. Fixed rate borrowings are made with maturities of one month, two months or three months. Borrowings under this facility are unsecured and guaranteed by Euronet Worldwide, Inc.</w:t>
      </w:r>
    </w:p>
    <w:p>
      <w:pPr>
        <w:spacing w:after="0" w:line="6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agreement allows the Company to elect to increase the aggregate commitments under the credit facility from $50 million to $65 million. The borrowings under the agreement may be used to refinance debt, for working capital needs, for permitted acquisitions and for other general corporate purposes. The agreement places certain restrictions on use of the facility to finance investments in, or operations of, “money services businesses” such as those engaged in money transfer activities. The agreement contains customary events of cross-default and covenants related to limitations on indebtedness and the maintenance of certain financial ratios. Total debt issuance costs of $0.3 million are being amortized over three years.</w:t>
      </w:r>
    </w:p>
    <w:p>
      <w:pPr>
        <w:spacing w:after="0" w:line="6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September 30, 2006, there were borrowings of $4.0 million and stand-by letters of credit of $6.3 million outstanding against these facilities. As a result of the amendment to the revolving credit facility described above, borrowings under the facilities are classified as long-term debt obligations in the unaudited consolidated balance sheet as of September 30, 2006.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PLANS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has established, and shareholders have approved, a share compensation plan (the “SCP”) that allows the Company to grant restricted stock, or options to purchase shares, of its Common Stock to certain current and prospective key employees, directors and consultants of the Company. These awards generally vest over periods ranging from three to seven years from the date of grant, are generally exercisable during the shorter of a ten-year term or the term of employment or consulting arrangement with the Company and are settled through the issuance of new shares under the provisions of the SCP. As of September 30, 2006, the Company reserved 13,663,991 shares of Common Stock, including 4,000,000 approved during the second quarter 2006. Of the total shares reserved, 9,795,866 have been awarded to employees.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Adoption of SFAS No. 123R</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in Note 1, Note 2 and Note 3, the Company elected to adopt SFAS No. 123R under the modified retrospective application method applied to all periods for which SFAS No 123 was effective. Accordingly, financial statement amounts for the prior periods presented in this Form 10-Q have been adjusted to reflect the fair value method of expensing prescribed by SFAS No. 123R. The following table outlines the impact of adopting SFAS No. 123R on previously reported results: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Previously</w:t>
            </w:r>
          </w:p>
        </w:tc>
        <w:tc>
          <w:tcPr>
            <w:tcW w:w="5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Impact of</w:t>
            </w:r>
          </w:p>
        </w:tc>
        <w:tc>
          <w:tcPr>
            <w:tcW w:w="580" w:type="dxa"/>
            <w:vAlign w:val="bottom"/>
          </w:tcPr>
          <w:p>
            <w:pPr>
              <w:spacing w:after="0"/>
              <w:rPr>
                <w:sz w:val="14"/>
                <w:szCs w:val="14"/>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As Adjusted</w:t>
            </w:r>
          </w:p>
        </w:tc>
        <w:tc>
          <w:tcPr>
            <w:tcW w:w="0" w:type="dxa"/>
            <w:vAlign w:val="bottom"/>
          </w:tcPr>
          <w:p>
            <w:pPr>
              <w:spacing w:after="0"/>
              <w:rPr>
                <w:sz w:val="1"/>
                <w:szCs w:val="1"/>
                <w:color w:val="auto"/>
              </w:rPr>
            </w:pPr>
          </w:p>
        </w:tc>
      </w:tr>
      <w:tr>
        <w:trPr>
          <w:trHeight w:val="171"/>
        </w:trPr>
        <w:tc>
          <w:tcPr>
            <w:tcW w:w="722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jc w:val="right"/>
              <w:ind w:right="51"/>
              <w:spacing w:after="0"/>
              <w:rPr>
                <w:sz w:val="20"/>
                <w:szCs w:val="20"/>
                <w:color w:val="auto"/>
              </w:rPr>
            </w:pPr>
            <w:r>
              <w:rPr>
                <w:rFonts w:ascii="Arial" w:cs="Arial" w:eastAsia="Arial" w:hAnsi="Arial"/>
                <w:sz w:val="14"/>
                <w:szCs w:val="14"/>
                <w:b w:val="1"/>
                <w:bCs w:val="1"/>
                <w:color w:val="auto"/>
                <w:w w:val="91"/>
              </w:rPr>
              <w:t>Reported</w:t>
            </w:r>
          </w:p>
        </w:tc>
        <w:tc>
          <w:tcPr>
            <w:tcW w:w="560" w:type="dxa"/>
            <w:vAlign w:val="bottom"/>
          </w:tcPr>
          <w:p>
            <w:pPr>
              <w:spacing w:after="0"/>
              <w:rPr>
                <w:sz w:val="14"/>
                <w:szCs w:val="14"/>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Adoption</w:t>
            </w:r>
          </w:p>
        </w:tc>
        <w:tc>
          <w:tcPr>
            <w:tcW w:w="5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0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 Three Months Ended September 30, 2005: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14,270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(1,255)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10,159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0.29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Arial" w:cs="Arial" w:eastAsia="Arial" w:hAnsi="Arial"/>
                <w:sz w:val="18"/>
                <w:szCs w:val="18"/>
                <w:color w:val="auto"/>
              </w:rPr>
              <w:t>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0.26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For Nine Months Ended September 30, 2005: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Income before income taxes and minority interest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30,716</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(3,765)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18,903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0.54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400"/>
              <w:spacing w:after="0"/>
              <w:rPr>
                <w:sz w:val="20"/>
                <w:szCs w:val="20"/>
                <w:color w:val="auto"/>
              </w:rPr>
            </w:pPr>
            <w:r>
              <w:rPr>
                <w:rFonts w:ascii="Arial" w:cs="Arial" w:eastAsia="Arial" w:hAnsi="Arial"/>
                <w:sz w:val="18"/>
                <w:szCs w:val="18"/>
                <w:color w:val="auto"/>
              </w:rPr>
              <w:t>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0.51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2005: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279,307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32,718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312,025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deficit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(72,069)</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(32,718)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00" w:type="dxa"/>
            <w:vAlign w:val="bottom"/>
          </w:tcPr>
          <w:p>
            <w:pPr>
              <w:ind w:left="200"/>
              <w:spacing w:after="0"/>
              <w:rPr>
                <w:sz w:val="20"/>
                <w:szCs w:val="20"/>
                <w:color w:val="auto"/>
              </w:rPr>
            </w:pPr>
            <w:r>
              <w:rPr>
                <w:rFonts w:ascii="Arial" w:cs="Arial" w:eastAsia="Arial" w:hAnsi="Arial"/>
                <w:sz w:val="18"/>
                <w:szCs w:val="18"/>
                <w:color w:val="auto"/>
              </w:rPr>
              <w:t>Net deferred income tax liabilities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19,374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19,374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Changes to the Company’s consolidated statement of cash flows for the nine-month period ended September 30, 2005 for the adoption of SFAS No. 123R were limited to the impact on net income shown above and the offsetting adjustment for share-based compensation as a non-cash expense.</w:t>
      </w:r>
    </w:p>
    <w:p>
      <w:pPr>
        <w:spacing w:after="0" w:line="16"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Company’s consolidated statements of income and comprehensive income includes share-based compensation expense of $2.0 million and $1.3 million for the three-month periods ended September 30, 2006 and 2005, respectively, and $5.8 million and $4.0 million for the nine-month periods ended September 30, 2006 and 2005, respectively. The amounts are recorded as salaries and benefits expense in the accompanying unaudited consolidated statements of income. Of these amounts, approximately $0.2 million was recorded as expense of the Company’s business segments during both the nine-month periods ended September 30, 2006 and 2005. The Company recorded a tax benefit of $0.1 million and $0.3 million during the three- and nine-month periods ended September 30, 2006, respectively, for the portion of this expense that relates to foreign tax jurisdictions in which an income tax benefit is expected to be derived. The Company did not record a tax benefit for the three- and nine-month periods ended September 30, 2005.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Summary stock options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Weighted</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00" w:type="dxa"/>
            <w:vAlign w:val="bottom"/>
          </w:tcPr>
          <w:p>
            <w:pPr>
              <w:spacing w:after="0"/>
              <w:rPr>
                <w:sz w:val="14"/>
                <w:szCs w:val="14"/>
                <w:color w:val="auto"/>
              </w:rPr>
            </w:pPr>
          </w:p>
        </w:tc>
        <w:tc>
          <w:tcPr>
            <w:tcW w:w="10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9"/>
              </w:rPr>
              <w:t>Number of</w:t>
            </w:r>
          </w:p>
        </w:tc>
        <w:tc>
          <w:tcPr>
            <w:tcW w:w="5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74"/>
              <w:spacing w:after="0" w:line="149"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b w:val="1"/>
                <w:bCs w:val="1"/>
                <w:color w:val="auto"/>
                <w:w w:val="93"/>
              </w:rPr>
              <w:t>Price</w:t>
            </w:r>
          </w:p>
        </w:tc>
        <w:tc>
          <w:tcPr>
            <w:tcW w:w="5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Term (years)</w:t>
            </w:r>
          </w:p>
        </w:tc>
        <w:tc>
          <w:tcPr>
            <w:tcW w:w="600" w:type="dxa"/>
            <w:vAlign w:val="bottom"/>
          </w:tcPr>
          <w:p>
            <w:pPr>
              <w:spacing w:after="0"/>
              <w:rPr>
                <w:sz w:val="14"/>
                <w:szCs w:val="14"/>
                <w:color w:val="auto"/>
              </w:rPr>
            </w:pPr>
          </w:p>
        </w:tc>
        <w:tc>
          <w:tcPr>
            <w:tcW w:w="10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3,803,261</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4"/>
              </w:rPr>
              <w:t>11.91</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 years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60,439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Exercised</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(1,288,720)</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8.59</w:t>
            </w: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74"/>
              <w:spacing w:after="0"/>
              <w:rPr>
                <w:sz w:val="20"/>
                <w:szCs w:val="20"/>
                <w:color w:val="auto"/>
              </w:rPr>
            </w:pPr>
            <w:r>
              <w:rPr>
                <w:rFonts w:ascii="Arial" w:cs="Arial" w:eastAsia="Arial" w:hAnsi="Arial"/>
                <w:sz w:val="18"/>
                <w:szCs w:val="18"/>
                <w:color w:val="auto"/>
                <w:w w:val="90"/>
              </w:rPr>
              <w:t>30,629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Forfeited</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(98,630)</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w w:val="84"/>
              </w:rPr>
              <w:t>19.52</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23"/>
        </w:trPr>
        <w:tc>
          <w:tcPr>
            <w:tcW w:w="5760" w:type="dxa"/>
            <w:vAlign w:val="bottom"/>
            <w:gridSpan w:val="2"/>
          </w:tcPr>
          <w:p>
            <w:pPr>
              <w:spacing w:after="0"/>
              <w:rPr>
                <w:sz w:val="20"/>
                <w:szCs w:val="20"/>
                <w:color w:val="auto"/>
              </w:rPr>
            </w:pPr>
            <w:r>
              <w:rPr>
                <w:rFonts w:ascii="Arial" w:cs="Arial" w:eastAsia="Arial" w:hAnsi="Arial"/>
                <w:sz w:val="18"/>
                <w:szCs w:val="18"/>
                <w:color w:val="auto"/>
              </w:rPr>
              <w:t>Outstanding at September 30, 2006</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2,415,911</w:t>
            </w:r>
          </w:p>
        </w:tc>
        <w:tc>
          <w:tcPr>
            <w:tcW w:w="220" w:type="dxa"/>
            <w:vAlign w:val="bottom"/>
          </w:tcPr>
          <w:p>
            <w:pPr>
              <w:spacing w:after="0"/>
              <w:rPr>
                <w:sz w:val="19"/>
                <w:szCs w:val="19"/>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w w:val="84"/>
              </w:rPr>
              <w:t>13.47</w:t>
            </w:r>
          </w:p>
        </w:tc>
        <w:tc>
          <w:tcPr>
            <w:tcW w:w="58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6.0 years</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74"/>
              <w:spacing w:after="0"/>
              <w:rPr>
                <w:sz w:val="20"/>
                <w:szCs w:val="20"/>
                <w:color w:val="auto"/>
              </w:rPr>
            </w:pPr>
            <w:r>
              <w:rPr>
                <w:rFonts w:ascii="Arial" w:cs="Arial" w:eastAsia="Arial" w:hAnsi="Arial"/>
                <w:sz w:val="18"/>
                <w:szCs w:val="18"/>
                <w:color w:val="auto"/>
                <w:w w:val="90"/>
              </w:rPr>
              <w:t>26,779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January 1, 2006</w:t>
            </w:r>
          </w:p>
        </w:tc>
        <w:tc>
          <w:tcPr>
            <w:tcW w:w="2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2,142,090</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8.75</w:t>
            </w:r>
          </w:p>
        </w:tc>
        <w:tc>
          <w:tcPr>
            <w:tcW w:w="58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 years</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0"/>
              </w:rPr>
              <w:t>40,807</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color w:val="auto"/>
              </w:rPr>
              <w:t>Exercisable at September 30, 2006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1,360,151</w:t>
            </w:r>
          </w:p>
        </w:tc>
        <w:tc>
          <w:tcPr>
            <w:tcW w:w="220" w:type="dxa"/>
            <w:vAlign w:val="bottom"/>
          </w:tcPr>
          <w:p>
            <w:pPr>
              <w:spacing w:after="0"/>
              <w:rPr>
                <w:sz w:val="24"/>
                <w:szCs w:val="24"/>
                <w:color w:val="auto"/>
              </w:rPr>
            </w:pP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33"/>
              <w:spacing w:after="0"/>
              <w:rPr>
                <w:sz w:val="20"/>
                <w:szCs w:val="20"/>
                <w:color w:val="auto"/>
              </w:rPr>
            </w:pPr>
            <w:r>
              <w:rPr>
                <w:rFonts w:ascii="Arial" w:cs="Arial" w:eastAsia="Arial" w:hAnsi="Arial"/>
                <w:sz w:val="18"/>
                <w:szCs w:val="18"/>
                <w:color w:val="auto"/>
                <w:w w:val="84"/>
              </w:rPr>
              <w:t>10.89</w:t>
            </w:r>
          </w:p>
        </w:tc>
        <w:tc>
          <w:tcPr>
            <w:tcW w:w="5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5.5 years</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74"/>
              <w:spacing w:after="0"/>
              <w:rPr>
                <w:sz w:val="20"/>
                <w:szCs w:val="20"/>
                <w:color w:val="auto"/>
              </w:rPr>
            </w:pPr>
            <w:r>
              <w:rPr>
                <w:rFonts w:ascii="Arial" w:cs="Arial" w:eastAsia="Arial" w:hAnsi="Arial"/>
                <w:sz w:val="18"/>
                <w:szCs w:val="18"/>
                <w:color w:val="auto"/>
                <w:w w:val="90"/>
              </w:rPr>
              <w:t>18,574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There were no options granted during the nine-month period ended September 30, 2006. The Company received cash of $11.1 million in connection with stock options exercised during the nine-month period ended September 30, 2006. As of September 30, 2006, unrecognized compensation expense related to nonvested stock options totaled $4.3 million and will be recognized over the next 27 months, with an overall weighted average period of one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Restricted stock</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Restricted stock awards vest based on the achievement of time-based service conditions and/or performance-based conditions. For certain awards, vesting is based on the achievement of more than one condition of an award with multiple time-based and/or performance-based conditions.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Summary restricted stock activity is presented in the table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ind w:left="2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0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Average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2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56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543,063</w:t>
            </w:r>
          </w:p>
        </w:tc>
        <w:tc>
          <w:tcPr>
            <w:tcW w:w="15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322,150</w:t>
            </w:r>
          </w:p>
        </w:tc>
        <w:tc>
          <w:tcPr>
            <w:tcW w:w="1560" w:type="dxa"/>
            <w:vAlign w:val="bottom"/>
            <w:gridSpan w:val="2"/>
          </w:tcPr>
          <w:p>
            <w:pPr>
              <w:ind w:left="76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Vested</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(12,138)</w:t>
            </w:r>
          </w:p>
        </w:tc>
        <w:tc>
          <w:tcPr>
            <w:tcW w:w="15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22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(22,100)</w:t>
            </w:r>
          </w:p>
        </w:tc>
        <w:tc>
          <w:tcPr>
            <w:tcW w:w="1560" w:type="dxa"/>
            <w:vAlign w:val="bottom"/>
            <w:gridSpan w:val="2"/>
          </w:tcPr>
          <w:p>
            <w:pPr>
              <w:ind w:left="760"/>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2006</w:t>
            </w: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830,975</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total fair value of shares vested during the nine-months ended September 30, 2006 was $0.4 million. As of September 30, 2006, there was $19.5 million of total unrecognized compensation cost related to unvested restricted stock, which is expected to be recognized over a weighted average period of 5.2 years. The estimated annual forfeiture rate for restricted stock awards is five percent.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Employee stock purchase plans</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2003, the Company established a qualified Employee Stock Purchase Plan (the “ESPP”), which allows qualified employees (as defined by the plan documents) to participate in the purchase of rights to purchase designated shares of the Company’s Common Stock at a price equal to the lower of 85% of the closing price at the beginning or end of each quarterly offering period. The Company reserved 500,000 shares of Common Stock for purchase under the ESPP. Pursuant to the ESPP, during the nine-month period ended September 30, 2006 the Company issued 33,557 rights to purchase shares of Common Stock at a weighted average price per share of $24.81. During the nine-month period ended September 30, 2005 the Company issued 30,259 rights to purchase shares of Common Stock at a weighted average price per share of $23.57. The following table provides the weighted average fair value of the ESPP stock purchase rights during the nine-month period ended September 30, 2006 and the weighted average assumptions used to calculate the fair value using the Black-Scholes pricing model: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8860" w:type="dxa"/>
            <w:vAlign w:val="bottom"/>
          </w:tcPr>
          <w:p>
            <w:pPr>
              <w:spacing w:after="0"/>
              <w:rPr>
                <w:sz w:val="12"/>
                <w:szCs w:val="12"/>
                <w:color w:val="auto"/>
              </w:rPr>
            </w:pPr>
          </w:p>
        </w:tc>
        <w:tc>
          <w:tcPr>
            <w:tcW w:w="10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2006</w:t>
            </w:r>
          </w:p>
        </w:tc>
        <w:tc>
          <w:tcPr>
            <w:tcW w:w="560" w:type="dxa"/>
            <w:vAlign w:val="bottom"/>
          </w:tcPr>
          <w:p>
            <w:pPr>
              <w:spacing w:after="0"/>
              <w:rPr>
                <w:sz w:val="12"/>
                <w:szCs w:val="12"/>
                <w:color w:val="auto"/>
              </w:rPr>
            </w:pPr>
          </w:p>
        </w:tc>
        <w:tc>
          <w:tcPr>
            <w:tcW w:w="100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2005</w:t>
            </w:r>
          </w:p>
        </w:tc>
      </w:tr>
      <w:tr>
        <w:trPr>
          <w:trHeight w:val="210"/>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31.1%</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36.3%</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000" w:type="dxa"/>
            <w:vAlign w:val="bottom"/>
          </w:tcPr>
          <w:p>
            <w:pPr>
              <w:jc w:val="right"/>
              <w:ind w:right="115"/>
              <w:spacing w:after="0"/>
              <w:rPr>
                <w:sz w:val="20"/>
                <w:szCs w:val="20"/>
                <w:color w:val="auto"/>
              </w:rPr>
            </w:pPr>
            <w:r>
              <w:rPr>
                <w:rFonts w:ascii="Arial" w:cs="Arial" w:eastAsia="Arial" w:hAnsi="Arial"/>
                <w:sz w:val="18"/>
                <w:szCs w:val="18"/>
                <w:color w:val="auto"/>
              </w:rPr>
              <w:t>4.1%</w:t>
            </w:r>
          </w:p>
        </w:tc>
        <w:tc>
          <w:tcPr>
            <w:tcW w:w="1560" w:type="dxa"/>
            <w:vAlign w:val="bottom"/>
            <w:gridSpan w:val="2"/>
          </w:tcPr>
          <w:p>
            <w:pPr>
              <w:jc w:val="right"/>
              <w:ind w:right="99"/>
              <w:spacing w:after="0"/>
              <w:rPr>
                <w:sz w:val="20"/>
                <w:szCs w:val="20"/>
                <w:color w:val="auto"/>
              </w:rPr>
            </w:pPr>
            <w:r>
              <w:rPr>
                <w:rFonts w:ascii="Arial" w:cs="Arial" w:eastAsia="Arial" w:hAnsi="Arial"/>
                <w:sz w:val="18"/>
                <w:szCs w:val="18"/>
                <w:color w:val="auto"/>
              </w:rPr>
              <w:t>4.0%</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0.0%</w:t>
            </w:r>
          </w:p>
        </w:tc>
        <w:tc>
          <w:tcPr>
            <w:tcW w:w="1560" w:type="dxa"/>
            <w:vAlign w:val="bottom"/>
            <w:gridSpan w:val="2"/>
            <w:shd w:val="clear" w:color="auto" w:fill="CCEEFF"/>
          </w:tcPr>
          <w:p>
            <w:pPr>
              <w:jc w:val="right"/>
              <w:ind w:right="99"/>
              <w:spacing w:after="0"/>
              <w:rPr>
                <w:sz w:val="20"/>
                <w:szCs w:val="20"/>
                <w:color w:val="auto"/>
              </w:rPr>
            </w:pPr>
            <w:r>
              <w:rPr>
                <w:rFonts w:ascii="Arial" w:cs="Arial" w:eastAsia="Arial" w:hAnsi="Arial"/>
                <w:sz w:val="18"/>
                <w:szCs w:val="18"/>
                <w:color w:val="auto"/>
              </w:rPr>
              <w:t>0.0%</w:t>
            </w: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Expected lives</w:t>
            </w:r>
          </w:p>
        </w:tc>
        <w:tc>
          <w:tcPr>
            <w:tcW w:w="1000" w:type="dxa"/>
            <w:vAlign w:val="bottom"/>
          </w:tcPr>
          <w:p>
            <w:pPr>
              <w:jc w:val="right"/>
              <w:ind w:right="95"/>
              <w:spacing w:after="0"/>
              <w:rPr>
                <w:sz w:val="20"/>
                <w:szCs w:val="20"/>
                <w:color w:val="auto"/>
              </w:rPr>
            </w:pPr>
            <w:r>
              <w:rPr>
                <w:rFonts w:ascii="Arial" w:cs="Arial" w:eastAsia="Arial" w:hAnsi="Arial"/>
                <w:sz w:val="18"/>
                <w:szCs w:val="18"/>
                <w:color w:val="auto"/>
              </w:rPr>
              <w:t>3 months</w:t>
            </w:r>
          </w:p>
        </w:tc>
        <w:tc>
          <w:tcPr>
            <w:tcW w:w="560" w:type="dxa"/>
            <w:vAlign w:val="bottom"/>
          </w:tcPr>
          <w:p>
            <w:pPr>
              <w:spacing w:after="0"/>
              <w:rPr>
                <w:sz w:val="18"/>
                <w:szCs w:val="18"/>
                <w:color w:val="auto"/>
              </w:rPr>
            </w:pPr>
          </w:p>
        </w:tc>
        <w:tc>
          <w:tcPr>
            <w:tcW w:w="1000" w:type="dxa"/>
            <w:vAlign w:val="bottom"/>
          </w:tcPr>
          <w:p>
            <w:pPr>
              <w:jc w:val="right"/>
              <w:ind w:right="79"/>
              <w:spacing w:after="0"/>
              <w:rPr>
                <w:sz w:val="20"/>
                <w:szCs w:val="20"/>
                <w:color w:val="auto"/>
              </w:rPr>
            </w:pPr>
            <w:r>
              <w:rPr>
                <w:rFonts w:ascii="Arial" w:cs="Arial" w:eastAsia="Arial" w:hAnsi="Arial"/>
                <w:sz w:val="18"/>
                <w:szCs w:val="18"/>
                <w:color w:val="auto"/>
              </w:rPr>
              <w:t>3 months</w:t>
            </w:r>
          </w:p>
        </w:tc>
      </w:tr>
      <w:tr>
        <w:trPr>
          <w:trHeight w:val="216"/>
        </w:trPr>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(per share)</w:t>
            </w:r>
          </w:p>
        </w:tc>
        <w:tc>
          <w:tcPr>
            <w:tcW w:w="100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$5.03</w:t>
            </w:r>
          </w:p>
        </w:tc>
        <w:tc>
          <w:tcPr>
            <w:tcW w:w="156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$4.81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BUSINESS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operates in three principal business segments.</w:t>
      </w:r>
    </w:p>
    <w:p>
      <w:pPr>
        <w:spacing w:after="0" w:line="117" w:lineRule="exact"/>
        <w:rPr>
          <w:sz w:val="20"/>
          <w:szCs w:val="20"/>
          <w:color w:val="auto"/>
        </w:rPr>
      </w:pPr>
    </w:p>
    <w:p>
      <w:pPr>
        <w:ind w:left="540" w:hanging="316"/>
        <w:spacing w:after="0" w:line="286"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Through the EFT Processing Segment, the Company processes transactions for a network of ATMs and POS terminals across Europe, Asia and Africa. The Company provides comprehensive electronic payment solutions consisting of ATM network participation, outsourced ATM and POS management solutions and electronic recharge services (for prepaid mobile airtime purchases via ATM or directly from the handset).</w:t>
      </w:r>
    </w:p>
    <w:p>
      <w:pPr>
        <w:spacing w:after="0" w:line="70" w:lineRule="exact"/>
        <w:rPr>
          <w:rFonts w:ascii="Arial" w:cs="Arial" w:eastAsia="Arial" w:hAnsi="Arial"/>
          <w:sz w:val="17"/>
          <w:szCs w:val="17"/>
          <w:color w:val="auto"/>
        </w:rPr>
      </w:pPr>
    </w:p>
    <w:p>
      <w:pPr>
        <w:jc w:val="both"/>
        <w:ind w:left="540" w:right="100" w:hanging="316"/>
        <w:spacing w:after="0" w:line="312"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Through the Prepaid Processing Segment, the Company provides prepaid processing, or top-up services, for prepaid mobile airtime and other prepaid products. The Company operates a network of POS terminals providing electronic processing of prepaid mobile airtime services in the U.S., Europe, Africa and Asia Pacific. This segment includes the results of Euronet Payments &amp; Remittance, a licensed money transfer and bill payment company.</w:t>
      </w:r>
    </w:p>
    <w:p>
      <w:pPr>
        <w:spacing w:after="0" w:line="52" w:lineRule="exact"/>
        <w:rPr>
          <w:rFonts w:ascii="Arial" w:cs="Arial" w:eastAsia="Arial" w:hAnsi="Arial"/>
          <w:sz w:val="16"/>
          <w:szCs w:val="16"/>
          <w:color w:val="auto"/>
        </w:rPr>
      </w:pPr>
    </w:p>
    <w:p>
      <w:pPr>
        <w:ind w:left="540" w:right="380" w:hanging="316"/>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Software Solutions Segment, the Company offers a suite of integrated electronic financial transaction (“EFT”) software solutions for electronic payment, merchant acquiring, card issuing and transaction delivery systems.</w:t>
      </w:r>
    </w:p>
    <w:p>
      <w:pPr>
        <w:spacing w:after="0" w:line="62" w:lineRule="exact"/>
        <w:rPr>
          <w:sz w:val="20"/>
          <w:szCs w:val="20"/>
          <w:color w:val="auto"/>
        </w:rPr>
      </w:pPr>
    </w:p>
    <w:p>
      <w:pPr>
        <w:ind w:right="320"/>
        <w:spacing w:after="0" w:line="297" w:lineRule="auto"/>
        <w:rPr>
          <w:sz w:val="20"/>
          <w:szCs w:val="20"/>
          <w:color w:val="auto"/>
        </w:rPr>
      </w:pPr>
      <w:r>
        <w:rPr>
          <w:rFonts w:ascii="Arial" w:cs="Arial" w:eastAsia="Arial" w:hAnsi="Arial"/>
          <w:sz w:val="16"/>
          <w:szCs w:val="16"/>
          <w:color w:val="auto"/>
        </w:rPr>
        <w:t>In addition, in its administrative division, “Corporate Services, Eliminations and Other,” the Company accounts for non-operating results, certain intercompany eliminations and the costs of providing corporate and other administrative services to the three business segments. These services are not directly identifiable with the Company’s business segments. During the nine-month periods ended September 30, 2006 and 2005 the Company’s Software Solutions Segment recorded intersegment revenues of $0.6 million and $0.2 million, respectively, in relation to software and services provided to EFT Processing Segment entities. Salaries and benefits expense related to share-based compensation is generally recorded as a corporate expense.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segment results of the Company’s operations for the three- and nine-month periods ended September 30, 2006 and 2005: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w w:val="98"/>
              </w:rPr>
              <w:t>For the Three Months Ended September 30, 2006</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Prepaid</w:t>
            </w: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Software</w:t>
            </w:r>
          </w:p>
        </w:tc>
        <w:tc>
          <w:tcPr>
            <w:tcW w:w="10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504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040" w:type="dxa"/>
            <w:vAlign w:val="bottom"/>
            <w:gridSpan w:val="4"/>
          </w:tcPr>
          <w:p>
            <w:pPr>
              <w:spacing w:after="0"/>
              <w:rPr>
                <w:sz w:val="20"/>
                <w:szCs w:val="20"/>
                <w:color w:val="auto"/>
              </w:rPr>
            </w:pPr>
            <w:r>
              <w:rPr>
                <w:rFonts w:ascii="Arial" w:cs="Arial" w:eastAsia="Arial" w:hAnsi="Arial"/>
                <w:sz w:val="14"/>
                <w:szCs w:val="14"/>
                <w:b w:val="1"/>
                <w:bCs w:val="1"/>
                <w:color w:val="auto"/>
              </w:rPr>
              <w:t>Processing</w:t>
            </w: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1340" w:type="dxa"/>
            <w:vAlign w:val="bottom"/>
            <w:gridSpan w:val="3"/>
          </w:tcPr>
          <w:p>
            <w:pPr>
              <w:ind w:left="60"/>
              <w:spacing w:after="0"/>
              <w:rPr>
                <w:sz w:val="20"/>
                <w:szCs w:val="20"/>
                <w:color w:val="auto"/>
              </w:rPr>
            </w:pPr>
            <w:r>
              <w:rPr>
                <w:rFonts w:ascii="Arial" w:cs="Arial" w:eastAsia="Arial" w:hAnsi="Arial"/>
                <w:sz w:val="14"/>
                <w:szCs w:val="14"/>
                <w:b w:val="1"/>
                <w:bCs w:val="1"/>
                <w:color w:val="auto"/>
              </w:rPr>
              <w:t>Solutions</w:t>
            </w: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33,212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121,114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161,653</w:t>
            </w:r>
          </w:p>
        </w:tc>
        <w:tc>
          <w:tcPr>
            <w:tcW w:w="0" w:type="dxa"/>
            <w:vAlign w:val="bottom"/>
          </w:tcPr>
          <w:p>
            <w:pPr>
              <w:spacing w:after="0"/>
              <w:rPr>
                <w:sz w:val="1"/>
                <w:szCs w:val="1"/>
                <w:color w:val="auto"/>
              </w:rPr>
            </w:pPr>
          </w:p>
        </w:tc>
      </w:tr>
      <w:tr>
        <w:trPr>
          <w:trHeight w:val="223"/>
        </w:trPr>
        <w:tc>
          <w:tcPr>
            <w:tcW w:w="50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14,281</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97,814</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112,488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4,726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6,119</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4,238</w:t>
            </w: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3,593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18,676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2,770</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4,793</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3,245</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3,541</w:t>
            </w:r>
          </w:p>
        </w:tc>
        <w:tc>
          <w:tcPr>
            <w:tcW w:w="18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546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25,022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112,267</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148,523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020" w:type="dxa"/>
            <w:vAlign w:val="bottom"/>
            <w:gridSpan w:val="2"/>
          </w:tcPr>
          <w:p>
            <w:pPr>
              <w:ind w:left="600"/>
              <w:spacing w:after="0"/>
              <w:rPr>
                <w:sz w:val="20"/>
                <w:szCs w:val="20"/>
                <w:color w:val="auto"/>
              </w:rPr>
            </w:pPr>
            <w:r>
              <w:rPr>
                <w:rFonts w:ascii="Arial" w:cs="Arial" w:eastAsia="Arial" w:hAnsi="Arial"/>
                <w:sz w:val="18"/>
                <w:szCs w:val="18"/>
                <w:color w:val="auto"/>
              </w:rPr>
              <w:t>Operating income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8,190</w:t>
            </w: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8,847</w:t>
            </w:r>
          </w:p>
        </w:tc>
        <w:tc>
          <w:tcPr>
            <w:tcW w:w="660" w:type="dxa"/>
            <w:vAlign w:val="bottom"/>
          </w:tcPr>
          <w:p>
            <w:pPr>
              <w:spacing w:after="0"/>
              <w:rPr>
                <w:sz w:val="24"/>
                <w:szCs w:val="24"/>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962</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(4,869)</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4"/>
                <w:szCs w:val="14"/>
                <w:b w:val="1"/>
                <w:bCs w:val="1"/>
                <w:color w:val="auto"/>
                <w:w w:val="93"/>
              </w:rPr>
              <w:t>For the Three Months Ended September 30, 2005</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Prepaid</w:t>
            </w:r>
          </w:p>
        </w:tc>
        <w:tc>
          <w:tcPr>
            <w:tcW w:w="6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300" w:type="dxa"/>
            <w:vAlign w:val="bottom"/>
          </w:tcPr>
          <w:p>
            <w:pPr>
              <w:spacing w:after="0"/>
              <w:rPr>
                <w:sz w:val="14"/>
                <w:szCs w:val="14"/>
                <w:color w:val="auto"/>
              </w:rPr>
            </w:pPr>
          </w:p>
        </w:tc>
        <w:tc>
          <w:tcPr>
            <w:tcW w:w="13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Solutions</w:t>
            </w:r>
          </w:p>
        </w:tc>
        <w:tc>
          <w:tcPr>
            <w:tcW w:w="1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and Other (1)</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$ 26,315</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$ 107,669</w:t>
            </w:r>
          </w:p>
        </w:tc>
        <w:tc>
          <w:tcPr>
            <w:tcW w:w="6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3,632</w:t>
            </w:r>
          </w:p>
        </w:tc>
        <w:tc>
          <w:tcPr>
            <w:tcW w:w="66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137,390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10,875</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84,701</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4,166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6,240</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2,056</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2,624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15,086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4,226</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1,279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2,212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3,253</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251</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19,749</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98,420</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3,960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124,801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6,566</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9,249</w:t>
            </w:r>
          </w:p>
        </w:tc>
        <w:tc>
          <w:tcPr>
            <w:tcW w:w="66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960</w:t>
            </w:r>
          </w:p>
        </w:tc>
        <w:tc>
          <w:tcPr>
            <w:tcW w:w="6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(4,186)</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12,589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0"/>
          </w:tcPr>
          <w:p>
            <w:pPr>
              <w:jc w:val="center"/>
              <w:ind w:right="340"/>
              <w:spacing w:after="0"/>
              <w:rPr>
                <w:sz w:val="20"/>
                <w:szCs w:val="20"/>
                <w:color w:val="auto"/>
              </w:rPr>
            </w:pPr>
            <w:r>
              <w:rPr>
                <w:rFonts w:ascii="Arial" w:cs="Arial" w:eastAsia="Arial" w:hAnsi="Arial"/>
                <w:sz w:val="14"/>
                <w:szCs w:val="14"/>
                <w:b w:val="1"/>
                <w:bCs w:val="1"/>
                <w:color w:val="auto"/>
                <w:w w:val="93"/>
              </w:rPr>
              <w:t>For the Nine Months Ended September 30, 2006</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w w:val="89"/>
              </w:rPr>
              <w:t>Prepaid</w:t>
            </w:r>
          </w:p>
        </w:tc>
        <w:tc>
          <w:tcPr>
            <w:tcW w:w="60" w:type="dxa"/>
            <w:vAlign w:val="bottom"/>
          </w:tcPr>
          <w:p>
            <w:pPr>
              <w:spacing w:after="0"/>
              <w:rPr>
                <w:sz w:val="12"/>
                <w:szCs w:val="12"/>
                <w:color w:val="auto"/>
              </w:rPr>
            </w:pPr>
          </w:p>
        </w:tc>
        <w:tc>
          <w:tcPr>
            <w:tcW w:w="12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10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4"/>
              </w:rPr>
              <w:t>Processing</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w w:val="87"/>
              </w:rPr>
              <w:t>Processing</w:t>
            </w:r>
          </w:p>
        </w:tc>
        <w:tc>
          <w:tcPr>
            <w:tcW w:w="60" w:type="dxa"/>
            <w:vAlign w:val="bottom"/>
          </w:tcPr>
          <w:p>
            <w:pPr>
              <w:spacing w:after="0"/>
              <w:rPr>
                <w:sz w:val="14"/>
                <w:szCs w:val="14"/>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3"/>
              </w:rPr>
              <w:t>Solutions</w:t>
            </w:r>
          </w:p>
        </w:tc>
        <w:tc>
          <w:tcPr>
            <w:tcW w:w="60" w:type="dxa"/>
            <w:vAlign w:val="bottom"/>
          </w:tcPr>
          <w:p>
            <w:pPr>
              <w:spacing w:after="0"/>
              <w:rPr>
                <w:sz w:val="14"/>
                <w:szCs w:val="14"/>
                <w:color w:val="auto"/>
              </w:rPr>
            </w:pPr>
          </w:p>
        </w:tc>
        <w:tc>
          <w:tcPr>
            <w:tcW w:w="11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60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left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95,498</w:t>
            </w:r>
          </w:p>
        </w:tc>
        <w:tc>
          <w:tcPr>
            <w:tcW w:w="166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$ 346,260</w:t>
            </w:r>
          </w:p>
        </w:tc>
        <w:tc>
          <w:tcPr>
            <w:tcW w:w="13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$ 21,255</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462,426</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40,298</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278,071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1,233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319,602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14,023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18,608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w w:val="98"/>
              </w:rPr>
              <w:t>12,620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10,913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8,359</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13,176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2,881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9,208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10,477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1,441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71,888</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320,332</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18,562</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13,938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424,720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2"/>
          </w:tcPr>
          <w:p>
            <w:pPr>
              <w:ind w:left="60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23,610</w:t>
            </w: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25,928</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2,693</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(14,525)</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37,706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September 30, 2006</w:t>
            </w:r>
          </w:p>
        </w:tc>
        <w:tc>
          <w:tcPr>
            <w:tcW w:w="1600" w:type="dxa"/>
            <w:vAlign w:val="bottom"/>
            <w:tcBorders>
              <w:left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$ 141,990</w:t>
            </w:r>
          </w:p>
        </w:tc>
        <w:tc>
          <w:tcPr>
            <w:tcW w:w="166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$ 597,973</w:t>
            </w:r>
          </w:p>
        </w:tc>
        <w:tc>
          <w:tcPr>
            <w:tcW w:w="134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color w:val="auto"/>
              </w:rPr>
              <w:t>$ 16,723</w:t>
            </w:r>
          </w:p>
        </w:tc>
        <w:tc>
          <w:tcPr>
            <w:tcW w:w="14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207,555</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964,241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4"/>
                <w:szCs w:val="14"/>
                <w:b w:val="1"/>
                <w:bCs w:val="1"/>
                <w:color w:val="auto"/>
                <w:w w:val="93"/>
              </w:rPr>
              <w:t>For the Nine Months Ended September 30, 2005</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EFT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Prepaid</w:t>
            </w:r>
          </w:p>
        </w:tc>
        <w:tc>
          <w:tcPr>
            <w:tcW w:w="60" w:type="dxa"/>
            <w:vAlign w:val="bottom"/>
          </w:tcPr>
          <w:p>
            <w:pPr>
              <w:spacing w:after="0"/>
              <w:rPr>
                <w:sz w:val="12"/>
                <w:szCs w:val="12"/>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Software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0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60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Processing</w:t>
            </w:r>
          </w:p>
        </w:tc>
        <w:tc>
          <w:tcPr>
            <w:tcW w:w="300" w:type="dxa"/>
            <w:vAlign w:val="bottom"/>
          </w:tcPr>
          <w:p>
            <w:pPr>
              <w:spacing w:after="0"/>
              <w:rPr>
                <w:sz w:val="14"/>
                <w:szCs w:val="14"/>
                <w:color w:val="auto"/>
              </w:rPr>
            </w:pPr>
          </w:p>
        </w:tc>
        <w:tc>
          <w:tcPr>
            <w:tcW w:w="13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7"/>
              </w:rPr>
              <w:t>Processing</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rPr>
              <w:t>Solutions</w:t>
            </w:r>
          </w:p>
        </w:tc>
        <w:tc>
          <w:tcPr>
            <w:tcW w:w="120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and Other (1)</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8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20" w:type="dxa"/>
            <w:vAlign w:val="bottom"/>
            <w:tcBorders>
              <w:left w:val="single" w:sz="8" w:color="CCEEFF"/>
            </w:tcBorders>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76,245</w:t>
            </w:r>
          </w:p>
        </w:tc>
        <w:tc>
          <w:tcPr>
            <w:tcW w:w="36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$ 299,530</w:t>
            </w:r>
          </w:p>
        </w:tc>
        <w:tc>
          <w:tcPr>
            <w:tcW w:w="6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11,292</w:t>
            </w:r>
          </w:p>
        </w:tc>
        <w:tc>
          <w:tcPr>
            <w:tcW w:w="66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386,841</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32,465</w:t>
            </w:r>
          </w:p>
        </w:tc>
        <w:tc>
          <w:tcPr>
            <w:tcW w:w="36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237,033</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270,308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12,038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17,173</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6,335</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7,723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43,269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11,451</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7,092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8,452</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792</w:t>
            </w: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16,443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57,846</w:t>
            </w:r>
          </w:p>
        </w:tc>
        <w:tc>
          <w:tcPr>
            <w:tcW w:w="36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274,109</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8,675</w:t>
            </w:r>
          </w:p>
        </w:tc>
        <w:tc>
          <w:tcPr>
            <w:tcW w:w="66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352,518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38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72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18,399</w:t>
            </w:r>
          </w:p>
        </w:tc>
        <w:tc>
          <w:tcPr>
            <w:tcW w:w="360" w:type="dxa"/>
            <w:vAlign w:val="bottom"/>
          </w:tcPr>
          <w:p>
            <w:pPr>
              <w:spacing w:after="0"/>
              <w:rPr>
                <w:sz w:val="24"/>
                <w:szCs w:val="24"/>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25,421</w:t>
            </w:r>
          </w:p>
        </w:tc>
        <w:tc>
          <w:tcPr>
            <w:tcW w:w="660" w:type="dxa"/>
            <w:vAlign w:val="bottom"/>
          </w:tcPr>
          <w:p>
            <w:pPr>
              <w:spacing w:after="0"/>
              <w:rPr>
                <w:sz w:val="24"/>
                <w:szCs w:val="24"/>
                <w:color w:val="auto"/>
              </w:rPr>
            </w:pPr>
          </w:p>
        </w:tc>
        <w:tc>
          <w:tcPr>
            <w:tcW w:w="180" w:type="dxa"/>
            <w:vAlign w:val="bottom"/>
            <w:gridSpan w:val="2"/>
          </w:tcPr>
          <w:p>
            <w:pPr>
              <w:jc w:val="right"/>
              <w:ind w:right="8"/>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2,617</w:t>
            </w:r>
          </w:p>
        </w:tc>
        <w:tc>
          <w:tcPr>
            <w:tcW w:w="66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(12,114)</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34,323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 December 31, 2005</w:t>
            </w:r>
          </w:p>
        </w:tc>
        <w:tc>
          <w:tcPr>
            <w:tcW w:w="12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$ 124,772</w:t>
            </w:r>
          </w:p>
        </w:tc>
        <w:tc>
          <w:tcPr>
            <w:tcW w:w="360" w:type="dxa"/>
            <w:vAlign w:val="bottom"/>
            <w:tcBorders>
              <w:left w:val="single" w:sz="8" w:color="CCEEFF"/>
            </w:tcBorders>
            <w:shd w:val="clear" w:color="auto" w:fill="CCEEFF"/>
          </w:tcPr>
          <w:p>
            <w:pPr>
              <w:spacing w:after="0"/>
              <w:rPr>
                <w:sz w:val="18"/>
                <w:szCs w:val="18"/>
                <w:color w:val="auto"/>
              </w:rPr>
            </w:pPr>
          </w:p>
        </w:tc>
        <w:tc>
          <w:tcPr>
            <w:tcW w:w="10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$ 477,893</w:t>
            </w:r>
          </w:p>
        </w:tc>
        <w:tc>
          <w:tcPr>
            <w:tcW w:w="66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660" w:type="dxa"/>
            <w:vAlign w:val="bottom"/>
            <w:tcBorders>
              <w:left w:val="single" w:sz="8" w:color="CCEEFF"/>
            </w:tcBorders>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285,379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894,352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discussed previously, in connection with the adoption of SFAS No. 123R, the Company adjusted its previously reported results to include the impact of share-based compensation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From time to time, the Company is a party to litigation arising in the ordinary course of its business.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The claim has been referred to arbitration and the first hearing took place during the third quarter 2006. No substantive decisions or findings were made at that hearing. Management believes it has strong defenses to this action and, accordingly, has not recorded any liability or expense related to this claim. The Company will continue to monitor and assess this claim until ultimate resolution.</w:t>
      </w:r>
    </w:p>
    <w:p>
      <w:pPr>
        <w:spacing w:after="0" w:line="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September 30, 2006, the Company had $30.7 million of bank guarantees issued on its behalf, of which $13.2 million are collateralized by cash deposits held by the respective issuing banks.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Euronet Worldwide, Inc. regularly grants guarantees of the obligations of its wholly-owned subsidiaries. As of September 30, 2006, the Company had granted guarantees in the following amounts:</w:t>
      </w:r>
    </w:p>
    <w:p>
      <w:pPr>
        <w:spacing w:after="0" w:line="62" w:lineRule="exact"/>
        <w:rPr>
          <w:sz w:val="20"/>
          <w:szCs w:val="20"/>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Cash in various ATM networks — $18.8 million over the terms of the cash supply agreements.</w:t>
      </w:r>
    </w:p>
    <w:p>
      <w:pPr>
        <w:spacing w:after="0" w:line="130" w:lineRule="exact"/>
        <w:rPr>
          <w:rFonts w:ascii="Arial" w:cs="Arial" w:eastAsia="Arial" w:hAnsi="Arial"/>
          <w:sz w:val="18"/>
          <w:szCs w:val="18"/>
          <w:b w:val="1"/>
          <w:bCs w:val="1"/>
          <w:color w:val="auto"/>
        </w:rPr>
      </w:pPr>
    </w:p>
    <w:p>
      <w:pPr>
        <w:ind w:left="540" w:right="760" w:hanging="316"/>
        <w:spacing w:after="0" w:line="277" w:lineRule="auto"/>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Commercial obligations of the Company’s Australian Prepaid Processing subsidiary, including PIN inventory held on consignment with our customers, to a maximum of approximately $45 million.</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Other vendor supply agreements — $18.5 million over the term of the vendor agreements.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obligations is not stated in the agreements. Our liability under such indemnification provision may be subject to time and materiality limitations, monetary caps and other conditions and defenses. Such indemnity obligations include the following:</w:t>
      </w:r>
    </w:p>
    <w:p>
      <w:pPr>
        <w:spacing w:after="0" w:line="79" w:lineRule="exact"/>
        <w:rPr>
          <w:sz w:val="20"/>
          <w:szCs w:val="20"/>
          <w:color w:val="auto"/>
        </w:rPr>
      </w:pPr>
    </w:p>
    <w:p>
      <w:pPr>
        <w:ind w:left="540" w:right="140" w:hanging="316"/>
        <w:spacing w:after="0" w:line="264"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86" w:lineRule="exact"/>
        <w:rPr>
          <w:rFonts w:ascii="Arial" w:cs="Arial" w:eastAsia="Arial" w:hAnsi="Arial"/>
          <w:sz w:val="18"/>
          <w:szCs w:val="18"/>
          <w:b w:val="1"/>
          <w:bCs w:val="1"/>
          <w:color w:val="auto"/>
        </w:rPr>
      </w:pPr>
    </w:p>
    <w:p>
      <w:pPr>
        <w:ind w:left="540" w:right="80" w:hanging="316"/>
        <w:spacing w:after="0" w:line="264"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our vendors and into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86" w:lineRule="exact"/>
        <w:rPr>
          <w:rFonts w:ascii="Arial" w:cs="Arial" w:eastAsia="Arial" w:hAnsi="Arial"/>
          <w:sz w:val="18"/>
          <w:szCs w:val="18"/>
          <w:b w:val="1"/>
          <w:bCs w:val="1"/>
          <w:color w:val="auto"/>
        </w:rPr>
      </w:pPr>
    </w:p>
    <w:p>
      <w:pPr>
        <w:ind w:left="540" w:hanging="316"/>
        <w:spacing w:after="0" w:line="273" w:lineRule="auto"/>
        <w:tabs>
          <w:tab w:leader="none" w:pos="54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 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83" w:lineRule="exact"/>
        <w:rPr>
          <w:rFonts w:ascii="Arial" w:cs="Arial" w:eastAsia="Arial" w:hAnsi="Arial"/>
          <w:sz w:val="17"/>
          <w:szCs w:val="17"/>
          <w:b w:val="1"/>
          <w:bCs w:val="1"/>
          <w:color w:val="auto"/>
        </w:rPr>
      </w:pPr>
    </w:p>
    <w:p>
      <w:pPr>
        <w:ind w:left="540" w:right="180" w:hanging="316"/>
        <w:spacing w:after="0" w:line="264"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 party claims relating to the carrying out of their respective duties under such agreements; and</w:t>
      </w:r>
    </w:p>
    <w:p>
      <w:pPr>
        <w:spacing w:after="0" w:line="86" w:lineRule="exact"/>
        <w:rPr>
          <w:rFonts w:ascii="Arial" w:cs="Arial" w:eastAsia="Arial" w:hAnsi="Arial"/>
          <w:sz w:val="18"/>
          <w:szCs w:val="18"/>
          <w:b w:val="1"/>
          <w:bCs w:val="1"/>
          <w:color w:val="auto"/>
        </w:rPr>
      </w:pPr>
    </w:p>
    <w:p>
      <w:pPr>
        <w:ind w:left="540" w:right="660" w:hanging="316"/>
        <w:spacing w:after="0" w:line="277" w:lineRule="auto"/>
        <w:tabs>
          <w:tab w:leader="none" w:pos="54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In connection with the Company’s entry into the money transfer business, the Company has issued surety bonds in compliance with licensing requirements of those states.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To date, the Company is not aware of any significant claims made by the indemnified parties or third parties to guarantee agreements with the Company and, accordingly, no liabilities were recorded as of September 30, 2006 and December 31, 2005.</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effective tax rate, after consideration of minority interest, was 26% and 31% for the three-month periods ended September 30, 2006 and 2005, respectively, and was 26% and 43% for the nine-month periods ended September 30, 2006 and 2005, respectively. The improvement in the effective tax rate largely relates to the impact of foreign currency exchange gains or losses and the recognition of deferred taxes in Poland. Since the Company is in a net operating loss position for its U.S. operations, valuation allowances have been recorded in instances where we determine that it is more likely than not that a tax benefit will not be realized. Accordingly, tax benefit or expense associated with foreign currency gains or losses incurred by the Company’s U.S. entities are not currently being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Euronet Worldwide, Inc. (“Euronet” or the “Company”) is a leading electronic transaction processor, offering ATM and POS outsourcing services, integrated electronic financial transaction (“EFT”) software, network gateways and electronic prepaid top-up services to financial institutions, mobile operators and retailers, as well as electronic consumer money transfer and bill payment services. We operate the largest independent pan-European ATM network, the largest national shared ATM network in India, and we are one of the largest providers of prepaid mobile airtime processing.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We operate in three principal business segments:</w:t>
      </w:r>
    </w:p>
    <w:p>
      <w:pPr>
        <w:spacing w:after="0" w:line="117" w:lineRule="exact"/>
        <w:rPr>
          <w:sz w:val="20"/>
          <w:szCs w:val="20"/>
          <w:color w:val="auto"/>
        </w:rPr>
      </w:pPr>
    </w:p>
    <w:p>
      <w:pPr>
        <w:ind w:left="540" w:right="80" w:hanging="316"/>
        <w:spacing w:after="0" w:line="312" w:lineRule="auto"/>
        <w:tabs>
          <w:tab w:leader="none" w:pos="5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An EFT Processing Segment, in which we process transactions for a network of 8,491 ATMs and more than 39,000 POS terminals across Europe, Asia and Africa. We provide comprehensive electronic payment solutions consisting of ATM network participation, outsourced ATM and POS management solutions, credit card outsourcing and electronic recharge services (for prepaid mobile airtime via an ATM or directly from the handset).</w:t>
      </w:r>
    </w:p>
    <w:p>
      <w:pPr>
        <w:spacing w:after="0" w:line="52" w:lineRule="exact"/>
        <w:rPr>
          <w:rFonts w:ascii="Arial" w:cs="Arial" w:eastAsia="Arial" w:hAnsi="Arial"/>
          <w:sz w:val="16"/>
          <w:szCs w:val="16"/>
          <w:b w:val="1"/>
          <w:bCs w:val="1"/>
          <w:color w:val="auto"/>
        </w:rPr>
      </w:pPr>
    </w:p>
    <w:p>
      <w:pPr>
        <w:ind w:left="540" w:right="160" w:hanging="316"/>
        <w:spacing w:after="0" w:line="255"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Prepaid Processing Segment, through which we provide distribution of prepaid mobile airtime and other prepaid products and collections services for various prepaid products, cards and services. Including terminals owned by unconsolidated subsidiaries, we operate a network of more than 265,000 POS terminals providing electronic processing of prepaid mobile airtime top-up services in the U.S., Europe, Africa and Asia Pacific. This segment also includes Euronet Payments &amp; Remittance, Inc. (“Euronet Payments &amp; Remittance”), which resulted from the 2005 acquisition of TelecommUSA, and provides money transfer services to customers from the U.S. to destinations primarily in Latin America, and bill payment services to customers within the U.S.</w:t>
      </w:r>
    </w:p>
    <w:p>
      <w:pPr>
        <w:spacing w:after="0" w:line="98" w:lineRule="exact"/>
        <w:rPr>
          <w:rFonts w:ascii="Arial" w:cs="Arial" w:eastAsia="Arial" w:hAnsi="Arial"/>
          <w:sz w:val="18"/>
          <w:szCs w:val="18"/>
          <w:b w:val="1"/>
          <w:bCs w:val="1"/>
          <w:color w:val="auto"/>
        </w:rPr>
      </w:pPr>
    </w:p>
    <w:p>
      <w:pPr>
        <w:ind w:left="540" w:right="200" w:hanging="316"/>
        <w:spacing w:after="0" w:line="277"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 Software Solutions Segment, through which we offer a suite of integrated EFT software solutions for electronic payment and transaction delivery systems.</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seven processing centers in Europe, two in Asia and one in the U.S., and we have 17 principal offices in Europe, four in the Asia-Pacific region, four in the U.S. and one in the Middle East. Our executive offices are located in Leawood, Kansas, USA. With approximately 84% of our revenues denominated in currencies other than the U.S. dollar, any significant changes in currency exchange rates will likely have a significant impact on our growth in revenues, operating income and diluted earnings per share (for more discussion, see Item 7A — Quantitative and Qualitative Disclosure About Market Risk, and Part I, Item 1A — Risk Factors in the Company’s Annual Report of Form 10-K for the year ended December 31, 2005).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 in the EFT Processing Segment, which represents approximately 21% of total consolidated revenue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2006, is derived from fees charged for transactions effected by cardholders on our proprietary network of ATMs, as well as fixed management fees and transaction fees we charge to banks for operating ATMs and processing credit cards under outsourcing agreements.</w:t>
      </w:r>
    </w:p>
    <w:p>
      <w:pPr>
        <w:spacing w:after="0" w:line="5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Through our proprietary network, we generally charge fees for four types of ATM transactions: i) cash withdrawals, ii) balance inquiries, iii) transactions not completed because the relevant card issuer does not give authorization, and iv) prepaid telecommunication recharges.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nine months ended September 30, 2006, approximately 26% of total segment revenue was derived from ATMs we owned (excluding those leased by us in connection with outsourcing agreements, as discussed below) and the remainder was primarily derived from ATMs that we operate for banks on an outsourced basis. The percentage of revenues we generate from our proprietary network of ATMs continues to fall as we shift from a largely proprietary, Euronet-owned ATM network, to a greater focus on ATMs operated under outsourcing agreements. This shift will continue to provide lower total revenues, but higher marginal returns on investment. This is because we bear all costs of owning and operating ATMs on our proprietary network, including the capital investment represented by the cost of the ATMs themselves, whereas customer-owned ATMs operated under outsource service agreements require a nominal up-front capital investment because we do not purchase the ATMs. Additionally, in many instances operating costs are the responsibility of the owner and, therefore, recurring operating expenses per ATM are lower. In connection with certain long-term outsourcing agreements, we lease many of our ATMs under capital lease arrangements where, generally, we purchase a bank’s ATMs, and simultaneously sell the ATMs (often to an entity related to the bank). We then lease back the ATMs for purposes of fulfilling the ATM outsourcing agreement with the bank. We fully recover the related lease costs from the bank under the outsourcing agreements.</w:t>
      </w:r>
    </w:p>
    <w:p>
      <w:pPr>
        <w:spacing w:after="0" w:line="7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Prepaid Processing Segment </w:t>
      </w:r>
      <w:r>
        <w:rPr>
          <w:rFonts w:ascii="Arial" w:cs="Arial" w:eastAsia="Arial" w:hAnsi="Arial"/>
          <w:sz w:val="17"/>
          <w:szCs w:val="17"/>
          <w:color w:val="auto"/>
        </w:rPr>
        <w:t>— Revenue in the Prepaid Processing Segment, which represents approximately 75% of total consolidated revenue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2006, is primarily derived from commissions and processing fees received from mobile and other telecommunication operators, or from distributors of prepaid wireless products for the distribution and/or processing of prepaid mobile airtime and other telecommunication products. Due to certain provisions in our mobile phone operator agreements, the operators have the ability to reduce the overall commission paid on each top-up transaction. 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margin and operating income. In some markets, reductions in commissions can significantly impact our results as it may not be possible, either contractually or practically in the concerned market, to pass a reduction in commissions to the retailers. In Australia, certain retailers negotiate directly with the mobile phone operators for their own commission rates, which also limits our ability to pass through reductions in commissions.</w:t>
      </w:r>
    </w:p>
    <w:p>
      <w:pPr>
        <w:spacing w:after="0" w:line="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Agreements with mobile operators are important to the success of our business. These agreements permit us to distribute prepaid mobile airtime to the mobile operators’ customers. The loss of any agreements with mobile operators in any market could materially and adversely affect our results.</w:t>
      </w:r>
    </w:p>
    <w:p>
      <w:pPr>
        <w:spacing w:after="0" w:line="3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i w:val="1"/>
          <w:iCs w:val="1"/>
          <w:color w:val="auto"/>
        </w:rPr>
        <w:t xml:space="preserve">Software Solutions Segment </w:t>
      </w:r>
      <w:r>
        <w:rPr>
          <w:rFonts w:ascii="Arial" w:cs="Arial" w:eastAsia="Arial" w:hAnsi="Arial"/>
          <w:sz w:val="16"/>
          <w:szCs w:val="16"/>
          <w:color w:val="auto"/>
        </w:rPr>
        <w:t>— Revenue in the Software Solutions Segment, which represents approximately 4% of total consolidated revenue for the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September 30, 2006, is derived from licensing, professional services and maintenance fees for software and sales of related hardware. Software license fees are the initial fees we charge to license our proprietary application software to customers. Professional fees consist of charges for customization, installation and consulting services to customers. Software maintenance revenue represents the ongoing fees charged for maintenance and support for customers’ software products. Hardware sales are derived from the sale of computer equipment necessary for the respective software solution.</w:t>
      </w:r>
    </w:p>
    <w:p>
      <w:pPr>
        <w:spacing w:after="0" w:line="50"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January 2006, we acquired the assets of Essentis Limited (“Essentis”), a U.K. company that owns a leading card issuing and merchant acquiring software package. The assets, primarily consisting of the software source code, were purchased out of an administrative proceeding for approximately $3.0 million, including the assumption of certain liabilities. The Essentis software product allows us to add additional outsourcing and software offerings to banks. For further discussion, see Note 4 — Acquisitions to the Unaudited Consolidated Financial Statements. The results of Essentis are reported in the Software Solutions Segment.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expansion plans and opportunities are focused on five primary areas:</w:t>
      </w:r>
    </w:p>
    <w:p>
      <w:pPr>
        <w:spacing w:after="0" w:line="117"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outsourced ATM and POS terminal management contracts;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transactions processed on our network of owned and operated ATMs;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prepaid mobile airtime top-up processing services;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money transfer and bill payment services;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development of our credit and debit card outsourcing business.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The continued expansion and development of our ATM business will depend on various factors including the following:</w:t>
      </w:r>
    </w:p>
    <w:p>
      <w:pPr>
        <w:spacing w:after="0" w:line="129"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entering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17" w:lineRule="exact"/>
        <w:rPr>
          <w:sz w:val="20"/>
          <w:szCs w:val="20"/>
          <w:color w:val="auto"/>
        </w:rPr>
      </w:pPr>
    </w:p>
    <w:p>
      <w:pPr>
        <w:jc w:val="both"/>
        <w:ind w:right="140"/>
        <w:spacing w:after="0" w:line="342" w:lineRule="auto"/>
        <w:rPr>
          <w:sz w:val="20"/>
          <w:szCs w:val="20"/>
          <w:color w:val="auto"/>
        </w:rPr>
      </w:pPr>
      <w:r>
        <w:rPr>
          <w:rFonts w:ascii="Arial" w:cs="Arial" w:eastAsia="Arial" w:hAnsi="Arial"/>
          <w:sz w:val="16"/>
          <w:szCs w:val="16"/>
          <w:color w:val="auto"/>
        </w:rPr>
        <w:t>We carefully monitor the revenue and transactional growth of our ATM networks in each of our markets, and we adjust our plans depending on local market conditions, such as variations in the transaction fees we receive, competition, overall trends in ATM-transaction levels and performance of individual ATMs.</w:t>
      </w:r>
    </w:p>
    <w:p>
      <w:pPr>
        <w:spacing w:after="0" w:line="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consistently evaluate and add prospects to our list of potential ATM outsource customers. However, we cannot predict the increase or decrease in the number of ATMs we manage under outsourcing agreements, because this depends largely on the willingness of banks to enter into outsourcing contracts with us. Due to the thorough internal reviews and extensive negotiations conducted by existing and prospective banking customers in choosing outsource vendors, the process of entering into or renewing outsourcing agreements can take approximately nine months to more than one year. The process is further complicated by the legal and regulatory considerations of local countries. These agreements tend to cover large numbers of ATMs, so significant increases and decreases in our pool of managed ATMs could result from acquisition or termination of these management contracts. Therefore, the timing of both current and new contract revenues is uncertain and unpredictable.</w:t>
      </w:r>
    </w:p>
    <w:p>
      <w:pPr>
        <w:spacing w:after="0" w:line="7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This pilot agreement makes us the first, and currently the only, provider of end-to-end ATM outsourcing services in China. Under the pilot agreement we will deploy and provide all of the day-to-day outsourcing services for a total of 90 ATMs in Beijing, Shanghai and Guangdong, the three largest commercial centers in China. As of September 30, 2006, we have deployed 59 of the 90 ATMs, with the remaining 31 ATMs expected to be deployed by or about October 31, 2006. If this pilot agreement meets certain success criteria, we have agreed to take over additional existing ATMs and install new ATMs at PSRB’s request. We have established a technical processing and operations center in Beijing to operate these ATMs. Our future success in China will depend on our ability to be successful in this pilot agreement, the willingness of PSRB or other banks to outsource additional ATMs to us and our ability to take over, install and operate additional ATMs. While we believe that we have the proper resources and skills in place to be successful, there can be no assurance that we will be successful in the pilot agreement or that we will be successful in our ability to take over existing ATMs or install new ATMs as expected by PSRB or others. Nonetheless, during the third quarter 2006, we signed an ATM outsourcing agreement with a leading multinational bank to deploy 50 ATMs in China over the next 12 months. Start up costs for this joint venture have been expensed as incurred.</w:t>
      </w:r>
    </w:p>
    <w:p>
      <w:pPr>
        <w:spacing w:after="0" w:line="7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We currently offer prepaid mobile phone top-up services in the U.S., Europe, Africa and Asia Pacific; money 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customers from the U.S. to destinations primarily in Latin America, and bill payment services to customers in the U.S., U.K. and Poland. We plan to expand our top-up business in these and other markets by taking advantage of our existing expertise together with relationships with mobile phone operators and retailers. We plan to expand our card-based money transfer and bill payment services by offering the product on many of our existing POS terminals in the U.S. and internationally.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Expansion will depend on various factors, including, but not necessarily limited to, the following:</w:t>
      </w:r>
    </w:p>
    <w:p>
      <w:pPr>
        <w:spacing w:after="0" w:line="117"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for other markets with mobile phone operators, agent banks and retailers;</w:t>
      </w:r>
    </w:p>
    <w:p>
      <w:pPr>
        <w:spacing w:after="0" w:line="130" w:lineRule="exact"/>
        <w:rPr>
          <w:rFonts w:ascii="Arial" w:cs="Arial" w:eastAsia="Arial" w:hAnsi="Arial"/>
          <w:sz w:val="18"/>
          <w:szCs w:val="18"/>
          <w:b w:val="1"/>
          <w:bCs w:val="1"/>
          <w:color w:val="auto"/>
        </w:rPr>
      </w:pPr>
    </w:p>
    <w:p>
      <w:pPr>
        <w:ind w:left="540" w:right="40" w:hanging="316"/>
        <w:spacing w:after="0" w:line="277" w:lineRule="auto"/>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continuation of the conversion trend from scratch card solutions to electronic processing solutions for prepaid mobile airtime among mobile phone users and the continued use of third party providers such as ourselves to supply this service;</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540" w:right="20" w:hanging="316"/>
        <w:spacing w:after="0" w:line="277" w:lineRule="auto"/>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among immigrant workers and the unbanked population in our markets;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540" w:hanging="316"/>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our ability to obtain money transfer licenses to operate in many of the states within the U.S. and internationally;</w:t>
      </w:r>
    </w:p>
    <w:p>
      <w:pPr>
        <w:spacing w:after="0" w:line="130" w:lineRule="exact"/>
        <w:rPr>
          <w:rFonts w:ascii="Arial" w:cs="Arial" w:eastAsia="Arial" w:hAnsi="Arial"/>
          <w:sz w:val="18"/>
          <w:szCs w:val="18"/>
          <w:b w:val="1"/>
          <w:bCs w:val="1"/>
          <w:color w:val="auto"/>
        </w:rPr>
      </w:pPr>
    </w:p>
    <w:p>
      <w:pPr>
        <w:ind w:left="540" w:right="280" w:hanging="316"/>
        <w:spacing w:after="0" w:line="277" w:lineRule="auto"/>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ability to rapidly maximize the number of agents and retailers who sell our card-based money transfer and bill payment product in the U.S. and internationally; and</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mature markets, such as the U.K., Australia, Spain and Ireland, the conversion from scratch cards to electronic forms of distribution is either complete or nearing completion. Because of this factor, we are likely to cease experiencing the organic increases in the number of transactions per terminal that we have experienced historically. Also in mature markets, competition among prepaid distributors results in the increase of commissions paid to retailers and increases in retailer attrition rates. The combined impact of these factors in developed markets is a flattening of growth in the revenues and profits that we earn. In other markets in which we operate, such as Poland, Germany and the U.S., many of the factors that may contribute to rapid growth (conversion from scratch cards to electronic distribution, growth in the prepaid market, expansion of our network of retailers and access to all mobile operators’ products) remain present.</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Growth in our money transfer and bill payment services business, Euronet Payments &amp; Remittance, will be driven by the continuation of global worker migration patterns, our ability to manage rapid growth, our ability to maximize the opportunity to sell our card-based product over our existing POS terminals in the U.S. and internationally, and our ability to obtain licenses to operate in many of the states within the U.S. as well as other countries. While we are currently focused on the U.S. and Latin America market, we plan to expand our money transfer services to other markets. We are focusing on increasing our sending locations in existing licensed states and obtaining licenses to operate in other key U.S. states. We have expanded these operations from the original three states into sixteen additional states. We also have seven other states where we are preparing to introduce these services and three additional states where licenses are pending approval. Expansion of our money transfer business internationally will require resolution of numerous licensing and regulatory issues in each market we intend to develop and no assurance can be given that these issues will be resolved.</w:t>
      </w:r>
    </w:p>
    <w:p>
      <w:pPr>
        <w:spacing w:after="0" w:line="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 xml:space="preserve">Software Solutions Segment </w:t>
      </w:r>
      <w:r>
        <w:rPr>
          <w:rFonts w:ascii="Arial" w:cs="Arial" w:eastAsia="Arial" w:hAnsi="Arial"/>
          <w:sz w:val="16"/>
          <w:szCs w:val="16"/>
          <w:color w:val="auto"/>
        </w:rPr>
        <w:t>— Software products are an integral part of our product lines, and our investment in research, development, delivery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support reflects our ongoing commitment to an expanded customer base. We have been able to enter into agreements under which we use our software in lieu of cash as our initial capital contributions to new transaction processing joint ventures. Such contribution sometimes permits us to enter new markets without significant capital investment. Additionally, this segment supports our EFT Processing Segment and is a valuable element of our overall business strategy. The competitive factors in the Software Solutions business include price, technology development and the ability of software systems to interact with other leading products. Our success is dependent on our ability to design and implement software applications. Technical disruptions or errors in these systems could have a material adverse impact on our revenue and financial results. We also recently expanded the Software Solutions Segment with the January 2006 acquisition of Essentis. This acquisition will allow us to offer additional outsourcing and software products to banks.</w:t>
      </w:r>
    </w:p>
    <w:p>
      <w:pPr>
        <w:spacing w:after="0" w:line="58"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division,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Elimination and Other” includes non-operating results, certain inter-segment eliminations and the cost of providing corporate and other administrative services to the business segments, including share-based compensation expense related to most option and restricted stock grants. These services are not directly identifiable with our business segments.</w:t>
      </w:r>
    </w:p>
    <w:p>
      <w:pPr>
        <w:spacing w:after="0" w:line="7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evaluate performance of our segments based on operating income. The impact of share-based compensation is recorded as an expense of the Corporate Services division, with certain limited exceptions related to grants of restricted stock to key members of management that vest based on the achievement of performance criteria by our subsidiaries.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Revenue and operating income by segment for the three- and nine-month periods ended September 30, 2006 and 2005 are summarized in the tables below: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center"/>
              <w:ind w:right="600"/>
              <w:spacing w:after="0"/>
              <w:rPr>
                <w:sz w:val="20"/>
                <w:szCs w:val="20"/>
                <w:color w:val="auto"/>
              </w:rPr>
            </w:pPr>
            <w:r>
              <w:rPr>
                <w:rFonts w:ascii="Arial" w:cs="Arial" w:eastAsia="Arial" w:hAnsi="Arial"/>
                <w:sz w:val="14"/>
                <w:szCs w:val="14"/>
                <w:b w:val="1"/>
                <w:bCs w:val="1"/>
                <w:color w:val="auto"/>
                <w:w w:val="92"/>
              </w:rPr>
              <w:t>Revenues for the Three</w:t>
            </w:r>
          </w:p>
        </w:tc>
        <w:tc>
          <w:tcPr>
            <w:tcW w:w="120" w:type="dxa"/>
            <w:vAlign w:val="bottom"/>
          </w:tcPr>
          <w:p>
            <w:pPr>
              <w:spacing w:after="0"/>
              <w:rPr>
                <w:sz w:val="14"/>
                <w:szCs w:val="14"/>
                <w:color w:val="auto"/>
              </w:rPr>
            </w:pPr>
          </w:p>
        </w:tc>
        <w:tc>
          <w:tcPr>
            <w:tcW w:w="1740" w:type="dxa"/>
            <w:vAlign w:val="bottom"/>
            <w:gridSpan w:val="5"/>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7"/>
          </w:tcPr>
          <w:p>
            <w:pPr>
              <w:ind w:left="200"/>
              <w:spacing w:after="0"/>
              <w:rPr>
                <w:sz w:val="20"/>
                <w:szCs w:val="20"/>
                <w:color w:val="auto"/>
              </w:rPr>
            </w:pPr>
            <w:r>
              <w:rPr>
                <w:rFonts w:ascii="Arial" w:cs="Arial" w:eastAsia="Arial" w:hAnsi="Arial"/>
                <w:sz w:val="14"/>
                <w:szCs w:val="14"/>
                <w:b w:val="1"/>
                <w:bCs w:val="1"/>
                <w:color w:val="auto"/>
              </w:rPr>
              <w:t>Revenues for the Nine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340" w:type="dxa"/>
            <w:vAlign w:val="bottom"/>
            <w:gridSpan w:val="9"/>
          </w:tcPr>
          <w:p>
            <w:pPr>
              <w:spacing w:after="0"/>
              <w:rPr>
                <w:sz w:val="20"/>
                <w:szCs w:val="20"/>
                <w:color w:val="auto"/>
              </w:rPr>
            </w:pPr>
            <w:r>
              <w:rPr>
                <w:rFonts w:ascii="Arial" w:cs="Arial" w:eastAsia="Arial" w:hAnsi="Arial"/>
                <w:sz w:val="14"/>
                <w:szCs w:val="14"/>
                <w:b w:val="1"/>
                <w:bCs w:val="1"/>
                <w:color w:val="auto"/>
              </w:rPr>
              <w:t>Months Ended September 30,</w:t>
            </w:r>
          </w:p>
        </w:tc>
        <w:tc>
          <w:tcPr>
            <w:tcW w:w="12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7"/>
          </w:tcPr>
          <w:p>
            <w:pPr>
              <w:spacing w:after="0"/>
              <w:rPr>
                <w:sz w:val="20"/>
                <w:szCs w:val="20"/>
                <w:color w:val="auto"/>
              </w:rPr>
            </w:pPr>
            <w:r>
              <w:rPr>
                <w:rFonts w:ascii="Arial" w:cs="Arial" w:eastAsia="Arial" w:hAnsi="Arial"/>
                <w:sz w:val="14"/>
                <w:szCs w:val="14"/>
                <w:b w:val="1"/>
                <w:bCs w:val="1"/>
                <w:color w:val="auto"/>
              </w:rPr>
              <w:t>Months Ended 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Borders>
              <w:top w:val="single" w:sz="8" w:color="auto"/>
            </w:tcBorders>
            <w:gridSpan w:val="4"/>
          </w:tcPr>
          <w:p>
            <w:pPr>
              <w:ind w:left="40"/>
              <w:spacing w:after="0" w:line="119" w:lineRule="exact"/>
              <w:rPr>
                <w:sz w:val="20"/>
                <w:szCs w:val="20"/>
                <w:color w:val="auto"/>
              </w:rPr>
            </w:pPr>
            <w:r>
              <w:rPr>
                <w:rFonts w:ascii="Arial" w:cs="Arial" w:eastAsia="Arial" w:hAnsi="Arial"/>
                <w:sz w:val="13"/>
                <w:szCs w:val="13"/>
                <w:b w:val="1"/>
                <w:bCs w:val="1"/>
                <w:color w:val="auto"/>
              </w:rPr>
              <w:t>Increase</w:t>
            </w:r>
          </w:p>
        </w:tc>
        <w:tc>
          <w:tcPr>
            <w:tcW w:w="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1040" w:type="dxa"/>
            <w:vAlign w:val="bottom"/>
            <w:gridSpan w:val="3"/>
            <w:vMerge w:val="restart"/>
          </w:tcPr>
          <w:p>
            <w:pPr>
              <w:jc w:val="right"/>
              <w:ind w:right="123"/>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33,212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26,315</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4"/>
              </w:rPr>
              <w:t>26%</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$ 95,498</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76,245</w:t>
            </w:r>
          </w:p>
        </w:tc>
        <w:tc>
          <w:tcPr>
            <w:tcW w:w="132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$ 19,253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121,114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107,669</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13,445</w:t>
            </w:r>
          </w:p>
        </w:tc>
        <w:tc>
          <w:tcPr>
            <w:tcW w:w="4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12%</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346,260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299,530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46,730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3,632</w:t>
            </w:r>
          </w:p>
        </w:tc>
        <w:tc>
          <w:tcPr>
            <w:tcW w:w="4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102%</w:t>
            </w:r>
          </w:p>
        </w:tc>
        <w:tc>
          <w:tcPr>
            <w:tcW w:w="10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21,255</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11,292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9,963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161,665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137,616</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24,049</w:t>
            </w:r>
          </w:p>
        </w:tc>
        <w:tc>
          <w:tcPr>
            <w:tcW w:w="400" w:type="dxa"/>
            <w:vAlign w:val="bottom"/>
          </w:tcPr>
          <w:p>
            <w:pPr>
              <w:spacing w:after="0"/>
              <w:rPr>
                <w:sz w:val="24"/>
                <w:szCs w:val="24"/>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17%</w:t>
            </w:r>
          </w:p>
        </w:tc>
        <w:tc>
          <w:tcPr>
            <w:tcW w:w="1080" w:type="dxa"/>
            <w:vAlign w:val="bottom"/>
            <w:gridSpan w:val="4"/>
          </w:tcPr>
          <w:p>
            <w:pPr>
              <w:jc w:val="right"/>
              <w:ind w:right="40"/>
              <w:spacing w:after="0"/>
              <w:rPr>
                <w:sz w:val="20"/>
                <w:szCs w:val="20"/>
                <w:color w:val="auto"/>
              </w:rPr>
            </w:pPr>
            <w:r>
              <w:rPr>
                <w:rFonts w:ascii="Arial" w:cs="Arial" w:eastAsia="Arial" w:hAnsi="Arial"/>
                <w:sz w:val="18"/>
                <w:szCs w:val="18"/>
                <w:color w:val="auto"/>
              </w:rPr>
              <w:t>463,013</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387,067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75,946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132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(587)</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161,653</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137,390</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$ 24,263</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4"/>
              </w:rPr>
              <w:t>18%</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7"/>
              </w:rPr>
              <w:t>$ 462,426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386,841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$ 75,585</w:t>
            </w:r>
          </w:p>
        </w:tc>
        <w:tc>
          <w:tcPr>
            <w:tcW w:w="4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gridSpan w:val="8"/>
          </w:tcPr>
          <w:p>
            <w:pPr>
              <w:jc w:val="center"/>
              <w:ind w:right="580"/>
              <w:spacing w:after="0"/>
              <w:rPr>
                <w:sz w:val="20"/>
                <w:szCs w:val="20"/>
                <w:color w:val="auto"/>
              </w:rPr>
            </w:pPr>
            <w:r>
              <w:rPr>
                <w:rFonts w:ascii="Arial" w:cs="Arial" w:eastAsia="Arial" w:hAnsi="Arial"/>
                <w:sz w:val="14"/>
                <w:szCs w:val="14"/>
                <w:b w:val="1"/>
                <w:bCs w:val="1"/>
                <w:color w:val="auto"/>
                <w:w w:val="94"/>
              </w:rPr>
              <w:t>Operating Income for the</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Operating Income for the</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gridSpan w:val="8"/>
          </w:tcPr>
          <w:p>
            <w:pPr>
              <w:jc w:val="center"/>
              <w:ind w:right="58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2"/>
                <w:szCs w:val="12"/>
                <w:color w:val="auto"/>
              </w:rPr>
            </w:pPr>
          </w:p>
        </w:tc>
        <w:tc>
          <w:tcPr>
            <w:tcW w:w="174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Year-over-Year Change</w:t>
            </w: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7"/>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740" w:type="dxa"/>
            <w:vAlign w:val="bottom"/>
            <w:gridSpan w:val="5"/>
            <w:vMerge w:val="continue"/>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80" w:type="dxa"/>
            <w:vAlign w:val="bottom"/>
            <w:tcBorders>
              <w:top w:val="single" w:sz="8" w:color="auto"/>
            </w:tcBorders>
            <w:gridSpan w:val="4"/>
          </w:tcPr>
          <w:p>
            <w:pPr>
              <w:jc w:val="right"/>
              <w:ind w:right="480"/>
              <w:spacing w:after="0" w:line="119" w:lineRule="exact"/>
              <w:rPr>
                <w:sz w:val="20"/>
                <w:szCs w:val="20"/>
                <w:color w:val="auto"/>
              </w:rPr>
            </w:pPr>
            <w:r>
              <w:rPr>
                <w:rFonts w:ascii="Arial" w:cs="Arial" w:eastAsia="Arial" w:hAnsi="Arial"/>
                <w:sz w:val="13"/>
                <w:szCs w:val="13"/>
                <w:b w:val="1"/>
                <w:bCs w:val="1"/>
                <w:color w:val="auto"/>
              </w:rPr>
              <w:t>Increase</w:t>
            </w:r>
          </w:p>
        </w:tc>
        <w:tc>
          <w:tcPr>
            <w:tcW w:w="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2005 (1)</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4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1040" w:type="dxa"/>
            <w:vAlign w:val="bottom"/>
            <w:gridSpan w:val="3"/>
            <w:vMerge w:val="restart"/>
          </w:tcPr>
          <w:p>
            <w:pPr>
              <w:ind w:left="600"/>
              <w:spacing w:after="0"/>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w w:val="88"/>
              </w:rPr>
              <w:t>2005 (1)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104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8,190</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6,566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1,624</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25%</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$ 23,610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18,399</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5,211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8,847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9,249</w:t>
            </w:r>
          </w:p>
        </w:tc>
        <w:tc>
          <w:tcPr>
            <w:tcW w:w="12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(402)</w:t>
            </w: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4"/>
              </w:rPr>
              <w:t>(4%)</w:t>
            </w:r>
          </w:p>
        </w:tc>
        <w:tc>
          <w:tcPr>
            <w:tcW w:w="1320" w:type="dxa"/>
            <w:vAlign w:val="bottom"/>
            <w:gridSpan w:val="5"/>
          </w:tcPr>
          <w:p>
            <w:pPr>
              <w:jc w:val="right"/>
              <w:ind w:right="240"/>
              <w:spacing w:after="0"/>
              <w:rPr>
                <w:sz w:val="20"/>
                <w:szCs w:val="20"/>
                <w:color w:val="auto"/>
              </w:rPr>
            </w:pPr>
            <w:r>
              <w:rPr>
                <w:rFonts w:ascii="Arial" w:cs="Arial" w:eastAsia="Arial" w:hAnsi="Arial"/>
                <w:sz w:val="18"/>
                <w:szCs w:val="18"/>
                <w:color w:val="auto"/>
              </w:rPr>
              <w:t>25,928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25,421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507</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962</w:t>
            </w:r>
          </w:p>
        </w:tc>
        <w:tc>
          <w:tcPr>
            <w:tcW w:w="24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0%</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2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2,617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17,999</w:t>
            </w:r>
          </w:p>
        </w:tc>
        <w:tc>
          <w:tcPr>
            <w:tcW w:w="26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16,775</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1,224</w:t>
            </w:r>
          </w:p>
        </w:tc>
        <w:tc>
          <w:tcPr>
            <w:tcW w:w="400" w:type="dxa"/>
            <w:vAlign w:val="bottom"/>
          </w:tcPr>
          <w:p>
            <w:pPr>
              <w:spacing w:after="0"/>
              <w:rPr>
                <w:sz w:val="19"/>
                <w:szCs w:val="19"/>
                <w:color w:val="auto"/>
              </w:rPr>
            </w:pPr>
          </w:p>
        </w:tc>
        <w:tc>
          <w:tcPr>
            <w:tcW w:w="7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7%</w:t>
            </w:r>
          </w:p>
        </w:tc>
        <w:tc>
          <w:tcPr>
            <w:tcW w:w="400" w:type="dxa"/>
            <w:vAlign w:val="bottom"/>
            <w:gridSpan w:val="2"/>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52,231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5,794</w:t>
            </w:r>
          </w:p>
        </w:tc>
        <w:tc>
          <w:tcPr>
            <w:tcW w:w="440" w:type="dxa"/>
            <w:vAlign w:val="bottom"/>
          </w:tcPr>
          <w:p>
            <w:pPr>
              <w:spacing w:after="0"/>
              <w:rPr>
                <w:sz w:val="19"/>
                <w:szCs w:val="19"/>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(4,857)</w:t>
            </w: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(4,186)</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(671)</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16%</w:t>
            </w:r>
          </w:p>
        </w:tc>
        <w:tc>
          <w:tcPr>
            <w:tcW w:w="132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(14,054)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(12,114)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(1,940)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Eliminations and 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1320" w:type="dxa"/>
            <w:vAlign w:val="bottom"/>
            <w:gridSpan w:val="5"/>
          </w:tcPr>
          <w:p>
            <w:pPr>
              <w:jc w:val="right"/>
              <w:ind w:right="180"/>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(471)</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13,130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12,589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541</w:t>
            </w:r>
          </w:p>
        </w:tc>
        <w:tc>
          <w:tcPr>
            <w:tcW w:w="7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4%</w:t>
            </w:r>
          </w:p>
        </w:tc>
        <w:tc>
          <w:tcPr>
            <w:tcW w:w="132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$ 37,706</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34,323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3,383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77" w:lineRule="exact"/>
        <w:rPr>
          <w:sz w:val="20"/>
          <w:szCs w:val="20"/>
          <w:color w:val="auto"/>
        </w:rPr>
      </w:pPr>
    </w:p>
    <w:p>
      <w:pPr>
        <w:ind w:left="460" w:right="360" w:hanging="452"/>
        <w:spacing w:after="0" w:line="297"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discussed in the Notes to the Unaudited Consolidated Financial Statements, we adopted the provisions of Statement of Financial Accounting Standards (“SFAS”) No. 123(R), “Share-Based Payment,” (“SFAS No. 123R”) on January 1, 2006. We elected to adopt the modified retrospective application method as provided by SFAS No. 123R and, accordingly, financial statement amounts for the prior periods presented in this Form 10-Q have been adjusted to reflect the fair value method of expensing prescribed by SFAS No. 123R. See Note 1 — General, Note 2 — Significant Accounting Policies and Practices and Note 7 — Stock Plans to the Unaudited Consolidated Financial Statements for further discussion.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40"/>
        <w:spacing w:after="0" w:line="378" w:lineRule="auto"/>
        <w:rPr>
          <w:sz w:val="20"/>
          <w:szCs w:val="20"/>
          <w:color w:val="auto"/>
        </w:rPr>
      </w:pPr>
      <w:r>
        <w:rPr>
          <w:rFonts w:ascii="Arial" w:cs="Arial" w:eastAsia="Arial" w:hAnsi="Arial"/>
          <w:sz w:val="18"/>
          <w:szCs w:val="18"/>
          <w:b w:val="1"/>
          <w:bCs w:val="1"/>
          <w:color w:val="auto"/>
        </w:rPr>
        <w:t>COMPARISON OF OPERATING RESULTS FOR THE THREE- AND NINE-MONTH PERIODS ENDED SEPTEMBER 30, 2006 AND 2005 EFT PROCESSING SEGMENT</w:t>
      </w:r>
    </w:p>
    <w:p>
      <w:pPr>
        <w:ind w:right="44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2006 and 2005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2"/>
              </w:rPr>
              <w:t>Results for the Three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Results for the Nine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ind w:left="275"/>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33,212</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26,315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6,897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95,498</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76,245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19,253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14,281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10,875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3,406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40,298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32,465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7,833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4,726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4,166</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560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14,023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12,038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1,985</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2,770</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2,496</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6,251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2,108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3,245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2,212</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1,033</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47%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9,208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7,092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2,116</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25,022</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19,749</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5,273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71,888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57,846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14,042</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8,190</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6,566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1,624</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23,610</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18,399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5,211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119.1</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26%</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98"/>
              </w:rPr>
              <w:t>ATMs as of September 30</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8,491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6,841</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1,650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6,841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1,650</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6,764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1,405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revenue for the nine months ended September 30, 2006 increased when compared to the same period in 2005 primarily due to increases in the number of ATMs operated and, for owned ATMs, the number of transactions processed. Additionally, 2006 results include the results of Instreamline and Europlanet. Instreamline, acquired in October 2005, provides credit card and POS outsourcing services and transaction gateway switching services in Greece and the Balkan region. Our ownership in Europlanet was increased through two transactions; one in April 2005, in which we increased our ownership from 36% to 66%; and one in December 2005, in which we acquired the final 34% ownership. We began consolidating Europlanet after acquiring a controlling interest in April 2005. Europlanet provides debit card processing services and manages a network of ATMs and POS terminals in Serbia.</w:t>
      </w:r>
    </w:p>
    <w:p>
      <w:pPr>
        <w:spacing w:after="0" w:line="57"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Revenue per average ATM was $3,977 for the third quarter 2006 and $12,185 for the nine months ended September 30, 2006, compared to $3,891 for the third quarter 2005 and $11,854 for the nine months ended September 30, 2005. Revenue per transaction was $0.28 for both the third quarter 2006 and nine months ended September 30, 2006, compared to $0.28 for the third quarter 2005 and $0.29 for the and nine months ended September 30, 2005. The slight decrease in revenue per transaction is mainly the result of operating increasing numbers of ATMs under outsourcing agreements. Under outsourcing agreements, we primarily earn revenue based on fixed recurring monthly management fee, with less dependence on transaction-based fees because incremental transactions have little impact on the fixed or variable costs of managing ATMs. Therefore, an overall increase in the number of transactions processed on ATMs that are managed under outsourcing agreements generally does not generate commensurate increases in revenues. We believe this shift from a largely proprietary, Euronet-owned ATM network to operating ATMs under outsourcing arrangements has provided, and will continue to provide, higher marginal returns on investment. While expansion of our network of owned ATMs is not one of our strategic initiatives, if opportunities were available to us, we would consider increasing future capital expenditures to expand this network in new or existing markets.</w:t>
      </w:r>
    </w:p>
    <w:p>
      <w:pPr>
        <w:spacing w:after="0" w:line="6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Of total segment revenue for the nine months ended September 30, 2006, 26% was from ATMs we owned and 74% was from outsourcing services, compared to 31% and 69%, respectively, for the nine months ended September 30,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increase in direct operating cost for the nine months ended September 30, 2006, compared to the nine months ended September 30, 2005, is attributed to the increase in the number of ATMs under operation. Direct operating costs as a percentage of revenues was relatively flat at 42% for the nine months ended September 30, 2006, compared to 43% for the nine months ended September 30,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Gross margin, which is revenue less direct operating costs, increased to $18.9 million for the third quarter 2006 and $55.2 million for the nine months ended September 30, 2006, from $15.4 million for the third quarter 2005 and $43.8 million for the nine months ended September 30, 2005 due to the increases in revenues described above. Of total segment gross margin for the nine months ended September 30, 2006, approximately 22% was from ATMs we owned and 78% was from outsourcing services, compared to 28% and 72%, respectively, for the nine months ended September 30, 2005.</w:t>
      </w:r>
    </w:p>
    <w:p>
      <w:pPr>
        <w:spacing w:after="0" w:line="6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Gross margin per average ATM was $7,043 for the nine months ended September 30, 2006, compared to $6,806 for the nine months ended September 30, 2005. The slight increase in gross margin per average ATM is largely the result of increasing transactions for owned ATMs and related fees from the installed ATM base, together with the leveraged effect of adding additional ATM outsourcing revenues and profits to a direct cost structure that is more fixed than variable with transactional volume. Gross margin per transaction was $0.16 for both the third quarter 2006 and nine months ended September 30, 2006, compared to $0.16 for the third quarter 2005 and $0.17 for the nine months ended September 30, 2005.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increase in salaries and benefits for the third quarter 2006 and nine months ended September 30, 2006, compared to the third quarter 2005 and nine months ended September 30, 2005 is primarily due to the acquisition of Instreamline and Europlanet, staffing costs to expand in emerging markets such as India, China and new European markets, and general merit increases awarded to employees. Certain staffing increases were also necessary due to the larger number of ATMs under operation and transactions processed. These expenses as a percentage of revenue, however, continued to trend downward, decreasing to 14% for the third quarter 2006 and 15% for the nine months ended September 30, 2006, compared to 16% for both the third quarter 2005 and nine months ended September 30, 2005. This decrease as a percentage of revenue reflects increased leverage and scalability in our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Similar to the increase in salaries and benefits, the increase in selling, general and administrative expenses for the third quarter 2006 and nine months ended September 30, 2006, compared to the third quarter 2005 and nine months ended September 30, 2005 is also due primarily to the acquisitions of Instreamline and Europlanet and costs incurred to expand in emerging markets such as India, China and new European markets. As a percentage of revenue, these costs were 8% of revenue for the third quarter 2006 and 9% for the nine months ended September 30, 2006, compared to 9% of revenue for the third quarter 2005 and 8% for the nine months ended September 30, 2005. Offsetting these costs for the nine months ended September 30, 2005 was $0.5 million for an insurance recovery. This insurance recovery is related to a loss recorded in the fourth quarter 2003 on certain ATM disbursements resulting from a card association’s change in their data exchange format. Adjusting for this recovery, selling, general and administrative expenses as a percentage of revenue for the nine months ended September 30, 2005 would have also been 9%.</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increase in depreciation and amortization expense for the third quarter 2006 and nine months ended September 30, 2006, compared to the same periods in 2005 is due primarily to depreciation and intangible amortization related to the acquisitions of Instreamline and, to a lesser extent, Europlanet, as well as depreciation on additional ATMs under capital lease arrangements related to outsourcing agreements in India. As a percentage of revenue, these expenses were 10% of revenue for both the third quarter 2006 and nine months ended September 30, 2006, compared to 8% of revenue for the third quarter 2005 and 9% for the nine months ended September 30, 2005. Approximately $0.3 million and $0.9 million of depreciation and amortization for the third quarter 2006 and nine months ended September 30, 2006, respectively, represents amortization of acquired intangible assets related to the acquisitions of Instreamline and Europlanet.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increase in operating income for the segment is generally the result of increased revenue and the related gross margins from new ATM outsourcing and network participation agreements and the impact of the acquisitions of Instreamline and Europlanet, combined with leveraging certain management cost structures. Operating income as a percentage of revenue was 25% for both the third quarter 2006 and nine months ended September 30, 2006, compared to 25% for the third quarter and 24% for the nine months ended September 30, 2005.</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Operating income per transaction was unchanged at $0.07 for all periods. Operating income per average ATM was $981 for the third quarter 2006 and $3,013 for the nine months ended September 30, 2006, compared to $971 for the third quarter and $2,861 for the nine months ended September 30, 2005. The continuing increase in operating income per ATM is due to increased leverage and scalability 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markets, as well as the continuing migration toward operating ATMs under outsourcing agreements rather than ownership arrangements. The increase is also due to the results of Instreamline and Europlanet, which have substantial non-ATM card-processing operations. Partially offsetting these increases, operating income includes losses related to our 75% owned joint venture in China of $1.0 million for the nine months ended September 30, 2006, compared to a loss of $0.7 million for the nine months ended September 30, 2005. We expect to generate total operating losses in China for 2006 of approximately $1.5 million to $2.0 million, compared to a loss of $1.2 million in for the full year 2005, as we continue to focus on expansion in this market.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2006 and 2005 for our Prepaid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Results for the Three</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2"/>
              </w:rPr>
              <w:t>Results for the Nine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6"/>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20" w:type="dxa"/>
            <w:vAlign w:val="bottom"/>
          </w:tcPr>
          <w:p>
            <w:pPr>
              <w:spacing w:after="0"/>
              <w:rPr>
                <w:sz w:val="12"/>
                <w:szCs w:val="12"/>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rPr>
              <w:t>Increase</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vMerge w:val="restart"/>
          </w:tcPr>
          <w:p>
            <w:pPr>
              <w:ind w:left="80"/>
              <w:spacing w:after="0"/>
              <w:rPr>
                <w:sz w:val="20"/>
                <w:szCs w:val="20"/>
                <w:color w:val="auto"/>
              </w:rPr>
            </w:pPr>
            <w:r>
              <w:rPr>
                <w:rFonts w:ascii="Arial" w:cs="Arial" w:eastAsia="Arial" w:hAnsi="Arial"/>
                <w:sz w:val="14"/>
                <w:szCs w:val="14"/>
                <w:b w:val="1"/>
                <w:bCs w:val="1"/>
                <w:color w:val="auto"/>
              </w:rPr>
              <w:t>Increase</w:t>
            </w:r>
          </w:p>
        </w:tc>
        <w:tc>
          <w:tcPr>
            <w:tcW w:w="80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116"/>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121,114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107,669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13,445</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346,260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299,530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46,730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97,814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84,701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13,113</w:t>
            </w: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278,071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237,033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41,038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6,119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6,240</w:t>
            </w: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(121)</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18,608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17,173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1,435</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4,793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4,226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13%</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13,176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11,451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1,725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3,541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288</w:t>
            </w: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10,477</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8,452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2,025</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112,267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98,420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13,847</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320,332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274,109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46,223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8,847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9,249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(402)</w:t>
            </w:r>
          </w:p>
        </w:tc>
        <w:tc>
          <w:tcPr>
            <w:tcW w:w="780" w:type="dxa"/>
            <w:vAlign w:val="bottom"/>
          </w:tcPr>
          <w:p>
            <w:pPr>
              <w:jc w:val="center"/>
              <w:spacing w:after="0"/>
              <w:rPr>
                <w:sz w:val="20"/>
                <w:szCs w:val="20"/>
                <w:color w:val="auto"/>
              </w:rPr>
            </w:pPr>
            <w:r>
              <w:rPr>
                <w:rFonts w:ascii="Arial" w:cs="Arial" w:eastAsia="Arial" w:hAnsi="Arial"/>
                <w:sz w:val="18"/>
                <w:szCs w:val="18"/>
                <w:color w:val="auto"/>
                <w:w w:val="94"/>
              </w:rPr>
              <w:t>(4%)</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25,928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25,421</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507</w:t>
            </w: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Transactions processed</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(millions)</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121.9</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94.6</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27.3</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29%</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326.1</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78.1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right="260"/>
        <w:spacing w:after="0" w:line="284" w:lineRule="auto"/>
        <w:rPr>
          <w:sz w:val="20"/>
          <w:szCs w:val="20"/>
          <w:color w:val="auto"/>
        </w:rPr>
      </w:pPr>
      <w:r>
        <w:rPr>
          <w:rFonts w:ascii="Arial" w:cs="Arial" w:eastAsia="Arial" w:hAnsi="Arial"/>
          <w:sz w:val="16"/>
          <w:szCs w:val="16"/>
          <w:color w:val="auto"/>
        </w:rPr>
        <w:t>The increase in revenues for the third quarter 2006 and nine months ended September 30, 2006, compared to the third quarter 2005 and nine months ended September 30, 2005 was generally attributable to the increase in total transactions processed, and for the nine months ended September 30, 2006 due to the full year effects of 2005 acquisitions. Transaction growth also reflects growth from existing operations and from our subsidiaries subsequent to the date of acquisition. Revenue growth was offset by reduced revenue in Spain that resulted from the May 2006 expiration of preferential commission arrangements with a Spanish mobile operator that were not renewed. When we acquired our Spanish prepaid subsidiaries, we entered into agreements through May 2006 with a major mobile operator under which the subsidiaries received a preferred, exclusive distributor commission on sales of prepaid mobile airtime.</w:t>
      </w:r>
    </w:p>
    <w:p>
      <w:pPr>
        <w:spacing w:after="0" w:line="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Additionally, in mature markets, such as the U.K. and Australia, our revenue growth has slowed substantially or decreased because conversion from scratch cards to electronic top-up is substantially complete and certain mobile operators and retailers are driving competitive reductions in pricing and margins. We expect most of our revenue growth for 2006 and beyond to be derived from developing markets or markets in which there is organic growth in the prepaid sector overall, from continued conversion from scratch cards to electronic top-up, from additional products sold over the base of prepaid processing terminals and, possibly, from acquisitions.</w:t>
      </w:r>
    </w:p>
    <w:p>
      <w:pPr>
        <w:spacing w:after="0" w:line="83"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Revenue per transaction was $0.99 for the third quarter 2006 and $1.06 for the nine months ended September 30, 2006, compared to $1.14 for the third quarter 2005 and $1.21 for the nine months ended September 30, 2005. The primary reason for this decrease in revenue per transaction is the growth in revenues and transactions recorded by our ATX subsidiary, which was acquired at the end of the first quarter 2005. ATX provides only transaction processing services without direct costs and other operating costs generally associated with the distribution of prepaid products and the related installation and management of terminals; therefore, the revenue we recognize from these transactions is a fraction of that recognized on average transactions, but with very low cost. Transaction volumes at ATX have increased by approximately 300% for both the third quarter 2006 and nine months ended September 30, 2006, compared to the same periods in 2005. Also contributing to the decrease in revenue per transaction was the expiration of preferential commission arrangements in Spain discussed above also contributed to the decrease in revenue per transaction. Partially offsetting the decreases described above for both the third quarter and nine months ended September 30, 2006, compared to the same periods during 2005, were the growth in both volumes and revenues related to our US Prepaid subsidiary, PaySpot, Inc. (“Payspot”), where revenue per transaction is generally higher than most of our other Prepaid Processing subsidiaries.</w:t>
      </w:r>
    </w:p>
    <w:p>
      <w:pPr>
        <w:sectPr>
          <w:pgSz w:w="11900" w:h="16838" w:orient="portrait"/>
          <w:cols w:equalWidth="0" w:num="1">
            <w:col w:w="11420"/>
          </w:cols>
          <w:pgMar w:left="240" w:top="419"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Direct operating costs in the Prepaid Processing Segment include the commissions we pay to retail merchants for the distribution and sale of prepaid mobile airtime and other prepaid products, as well as communication and paper expenses required to operate POS terminals. Because of their nature, these expenditures generally fluctuate directly with revenues and processed transactions. The increase in direct operating costs is generally attributable to the increase in total transactions processed over the prior year. Direct costs as a percentage of revenue are slightly higher in our mature markets, such as the U.K. and Spain. These higher costs have been partially offset during the third quarter and nine months ended September 30, 2006 by lower direct costs as a percentage of revenue in other markets and by ATX. As discussed above, ATX is a transaction processor, with very few direct costs and, accordingly, a high gross margin percentage.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Gross margin, which represents revenue less direct costs, was $23.3 million for the third quarter 2006 and $68.2 million for the nine months ended September 30, 2006, compared to $23.0 million for the third quarter 2005 and $62.5 million for the nine months ended September 30, 2005. Gross margin as a percentage of revenue was 19% for the third quarter 2006 and 20% for the nine months ended September 30, 2006, compared to 21% for both the third quarter 2005 and nine months ended September 30, 2005. Gross margin per transaction was $0.19 for the third quarter 2006 and $0.21 for the nine months ended September 30, 2006, compared to $0.24 per transaction for the third quarter 2005 and $0.25 for the nine months ended September 30, 2005. The majority of the reduction in gross margin per transaction is due to the growth of revenues and transactions at our ATX subsidiary and the expiration of preferential commission arrangements in Spain discussed above. Although we had the right to pass through our commission reduction in Spain to the retailers under our contracts with them by paying a lower distribution commission, we chose to pass through only a portion of the reduction to guard against the loss of retailers. Also during the nine months ended September 30, 2006, we commenced distribution of additional products and prepaid airtime from the two other mobile operators in Spain. As a result of the expiration of preferential commission arrangements in Spain, partially offset by the distribution of products from the other mobile operators in Spain, gross margin for the third quarter 2006 was approximately $1.7 million lower than the third quarter 2005. The impact of these developments in Spain on gross margin for the nine-months ended September 30, 2006 compared to the nine-months ended September 30, 2005 was not meaningful because of the completion of a significant acquisition in Spain during March 2005. Additional decreases in gross margin per transaction were experienced across certain of our other countries and were partially offset by increased transaction volumes in markets with higher margins, such as Australia, New Zealand and the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increase in salaries and benefits for the nine months ended September 30, 2006, compared to the same period in 2005 is the result of increased investments in Euronet Payments &amp; Remittance, our money transfer and bill payment subsidiary established during the second quarter 2005, and the full year effects of 2005 acquisitions. Salaries and benefits expense for the nine months ended September 30, 2006 includes an increase of approximately $1.6 million, or 0.5% of revenues, incurred in connection with Euronet Payments &amp; Remittance. As a percentage of revenue, salaries and benefits have decreased slightly to 5.4% for the nine months ended September 30, 2006, from 5.7% for the nine months ended September 30, 2005. The decrease in salaries and benefits as a percentage of revenue reflects our growing leverage and scalability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increase in selling, general and administrative expenses generally is the result of increased investments in Euronet Payments &amp; Remittance and the full year effects of 2005 acquisitions. Selling, general and administrative expenses for the nine months ended September 30, 2006 includes an increase of approximately $1.1 million incurred in connection with Euronet Payments &amp; Remittance. As a percentage of revenue these selling, general and administrative expenses have remained relatively flat at 4.0% of revenue and 3.8% of revenue for the third quarter 2006 and 2005, respectively, and were 3.8% of revenue for both the nine months ended September 30, 2006 and 2005.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Depreciation and amortization expense primarily represents amortization of acquired intangibles and the depreciation of POS terminals we install in retail stores. The increase for the nine-months ended September 30, 2006, compared to the same period in 2005, is due to the full year effects of amortization of intangible assets recorded in connection with 2005 acquisitions. As a percentage of revenues, depreciation and amortization was 2.9% for the third quarter 2006 and 3.0% for the nine months ended September 30, 2006, compared to 3.0% for the third quarter 2005 and 2.8% for the nine months ended September 30, 2005. A portion of this increase in depreciation and amortization as a percentage of revenue is due to higher depreciation and amortization expense as a percentage of revenue related to our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subsidiaries in the U.S., Spain and Poland, some of which were acquired or established during 2005, because each of these entities owns a majority of its POS terminals.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Operating income for the third quarter 2006 decreased by 4%, compared to the third quarter 2005, and increased by 2% for the nine months ended September 30, 2006 compared to the same period in 2005. Operating income for the third quarter 2006 and nine months ended September 30, 2006 includes increased operating losses of $0.5 million and $1.5 million, respectively, compared to the same periods in 2005, related to Euronet Payments &amp; Remittance. Also, as a result of the developments in Spain discussed above, operating income for the third quarter 2006 was approximately $1.7 million lower than the third quarter 2005. Exclusive of losses related to Euronet Payments &amp; Remittance and Spain, the improvement in operating income for the third quarter 2006 and nine months ended September 30, 2006, over the same periods in 2005 was due to the growth in revenues and transactions processed, contributions from our 2005 acquisitions and increased leverage and scalability in our markets.</w:t>
      </w:r>
    </w:p>
    <w:p>
      <w:pPr>
        <w:spacing w:after="0" w:line="70"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Operating income as a percentage of revenues decreased to 7.3% for the third quarter 2006 and 7.5% for the nine months ended September 30, 2006, from 8.6% for the third quarter 2005 and 8.5% for the nine months ended September 30, 2005. Operating income per transaction decreased to $0.07 for the third quarter 2006 and $0.08 for the nine months ended September 30, 2006, from $0.10 for both the third quarter 2005 and nine months ended September 30, 2005. As discussed above, these decreases in operating income as a percentage of revenue and per transaction are the result of losses incurred by Euronet Payments &amp; Remittance, the developments in Spain, the growth in revenues and transactions associated with ATX, as it relates to operating income per transaction, and gross margin declines across certain of our other countries. These decreases were partially offset by increased transactions in markets with higher operating margins, such as Australia, New Zealand and the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 SEGMENT</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2006 and 2005 for the Software Solutions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2"/>
              </w:rPr>
              <w:t>Results for the Three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Results for the Nine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left="277"/>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vMerge w:val="restart"/>
          </w:tcPr>
          <w:p>
            <w:pPr>
              <w:jc w:val="right"/>
              <w:ind w:right="132"/>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7"/>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vMerge w:val="restart"/>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21,255</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11,292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9,963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88%</w:t>
            </w:r>
          </w:p>
        </w:tc>
        <w:tc>
          <w:tcPr>
            <w:tcW w:w="0" w:type="dxa"/>
            <w:vAlign w:val="bottom"/>
          </w:tcPr>
          <w:p>
            <w:pPr>
              <w:spacing w:after="0"/>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203</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423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4,238</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2,056</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2,182</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12,620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6,335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6,285</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administrative</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1,038</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641%</w:t>
            </w:r>
          </w:p>
        </w:tc>
        <w:tc>
          <w:tcPr>
            <w:tcW w:w="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2,530</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Depreciation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amortization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546</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295</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118%</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1,441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792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649</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82%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2"/>
              </w:rPr>
              <w:t>Total operating expenses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3,705</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139%</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18,562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8,675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9,887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962</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960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2,693</w:t>
            </w:r>
          </w:p>
        </w:tc>
        <w:tc>
          <w:tcPr>
            <w:tcW w:w="220" w:type="dxa"/>
            <w:vAlign w:val="bottom"/>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2,617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4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operating expenses and operating income</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The increases in the Software Segment’s revenues and operating expenses for the third quarter and nine months ended September 30, 2006 is primarily due to the acquisition of Euronet Essentis (“Essentis”) in January 2006. Essentis contributed $3.8 million in revenue and $3.5 million in operating expenses for the third quarter 2006, and $10.5 million in revenue and $9.6 million in operating expenses for the nine months ended September 30, 2006.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sales backlog</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2006, we had a contract backlog of approximately $10.3 million, compared to approximately $4.1 million as of September 30, 2005. Such backlog represents software sales based on signed contracts under which we continue to have performance milestones before the sale will be complete. The increase over prior year is primarily due to the inclusion of Essentis contract backlog. We recognize revenue on a percentage of completion method, based on certain milestone conditions, for our software solutions. As a result, we have not recognized all the revenue associated with these sales contracts. We cannot give assurances that the milestones under the contracts will be completed within one year or that we will be able to recognize the related revenue within the one-year period.</w:t>
      </w:r>
    </w:p>
    <w:p>
      <w:pPr>
        <w:sectPr>
          <w:pgSz w:w="11900" w:h="16838" w:orient="portrait"/>
          <w:cols w:equalWidth="0" w:num="1">
            <w:col w:w="11420"/>
          </w:cols>
          <w:pgMar w:left="240" w:top="419" w:right="239" w:bottom="144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2006 and 2005 for Corporate Services: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2"/>
              </w:rPr>
              <w:t>Results for the Three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2"/>
              </w:rPr>
              <w:t>Results for the Nine</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3"/>
          </w:tcPr>
          <w:p>
            <w:pPr>
              <w:jc w:val="center"/>
              <w:ind w:left="219"/>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80" w:type="dxa"/>
            <w:vAlign w:val="bottom"/>
            <w:gridSpan w:val="6"/>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gridSpan w:val="3"/>
            <w:vMerge w:val="restart"/>
          </w:tcPr>
          <w:p>
            <w:pPr>
              <w:jc w:val="right"/>
              <w:ind w:right="158"/>
              <w:spacing w:after="0"/>
              <w:rPr>
                <w:sz w:val="20"/>
                <w:szCs w:val="20"/>
                <w:color w:val="auto"/>
              </w:rPr>
            </w:pPr>
            <w:r>
              <w:rPr>
                <w:rFonts w:ascii="Arial" w:cs="Arial" w:eastAsia="Arial" w:hAnsi="Arial"/>
                <w:sz w:val="14"/>
                <w:szCs w:val="14"/>
                <w:b w:val="1"/>
                <w:bCs w:val="1"/>
                <w:color w:val="auto"/>
                <w:w w:val="96"/>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3"/>
          </w:tcPr>
          <w:p>
            <w:pPr>
              <w:jc w:val="center"/>
              <w:ind w:left="239"/>
              <w:spacing w:after="0"/>
              <w:rPr>
                <w:sz w:val="20"/>
                <w:szCs w:val="20"/>
                <w:color w:val="auto"/>
              </w:rPr>
            </w:pPr>
            <w:r>
              <w:rPr>
                <w:rFonts w:ascii="Arial" w:cs="Arial" w:eastAsia="Arial" w:hAnsi="Arial"/>
                <w:sz w:val="14"/>
                <w:szCs w:val="14"/>
                <w:b w:val="1"/>
                <w:bCs w:val="1"/>
                <w:color w:val="auto"/>
                <w:w w:val="91"/>
              </w:rPr>
              <w:t>September 30,</w:t>
            </w: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right"/>
              <w:ind w:right="52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1180" w:type="dxa"/>
            <w:vAlign w:val="bottom"/>
            <w:gridSpan w:val="3"/>
            <w:vMerge w:val="restart"/>
          </w:tcPr>
          <w:p>
            <w:pPr>
              <w:jc w:val="right"/>
              <w:ind w:right="50"/>
              <w:spacing w:after="0"/>
              <w:rPr>
                <w:sz w:val="20"/>
                <w:szCs w:val="20"/>
                <w:color w:val="auto"/>
              </w:rPr>
            </w:pPr>
            <w:r>
              <w:rPr>
                <w:rFonts w:ascii="Arial" w:cs="Arial" w:eastAsia="Arial" w:hAnsi="Arial"/>
                <w:sz w:val="14"/>
                <w:szCs w:val="14"/>
                <w:b w:val="1"/>
                <w:bCs w:val="1"/>
                <w:color w:val="auto"/>
              </w:rPr>
              <w:t>2005(1)</w:t>
            </w:r>
          </w:p>
        </w:tc>
        <w:tc>
          <w:tcPr>
            <w:tcW w:w="46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9"/>
              <w:spacing w:after="0"/>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1"/>
              </w:rPr>
              <w:t>2005(1)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3,593</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2,624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969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37%</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10,913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7,723</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3,190</w:t>
            </w:r>
          </w:p>
        </w:tc>
        <w:tc>
          <w:tcPr>
            <w:tcW w:w="8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1,208</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1,505</w:t>
            </w: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(297)</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(20%)</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4,284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(1,287)</w:t>
            </w:r>
          </w:p>
        </w:tc>
        <w:tc>
          <w:tcPr>
            <w:tcW w:w="800" w:type="dxa"/>
            <w:vAlign w:val="bottom"/>
          </w:tcPr>
          <w:p>
            <w:pPr>
              <w:jc w:val="right"/>
              <w:ind w:right="9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8"/>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4,857</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4,186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671</w:t>
            </w: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14,054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12,114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1,940</w:t>
            </w:r>
          </w:p>
        </w:tc>
        <w:tc>
          <w:tcPr>
            <w:tcW w:w="800" w:type="dxa"/>
            <w:vAlign w:val="bottom"/>
          </w:tcPr>
          <w:p>
            <w:pPr>
              <w:jc w:val="right"/>
              <w:ind w:right="158"/>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discussed previously, in connection with the adoption of SFAS No. 123R, the Company adjusted its previously reported results to include the impact of share-based compensation expense. As a result of the adjustment, an additional $1.3 million and $3.8 million in expense related to stock options was included in salaries and benefits for the third quarter and nine months ended September 30, 2005,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The increase in salaries and benefits expense for Corporate Services is primarily attributable to additional expense recorded for share-based compensation in the third quarter and nine months ended September 30, 2006 compared to the third quarter and nine months ended September 30, 2005. Share-based compensation expense increased to $2.0 million for the third quarter and $5.8 million for the nine months ended September 30, 2006, compared to</w:t>
      </w:r>
    </w:p>
    <w:p>
      <w:pPr>
        <w:ind w:right="60"/>
        <w:spacing w:after="0" w:line="268" w:lineRule="auto"/>
        <w:rPr>
          <w:sz w:val="20"/>
          <w:szCs w:val="20"/>
          <w:color w:val="auto"/>
        </w:rPr>
      </w:pPr>
      <w:r>
        <w:rPr>
          <w:rFonts w:ascii="Arial" w:cs="Arial" w:eastAsia="Arial" w:hAnsi="Arial"/>
          <w:sz w:val="17"/>
          <w:szCs w:val="17"/>
          <w:color w:val="auto"/>
        </w:rPr>
        <w:t>$1.3 million for the third quarter 2006 and $4.0 million for the nine months ended September 30, 2005. Share-based compensation expense for 2006 is comprised of $3.0 million related to the unvested portion of stock options granted prior to 2005 and $2.8 million for restricted stock awards granted primarily during 2005 and 2006. Share-based compensation expense for 2005 is mainly the result of the adjustment for stock option expense discussed above. The increase of $1.8 million in share-based compensation expense for the nine months ended September 30, 2006 compared to the nine months ended September 30, 2005 is due mainly to: i) $0.8 million in expense due to the issuance of performance-based restricted stock awards that require expense to be recognized over a “graded” attribution schedule, rather than a “straight-line” attribution schedule, resulting in more expense in the early years of an award; and ii) $1.0 million in increased expense due to additional performance-based awards to certain executives during the third quarter 2006 and additional awards to employees resulting overall Company growth, including acquired businesses. The remaining increase in salaries and benefits expense is due to incremental expense from overall Company growth.</w:t>
      </w:r>
    </w:p>
    <w:p>
      <w:pPr>
        <w:spacing w:after="0" w:line="74"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The decrease in selling, general and administrative expenses for the third quarter and nine months ended September 30, 2006, compared to the third quarter and nine months ended September 30, 2005 is due to lower professional fees and other expenses associated with acquisition analysis during the third quarter and nine months ended September 30, 2006 compared to the third quarter and nine months ended September 30, 2005.</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center"/>
              <w:ind w:right="620"/>
              <w:spacing w:after="0"/>
              <w:rPr>
                <w:sz w:val="20"/>
                <w:szCs w:val="20"/>
                <w:color w:val="auto"/>
              </w:rPr>
            </w:pPr>
            <w:r>
              <w:rPr>
                <w:rFonts w:ascii="Arial" w:cs="Arial" w:eastAsia="Arial" w:hAnsi="Arial"/>
                <w:sz w:val="14"/>
                <w:szCs w:val="14"/>
                <w:b w:val="1"/>
                <w:bCs w:val="1"/>
                <w:color w:val="auto"/>
                <w:w w:val="92"/>
              </w:rPr>
              <w:t>Results for the Three</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92"/>
              </w:rPr>
              <w:t>Results for the Nine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0" w:type="dxa"/>
            <w:vAlign w:val="bottom"/>
            <w:gridSpan w:val="6"/>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2"/>
                <w:szCs w:val="12"/>
                <w:color w:val="auto"/>
              </w:rPr>
            </w:pPr>
          </w:p>
        </w:tc>
        <w:tc>
          <w:tcPr>
            <w:tcW w:w="17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6"/>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91"/>
              </w:rPr>
              <w:t>September 30,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Borders>
              <w:top w:val="single" w:sz="8" w:color="auto"/>
            </w:tcBorders>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8"/>
              </w:rPr>
              <w:t>Increase</w:t>
            </w: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133"/>
              <w:spacing w:after="0"/>
              <w:rPr>
                <w:sz w:val="20"/>
                <w:szCs w:val="20"/>
                <w:color w:val="auto"/>
              </w:rPr>
            </w:pPr>
            <w:r>
              <w:rPr>
                <w:rFonts w:ascii="Arial" w:cs="Arial" w:eastAsia="Arial" w:hAnsi="Arial"/>
                <w:sz w:val="14"/>
                <w:szCs w:val="14"/>
                <w:b w:val="1"/>
                <w:bCs w:val="1"/>
                <w:color w:val="auto"/>
                <w:w w:val="83"/>
              </w:rPr>
              <w:t>2005</w:t>
            </w:r>
          </w:p>
        </w:tc>
        <w:tc>
          <w:tcPr>
            <w:tcW w:w="46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(Decrease)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2,669</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263%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9,791</w:t>
            </w:r>
          </w:p>
        </w:tc>
        <w:tc>
          <w:tcPr>
            <w:tcW w:w="2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6,466</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(3,802)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w w:val="94"/>
              </w:rPr>
              <w:t>(1,695)</w:t>
            </w:r>
          </w:p>
        </w:tc>
        <w:tc>
          <w:tcPr>
            <w:tcW w:w="16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2,107</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124%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(11,055)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(4,900)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6,155</w:t>
            </w: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126%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unconsolidated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(22%)</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906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(351)</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gain (loss), net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1,090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854</w:t>
            </w:r>
          </w:p>
        </w:tc>
        <w:tc>
          <w:tcPr>
            <w:tcW w:w="160" w:type="dxa"/>
            <w:vAlign w:val="bottom"/>
          </w:tcPr>
          <w:p>
            <w:pPr>
              <w:spacing w:after="0"/>
              <w:rPr>
                <w:sz w:val="20"/>
                <w:szCs w:val="20"/>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236</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(6,703)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12,123</w:t>
            </w: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Total other income</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(expense)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1,167</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426</w:t>
            </w:r>
          </w:p>
        </w:tc>
        <w:tc>
          <w:tcPr>
            <w:tcW w:w="16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4,711</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(7,372)</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Interest income for 2006 increased over 2005 mainly as a result of interest earned on the unused proceeds from the $175 million October 2005 convertible debt issuance and cash generated from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Interest expense for 2006 increased over 2005 primarily due to the October 2005 issuance of $175 million in convertible debt. However, due to the relatively low rates of interest we pay on our convertible debt, our weighted average interest rate was approximately 4% for the nine months ended September 30, 2006 and 2005.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foreign exchange gain (loss)</w:t>
      </w:r>
    </w:p>
    <w:p>
      <w:pPr>
        <w:spacing w:after="0" w:line="117"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Assets and liabilities denominated in currencies other than the local currency of each of our subsidiaries give rise to foreign exchange gains and losses. Exchange gains and losses that result from re-measurement of these assets and liabilities are recorded in determining net income. The foreign exchange gain or loss recorded is a result of the impact of fluctuations in foreign exchange rates on the recorded value of these assets and liabilities. We attempt to match local currency receivables and payables, thereby minimizing exposure to foreign currency fluctuations. Throughout the nine months ended September 30, 2006, the U.S. dollar weakened against most European-based currencies, primarily the euro and British pound, as compared to the nine months ended September 30, 2005, during which time the U.S. dollar strengthened against these currencies.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w w:val="93"/>
              </w:rPr>
              <w:t>Results for the Three Months</w:t>
            </w:r>
          </w:p>
        </w:tc>
        <w:tc>
          <w:tcPr>
            <w:tcW w:w="120" w:type="dxa"/>
            <w:vAlign w:val="bottom"/>
          </w:tcPr>
          <w:p>
            <w:pPr>
              <w:spacing w:after="0"/>
              <w:rPr>
                <w:sz w:val="14"/>
                <w:szCs w:val="14"/>
                <w:color w:val="auto"/>
              </w:rPr>
            </w:pPr>
          </w:p>
        </w:tc>
        <w:tc>
          <w:tcPr>
            <w:tcW w:w="20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Results for the Nine Months</w:t>
            </w:r>
          </w:p>
        </w:tc>
        <w:tc>
          <w:tcPr>
            <w:tcW w:w="0" w:type="dxa"/>
            <w:vAlign w:val="bottom"/>
          </w:tcPr>
          <w:p>
            <w:pPr>
              <w:spacing w:after="0"/>
              <w:rPr>
                <w:sz w:val="1"/>
                <w:szCs w:val="1"/>
                <w:color w:val="auto"/>
              </w:rPr>
            </w:pPr>
          </w:p>
        </w:tc>
      </w:tr>
      <w:tr>
        <w:trPr>
          <w:trHeight w:val="171"/>
        </w:trPr>
        <w:tc>
          <w:tcPr>
            <w:tcW w:w="596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Ended September 30,</w:t>
            </w:r>
          </w:p>
        </w:tc>
        <w:tc>
          <w:tcPr>
            <w:tcW w:w="120" w:type="dxa"/>
            <w:vAlign w:val="bottom"/>
          </w:tcPr>
          <w:p>
            <w:pPr>
              <w:spacing w:after="0"/>
              <w:rPr>
                <w:sz w:val="14"/>
                <w:szCs w:val="14"/>
                <w:color w:val="auto"/>
              </w:rPr>
            </w:pPr>
          </w:p>
        </w:tc>
        <w:tc>
          <w:tcPr>
            <w:tcW w:w="202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3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6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14,297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42,417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Minority interest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(182)</w:t>
            </w: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(716)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14,054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12,833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41,701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26,368</w:t>
            </w: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3,638</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3,929</w:t>
            </w: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10,807</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10,416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8,904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30,894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15,138</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14,054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12,833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41,701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26,368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Adjust: Foreign exchange gain (loss), net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854</w:t>
            </w: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5,420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foreign exchange gain (loss), net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12,964</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11,979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36,281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33,071</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tcPr>
          <w:p>
            <w:pPr>
              <w:spacing w:after="0"/>
              <w:rPr>
                <w:sz w:val="20"/>
                <w:szCs w:val="20"/>
                <w:color w:val="auto"/>
              </w:rPr>
            </w:pPr>
            <w:r>
              <w:rPr>
                <w:rFonts w:ascii="Arial" w:cs="Arial" w:eastAsia="Arial" w:hAnsi="Arial"/>
                <w:sz w:val="18"/>
                <w:szCs w:val="18"/>
                <w:color w:val="auto"/>
              </w:rPr>
              <w:t>Effective income tax rate, excluding foreign exchange gain (loss), net</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in a net operating loss position for our U.S. operations and, accordingly have valuation allowances to reserve for net deferred tax assets. Therefore, we do not currently recognize the tax benefit or expense associated with foreign currency gains or losses incurred by our U.S. operations. While we did not record a tax benefit for foreign exchange losses incurred by our U.S. operations during the nine-month period ended September 30, 2005, the effective tax rate for the current year period is comparatively lower because tax expense was not recorded on foreign exchange gains earned by our U.S. operations. This improvement is offset in part by increases in share-based compensation expense incurred for U.S. personnel, for which we are unable to record a tax benefit due to our U.S. net operating loss position.</w:t>
      </w:r>
    </w:p>
    <w:p>
      <w:pPr>
        <w:spacing w:after="0" w:line="85"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decrease in the effective tax rates, excluding foreign currency gains and losses, for the nine months ended September 30, 2006, compared to the nine months ended September 30, 2005 was largely attributable to the increased profitability of individual companies located in lower than average tax rate jurisdictions, particularly Hungary, Poland, Serbia, and Romania.</w:t>
      </w:r>
    </w:p>
    <w:p>
      <w:pPr>
        <w:spacing w:after="0" w:line="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determine income tax expense and remit income taxes based upon enacted tax laws and regulations applicable in each of the taxing jurisdictions where we conduct business. Based on our interpretation of such laws and regulations, and considering the evidence of available facts and circumstances and baseline operating forecasts, we have accrued the estimated tax effects of certain transactions, business ventures, contractual and organizational structures, projected business unit performance, and the estimated future reversal of timing differences. Should a taxing jurisdiction change its laws and regulations or dispute our conclusions, or should management become aware of new facts or other evidence that could alter our conclusions, the resulting impact to our estimates could have a material adverse effect to our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recorded net income of $10.4 million for the third quarter and $30.9 million for the nine months ended September 30, 2006, compared to $8.9 million for the third quarter and $15.1 million for the nine months ended September 30, 2005. As more fully discussed above, the increase of $15.8 million for the nine months ended September 30, 2006 over the nine months ended September 30, 2005 was primarily the result of improvement in the amount of foreign exchange gain/loss recorded of $12.1 million, an increase in operating income of $3.4 million, a decrease in net interest expense of $0.3 million and a decrease in income tax expense of $0.4 million. These improvements in net income were partially offset by a decrease in income from unconsolidated affiliates of $0.4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As of September 30, 2006, we had working capital, which is the difference between total current assets and total current liabilities, of $232.9 million, compared to working capital of $181.6 million as of December 31, 2005. Our ratio of current assets to current liabilities was 1.70 at September 30, 2006, compared to 1.55 as of December 31, 2005. This improvement is primarily due to operating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nine months ended September 30, 2006, without significant investments in acquisitions or purchases of property and equipment. Working capital is also impacted by changes in foreign currency exchange rates as further discussed in Item 3 — Quantitative and Qualitative Disclosures About Market Risk.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flows</w:t>
      </w:r>
    </w:p>
    <w:p>
      <w:pPr>
        <w:spacing w:after="0" w:line="11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flows provided by operating activities increased to $50.6 million for the nine months ended September 30, 2006, compared to $39.3 million for the nine months ended September 30, 2005. The $11.3 million increase from 2005 is due primarily to increases in cash flows from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Cash flows used in investing activities were $20.3 million for the nine months ended September 30, 2006, compared to $111.4 million for the nine months ended September 30, 2005. The decrease in investing activities is primarily related to reduced acquisition activity in 2006. Our investing activities for the nine months ended September 30, 2006 consist of $1.8 million in cash paid related to the acquisition of Essentis, $0.9 million of which represents cash paid in settlement of assumed liabilities, and $0.5 million in dividends to the former owners of Europlanet related to their share of 2005 results. Additionally, cash outflows for purchases of property and equipment and other investing activities totaled $18.0 million. Our investing activities for the nine months ended September 30, 2005 were $99.3 million in aggregate for the acquisition of Telerecarga, Movilcarga, ATX, TelecommUSA and Europlanet, as well as the earn-out payment to the former owners of Transact. Our fixed asset purchases and other investing activities for the nine months ended September 30, 2005 totaled $12.1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flows</w:t>
      </w:r>
    </w:p>
    <w:p>
      <w:pPr>
        <w:spacing w:after="0" w:line="11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Cash flows provided by financing activities were $1.7 million for the nine months ended September 30, 2006, compared to $3.6 million for the nine months ended September 30, 2005. Our financing activities for the nine months ended September 30, 2006 consisted primarily of proceeds from the exercise of stock options and employee share purchases of $12.5 million, mostly offset by payments on capital lease obligations totaling $4.6 million and net repayments on short-term borrowing and revolving credit agreements of $5.9 million. Financing activity for the nine months ended September 30, 2005 include proceeds from the exercise of stock options and employee share purchases of $7.5 million, partially offset by net repayments of obligations under short-term borrowings and capital leases totaling $2.9 million. The increase in proceeds from the exercise of stock options during the nine months ended September 30, 2006 compared to the nine months ended September 30, 2005 was due to the exercise of a number of stock options during the first quarter 2006 that were nearing the end of their ten year expiration, combined with the impact of our Common Stock trading at or near historical highs during the first quarter 2006.</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u w:val="single" w:color="auto"/>
          <w:color w:val="auto"/>
        </w:rPr>
        <w:t>Convertible debt</w:t>
      </w:r>
      <w:r>
        <w:rPr>
          <w:rFonts w:ascii="Arial" w:cs="Arial" w:eastAsia="Arial" w:hAnsi="Arial"/>
          <w:sz w:val="16"/>
          <w:szCs w:val="16"/>
          <w:color w:val="auto"/>
        </w:rPr>
        <w:t xml:space="preserve"> — We have $315 million in convertible debt, consisting of two issuances. The first issuance represents $140 million in principal amount of 1.625% Convertible Senior Debentures Due 2024 having an interest rate of 1.625% and convertible into a total of 4.2 million shares of Euronet Common Stock. The debentures may not be redeemed for five years from issuance but are redeemable by the Company at any time thereafter at par. Holders of the debentures have the option to require us to purchase their debentures at par on December 15, 2009, 2014 and 2019, and upon a change in control of the Company. The second issuance represents $175 million in principal amount of 3.50% Convertible Debentures Due 2025 having an annual interest rate of</w:t>
      </w:r>
    </w:p>
    <w:p>
      <w:pPr>
        <w:spacing w:after="0" w:line="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3.50% and convertible into a total of 4.3 million shares of Euronet Common Stock. The debentures may not be redeemed for seven years but are redeemable at par at any time thereafter. Holders of the debentures have the option to require us to purchase their debentures at par on October 15, 2012, 2015 and 2020, or upon a change in control of the Company. When due, these debentures can be settled in cash or Euronet Common Stock, at our option, at predetermined conversion rates.</w:t>
      </w:r>
    </w:p>
    <w:p>
      <w:pPr>
        <w:spacing w:after="0" w:line="82" w:lineRule="exact"/>
        <w:rPr>
          <w:sz w:val="20"/>
          <w:szCs w:val="20"/>
          <w:color w:val="auto"/>
        </w:rPr>
      </w:pPr>
    </w:p>
    <w:p>
      <w:pPr>
        <w:spacing w:after="0" w:line="271" w:lineRule="auto"/>
        <w:rPr>
          <w:sz w:val="20"/>
          <w:szCs w:val="20"/>
          <w:color w:val="auto"/>
        </w:rPr>
      </w:pPr>
      <w:r>
        <w:rPr>
          <w:rFonts w:ascii="Arial" w:cs="Arial" w:eastAsia="Arial" w:hAnsi="Arial"/>
          <w:sz w:val="17"/>
          <w:szCs w:val="17"/>
          <w:u w:val="single" w:color="auto"/>
          <w:color w:val="auto"/>
        </w:rPr>
        <w:t>Revolving credit agreements</w:t>
      </w:r>
      <w:r>
        <w:rPr>
          <w:rFonts w:ascii="Arial" w:cs="Arial" w:eastAsia="Arial" w:hAnsi="Arial"/>
          <w:sz w:val="17"/>
          <w:szCs w:val="17"/>
          <w:color w:val="auto"/>
        </w:rPr>
        <w:t xml:space="preserve"> — As discussed in more detail in Note 6 — Debt Obligations to the unaudited consolidated financial statements, during the second quarter 2006 we amended our October 2004 $50 million revolving credit agreement to extend the maturity date to May 26, 2009, established a new credit facility in India and expand the participating financial institutions from one to three. The amended and new agreements allow the Company to elect to increase the aggregate commitments under the credit facility from $50 million to $65 million. The borrowings under the agreements may be used to refinance debt, for working capital needs, for permitted acquisitions and for other general corporate purposes. The agreements place certain restrictions on the use of the facility to finance investments in, or operations of, “money services businesses” such as those engaged in money transfer activities. As disclosed in Note 6 — Debt Obligations to the unaudited consolidated financial statements, certain of our subsidiaries have pledged all or a portion of their share capital as security for borrowings under the agreements.</w:t>
      </w:r>
    </w:p>
    <w:p>
      <w:pPr>
        <w:spacing w:after="0" w:line="7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As of September 30, 2006, we have borrowings of $4.0 million and stand-by letters of credit totaling $6.3 million outstanding against the revolving credit agreements; the remaining $39.7 million ($54.7 million remaining if we elect to increase the facility to $65 million) was available for borrowing. Borrowings under these agreements are being used to fund short-term working capital requirements in Spain,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Germany and India. We also have borrowings of $2.7 million at Euronet Card Services Greece (formerly Instreamline) recorded as long-term obligations.</w:t>
      </w:r>
    </w:p>
    <w:p>
      <w:pPr>
        <w:spacing w:after="0" w:line="140"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u w:val="single" w:color="auto"/>
          <w:color w:val="auto"/>
        </w:rPr>
        <w:t>Short-term debt obligations</w:t>
      </w:r>
      <w:r>
        <w:rPr>
          <w:rFonts w:ascii="Arial" w:cs="Arial" w:eastAsia="Arial" w:hAnsi="Arial"/>
          <w:sz w:val="16"/>
          <w:szCs w:val="16"/>
          <w:color w:val="auto"/>
        </w:rPr>
        <w:t xml:space="preserve"> — Short-term debt obligations consist primarily of credit lines, overdraft facilities and short-term loans to support ATM cash needs and supplement short-term working capital requirements. As of September 30, 2006, we had $9.2 million in short-term debt obligations borrowed by our subsidiaries in Greece, India, Spain and the Czech Republic. These borrowings are being used to fund short-term working capital requirements.</w:t>
      </w:r>
    </w:p>
    <w:p>
      <w:pPr>
        <w:spacing w:after="0" w:line="3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Prepaid Processing Segment subsidiaries in Spain enter into agreements with financial institutions to receive cash in advance of collections on customers’ accounts. These arrangements can be with or without recourse and the financial institutions charge the Spanish subsidiaries transaction fees and/or interest in connection with these advances. Cash received can be up to 40 days prior to the customer invoice due dates. Accordingly, the Spanish subsidiaries remain obligated to the banks on the cash advances until the underlying account receivable is ultimately collected. Where the risk of collection remains with Euronet, the receipt of cash continues to be carried on the consolidated balance sheet in each of trade accounts receivable and accrued expenses and other current liabilities. Our outstanding borrowings under these arrangements normally are approximately $2 million.</w:t>
      </w:r>
    </w:p>
    <w:p>
      <w:pPr>
        <w:spacing w:after="0" w:line="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We believe that the short-term debt obligations can be refinanced at terms acceptable to us. However, if acceptable refinancing options are not available, we believe that amounts due under these obligations can be funded through cash generated from operations, together with cash on hand.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As provided in our asset purchase agreement with the sellers of the assets of Dynamic Telecom, during the nine months ended September 30, 2006, we issued 109,542 shares of Euronet Common Stock, valued at $4.1 million, in settlement of an earn-out obligation that was based on the achievement of certain performance criteria.</w:t>
      </w:r>
    </w:p>
    <w:p>
      <w:pPr>
        <w:spacing w:after="0" w:line="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also have other potential contingent obligations estimated to total between zero and €3 million to the former owners of the net assets of Movilcarga. This obligation has not been recorded in the accompanying consolidated financial statements because the final amounts cannot be estimated beyond a reasonable doubt.</w:t>
      </w:r>
    </w:p>
    <w:p>
      <w:pPr>
        <w:spacing w:after="0" w:line="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Leases</w:t>
      </w:r>
      <w:r>
        <w:rPr>
          <w:rFonts w:ascii="Arial" w:cs="Arial" w:eastAsia="Arial" w:hAnsi="Arial"/>
          <w:sz w:val="17"/>
          <w:szCs w:val="17"/>
          <w:color w:val="auto"/>
        </w:rPr>
        <w:t xml:space="preserve"> — We lease ATMs and other property and equipment under capital lease arrangements that expire between 2006 and 2011. The leases bear interest between 2.5% and 12.5% per year. As of September 30, 2006, we owed $18.9 million under these capital lease arrangements. The majority of these lease agreements are entered into in connection with long-term outsourcing agreements where, generally, we purchase a bank’s ATMs and simultaneously sell the ATMs to an entity related to the bank and lease back the ATMs for purposes of fulfilling the ATM outsourcing agreement with the bank. We fully recover the related lease costs from the bank under the outsourcing agreements. Generally, the leases may be canceled without penalty upon reasonable notice in the unlikely event the bank or we were to terminate the related outsourcing agreement. We expect that, if terms were acceptable, we would acquire more ATMs from banks under such outsourcing and lease agreements.</w:t>
      </w:r>
    </w:p>
    <w:p>
      <w:pPr>
        <w:spacing w:after="0" w:line="70"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nine months ended September 30, 2006 were $17.5 million, of which $1.9 million were funded through capital leases. We expect total capital expenditures to be approximately $25 million to $30 million for the full year 2006, primarily for the purchase of ATMs to meet contractual requirements in Poland and India, the purchase and installation ATMs in key under-penetrated markets, the purchase of POS terminals for the Prepaid Processing Segment and office and data center computer equipment and software. We expect approximately $6.0 million of the capital expenditures will be funded through capital leases in conjunction with ATM outsourcing agreements where we already have signed agreements with banks. We expect the balance of these capital expenditures will be funded through cash generated from operations, together with cash on hand.</w:t>
      </w:r>
    </w:p>
    <w:p>
      <w:pPr>
        <w:spacing w:after="0" w:line="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Prepaid Processing Segment, approximately 83,000 of the more than 265,000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are required to maintain ATM hardware for Euronet-owned ATMs and software for all ATMs in our network in accordance with certain regulations and mandates established by local country regulatory and administrative bodies as well as EMV (Europay, MasterCard and Visa) chip card support. Accordingly, we expect additional capital expenditures over the next few years to maintain compliance with these regulations and/or mandates. While we do not currently have plans to increase capital expenditures to expand our network of owned ATMs, we expect that if strategic opportunities were available to us, we would consider increasing future capital expenditures to expand this network in new or existing markets. Upgrades to our ATM software and hardware were required in 2005 to meet EMV mandates such as Triple DES (Data Encryption Standard) and “micro-chip” card technology for smart cards. We completed a plan for implementation and delivery of the hardware and software modifications; the remaining capital expenditures necessary to complete these upgrade requirements are estimated to be approximately $2.8 million.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At current and projected cash flow levels, we anticipate that our cash generated from operations, together with cash on hand and amounts available under our recently amended revolving credit agreements and other existing financing will be sufficient to meet our debt, leasing, acquisition earn-out and capital expenditure obligations. If our cash is insufficient to meet these obligations, we will seek to refinance our debt under terms acceptable to us. However, we can offer no assurances that we will be able to obtain favorable terms for the refinancing of any of our debt or obligations.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The claim has been referred to arbitration and the first hearing took place during the third quarter 2006. No substantive decisions or findings were made at that hearing. Management believes it has strong defenses to this action and, accordingly has not recorded any liability or expense related to this claim. The Company will continue to monitor and assess this claim until ultimate resolution.</w:t>
      </w:r>
    </w:p>
    <w:p>
      <w:pPr>
        <w:spacing w:after="0" w:line="81"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From time to time, we are a party to litigation arising in the ordinary course of business. Currently, there are no other contingencies that we believe, either individually or in the aggregate, would have a material adverse effect upon our consolidated results of operations or financial condition.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u w:val="single" w:color="auto"/>
          <w:color w:val="auto"/>
        </w:rPr>
        <w:t>Euronet Payments &amp; Remittance</w:t>
      </w:r>
      <w:r>
        <w:rPr>
          <w:rFonts w:ascii="Arial" w:cs="Arial" w:eastAsia="Arial" w:hAnsi="Arial"/>
          <w:sz w:val="16"/>
          <w:szCs w:val="16"/>
          <w:color w:val="auto"/>
        </w:rPr>
        <w:t xml:space="preserve"> — During 2005 we acquired TelecommUSA, now Euronet Payments &amp; Remittance. In connection with the expected future expansion of our card-based money transfer and bill payment product through our existing POS terminals, we expect to incur potentially significant costs for technical development and marketing. We also expect to incur total operating expenses of approximately $2.5 million to $3.5 million during 2006 related to our money transfer and bill payment business. During the third quarter 2006, the money transfer and bill payment business operating expenses exceeded revenues by $0.8 million. These losses are expected to remain relatively constant over the next couple of quarters.</w:t>
      </w:r>
    </w:p>
    <w:p>
      <w:pPr>
        <w:spacing w:after="0" w:line="50"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EFT Processing Segment expansion in China</w:t>
      </w:r>
      <w:r>
        <w:rPr>
          <w:rFonts w:ascii="Arial" w:cs="Arial" w:eastAsia="Arial" w:hAnsi="Arial"/>
          <w:sz w:val="16"/>
          <w:szCs w:val="16"/>
          <w:color w:val="auto"/>
        </w:rPr>
        <w:t xml:space="preserve"> — In January 2006, through Jiayintong (Beijing) Technology Development Co. Ltd., our 75% owned joint venture with Ray Holdings in China, we entered into an ATM outsourcing pilot agreement with Postal Savings and Remittance Bureau (“PSRB”) a financial institution located and organized in China. Under the pilot agreement we will deploy, and provide all of the day-to-day outsourcing services, for a total of 90 ATMs in Beijing, Shanghai and Guangdong, the three largest commercial centers in China. As of September 30, 2006, we have deployed 59 of the 90 ATMs, with the remaining 31 ATMs expected to be deployed by or about October 31, 2006. If this pilot agreement meets certain success criteria, we have agreed to take over additional existing ATMs and install new ATMs, at PSRB’s request. We have established a processing center in Beijing to drive these ATMs. During 2006, before consideration of minority interest, we expect the joint venture to incur total operating losses of approximately $1.5 million to $2.0 million. During the third quarter 2006, we signed an ATM outsourcing agreement with a leading multinational bank to deploy 50 ATMs over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Although Croatia has maintained relatively stable inflation and exchange rates, the functional currency of our Croatian subsidiary is the U.S. dollar due to the significant level of U.S. dollar denominated revenues and expenses. Due to these factors, we do not believe that inflation will have a significant effect on our results of operations or financial position. We continually review inflation and the functional currency in each of the countries where we operate.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regularly grant guarantees of the obligations of our wholly-owned subsidiaries and we sometimes enter into agreements with unaffiliated parties that contain indemnification provisions, the terms of which may vary depending on the negotiated terms of each respective agreement. Our liability under such indemnification provision may be subject to time and materiality limitations, monetary caps and other conditions and defenses. As of September 30, 2006, there were no material changes from the disclosure in our Annual Report on Form 10-K for the year ended December 31, 2005. To date, we are not aware of any significant claims made by the indemnified parties or parties to guarantee agreements with us and, accordingly, no liabilities have been recorded as of September 30, 2006.</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ITEMS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Cash and cash equivalents increased to $255.4 million at September 30, 2006 from $219.9 million at December 31, 2005. This increase is due to cash flows from operating activities of $50.6 million, cash flows from financing activities of $1.7 million and the effect of exchange differences on cash of $3.4 million, offset by cash used for investing activities of $20.3 million. Cash flows used in investing activities primarily represent purchases of property and equipment, the acquisition of Essentis and additional payments to the former owners of Europlanet. Cash flows from financing activities primarily represent proceeds from the exercise of stock options and employee share purchases, offset by repayments on capital lease obligations, repayments of short-term borrowings and repayments of amounts borrowed under revolving credit agreements. For more information, see the Unaudited Consolidated Statement of Cash Flows for the nine-month period ended September 30, 2006.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Restricted cash increased to $88.3 million at September 30, 2006 from $73.9 million at December 31, 2005, and primarily represents $74.9 million as of September 30, 2006 held in trust and/or cash held on behalf of others in connection with the administration of the customer collection and vendor remittance activities in the Prepaid Processing Segment. Amounts collected from customers that are due to the mobile operators are deposited into a restricted cash account held by our Prepaid Processing Segment subsidiaries on behalf of the mobile operators for which we process transactions. These balances are used in connection with the administration of customer collection and vendor remittance activities and can fluctuate significantly based on the timing of the settlement process for our Prepaid Processing Segment subsidiaries. The remaining balances of restricted cash represent primarily collateral on bank guarantees and ATM network cash.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 PINs and other</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Inventory — PINs and other increased to $35.3 million at September 30, 2006 from $25.6 million at December 31, 2005. Inventory — PINs and other includes prepaid personal identification number (“PIN”) inventory for prepaid mobile airtime purchases related to the Prepaid Processing Segment. This category also includes smaller amounts for POS terminals, mobile phone handsets and ATMs held for sale. The increase from December 31, 2005 is primarily the result of our Prepaid Processing subsidiary in Australia holding $7.4 million in PIN inventory as of September 30, 2006 in connection with a mobile operator’s change from a “consignment” practice to a “billable-with-terms” practice during the second quarter 2006. The remaining increase was due to net increases across our other Prepaid Processing subsidiaries. We generally sell our PIN inventory within a very short timeframe, thereby limiting our exposure to overall reductions in the market value of PINs or other obsolescence issues.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receivable, net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trade accounts receivable decreased slightly to $164.2 million at September 30, 2006 from $166.5 million at December 31, 2005. The primary component of our trade accounts receivable represents amounts to be collected on behalf of mobile operators for the full value of the prepaid mobile airtime sold in connection with the growing Prepaid Processing Segment. Generally, these balances are collected and remitted to the mobile operators within two weeks. The September 30, 2006 balance includes $2.5 million in accounts receivable related to Essentis, which was acquired during January 2006. The offsetting decrease of $4.8 million is primarily due to the timing of the settlement process with mobile operators for our Prepaid Processing Segment subsidiaries, as well as the impact of seasonality.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Prepaid expenses and other current assets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Prepaid expenses and other current assets decreased to $19.5 million as of September 30, 2006 from $21.2 million as of December 31, 2005. During the third quarter 2006, the Company’s prepaid processing subsidiaries in Spain received a refund of Value Added Tax (“VAT”) receivable of $12.0 million. Partially offsetting this decrease is $1.6 million related to Essentis, which was acquired in January 2006 and $3.5 million related to a prepayment for PINs in transit in Poland. The remaining $5.2 million increase in this balance is primarily the result of the timing of prepaid expenses across all of our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property and equipment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property and equipment increased to $51.6 million as of September 30, 2006 from $44.9 million as of December 31, 2005. Of this $6.7 million increase, $2.4 million is due to the acquisition of Essentis in January 2006 and the identification of assets under capital lease arrangements at Instreamline. Capital additions were $17.5 million during the nine months ended September 30, 2006, $1.9 million of which were funded through capital leases. The majority of the capital additions were ATMs in Poland, Germany and India; POS terminals in the U.S., Germany, Poland and the U.K.; and additions of computer equipment and software for our processing centers in Hungary, Germany, Greece and India. Offsetting these increases, were depreciation and amortization expense of $14.1 million and net disposals of property and equipment of $0.6 million during the nine months ended September 30, 2006. The remaining increase of $1.5 million was mainly due to the impact of fluctuations in exchange rates relative to the U.S. dollar during the nine months ended September 30, 2006.</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intangible assets</w:t>
      </w:r>
    </w:p>
    <w:p>
      <w:pPr>
        <w:spacing w:after="0" w:line="1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Net intangible assets and goodwill increased to $323.6 million as of September 30, 2006 from $317.9 million as of December 31, 2005 due primarily to the acquisition of Essentis and the earn-out for the Dynamic Telecom acquisition finalized during the nine months ended September 30, 2006. The following table summarizes the activity for the nine-month period ended September 30, 2006:</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4"/>
          </w:tcPr>
          <w:p>
            <w:pPr>
              <w:spacing w:after="0"/>
              <w:rPr>
                <w:sz w:val="20"/>
                <w:szCs w:val="20"/>
                <w:color w:val="auto"/>
              </w:rPr>
            </w:pPr>
            <w:r>
              <w:rPr>
                <w:rFonts w:ascii="Arial" w:cs="Arial" w:eastAsia="Arial" w:hAnsi="Arial"/>
                <w:sz w:val="14"/>
                <w:szCs w:val="14"/>
                <w:b w:val="1"/>
                <w:bCs w:val="1"/>
                <w:color w:val="auto"/>
              </w:rPr>
              <w:t>Amortizable</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4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91"/>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2006</w:t>
            </w:r>
          </w:p>
        </w:tc>
        <w:tc>
          <w:tcPr>
            <w:tcW w:w="7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50,724</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$ 267,195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$ 317,919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2,467</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Earn-out payment related to 2005 acquisition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4,126</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other 2005 acquisitions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Amortization</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3"/>
          </w:tcPr>
          <w:p>
            <w:pPr>
              <w:jc w:val="right"/>
              <w:ind w:right="620"/>
              <w:spacing w:after="0"/>
              <w:rPr>
                <w:sz w:val="20"/>
                <w:szCs w:val="20"/>
                <w:color w:val="auto"/>
              </w:rPr>
            </w:pPr>
            <w:r>
              <w:rPr>
                <w:rFonts w:ascii="Arial" w:cs="Arial" w:eastAsia="Arial" w:hAnsi="Arial"/>
                <w:sz w:val="18"/>
                <w:szCs w:val="18"/>
                <w:color w:val="auto"/>
              </w:rPr>
              <w:t>(6,229)</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(6,229)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1,516</w:t>
            </w:r>
          </w:p>
        </w:tc>
        <w:tc>
          <w:tcPr>
            <w:tcW w:w="6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4,304</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3"/>
        </w:trPr>
        <w:tc>
          <w:tcPr>
            <w:tcW w:w="7240" w:type="dxa"/>
            <w:vAlign w:val="bottom"/>
            <w:gridSpan w:val="2"/>
          </w:tcPr>
          <w:p>
            <w:pPr>
              <w:spacing w:after="0"/>
              <w:rPr>
                <w:sz w:val="20"/>
                <w:szCs w:val="20"/>
                <w:color w:val="auto"/>
              </w:rPr>
            </w:pPr>
            <w:r>
              <w:rPr>
                <w:rFonts w:ascii="Arial" w:cs="Arial" w:eastAsia="Arial" w:hAnsi="Arial"/>
                <w:sz w:val="18"/>
                <w:szCs w:val="18"/>
                <w:color w:val="auto"/>
              </w:rPr>
              <w:t>Balance as of September 30, 2006</w:t>
            </w: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48,712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$ 274,918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$ 323,630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Other assets increased to $16.6 million at September 30, 2006 from $15.6 million at December 31, 2005. The increase is due to the capitalization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 million in software development costs in our Software Solutions Segment, partially offset by $1.0 million in amortization of deferred financing costs.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 accounts payable</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Accounts payable increased slightly to $204.7 million at September 30, 2006 from $202.7 million at December 31, 2005. The primary component of our trade accounts payable represents payables to mobile operators in connection with the timing of the settlement process for the growing Prepaid Processing Segment. During the nine-months ended September 30, 2006, this balance decreased by $4.1 million due to the timing of settlements for PIN inventory in Poland at the end of 2005 and $6.2 million due to reduced sales activity with a mobile operator in Spain. The offsetting increase was due mainly to the timing of the settlement process with mobile operators, mainly our e-pay subsidiaries in the U.K. and Australia.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expenses and other current liabilities</w:t>
      </w:r>
    </w:p>
    <w:p>
      <w:pPr>
        <w:spacing w:after="0" w:line="11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Accrued expenses and other current liabilities increased to $89.2 million at September 30, 2006 from $77.1 million at December 31, 2005. The December 31, 2005 balance included $3.2 million in accruals for the purchase of the remaining 6.25% ownership share of our subsidiary in India and the remaining 34% of our subsidiary in Serbia, Europlanet, which were settled during the first quarter 2006. Partially offsetting this decrease was $2.3 million in additional accruals related to Essentis at September 30, 2006, which was acquired in January 2006. The remaining increase of $13.0 million is primarily due the timing of the settlement process with mobile operators in our Prepaid Processing Segment subsidiaries in the U.K., Australia, Poland and New Zealand.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payable</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Income taxes payable increased to $11.0 million at September 30, 2006 from $8.2 million at December 31, 2005. This increase relates to difference between the timing of accruals for income taxes payable and the related tax payments. The amount of income tax payments that we make in certain jurisdictions is based on our profitability for 2005, while our accruals for income taxes are based on estimated profitability for the current year. Since the profitability of our operations is generally expected to increase for 2006 as compared to 2005, accruals for income taxes exceeded amounts paid during the nine months ended September 30,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Deferred revenue increased to $9.9 million as of September 30, 2006 from $8.0 million as of December 31, 2005. The increase is primarily due to the January 2006 acquisition of Essentis, a U.K.-based software solutions company that sells a leading card issuing and merchant acquiring software package. Deferred revenue generally results from unearned software maintenance that is billed in advance and from reaching contractual billing milestones ahead of earnings recognition for certain agreements. Deferred revenue primarily relates to our Software Solutions Segment and to the EFT Segment where contractual pre-payments are collected from customers in advance of providing services.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obligations and capital leases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September 30, 2006, total indebtedness decreased to $349.8 million from $355.6 million as of December 31, 2005. During the second quarter 2006 we amended our October 2004, $50 million revolving credit agreement to extend the maturity date to May 26, 2009, established a new credit facility in India and expand the participating financial institutions from one to three. The amended and new agreements allow the Company to elect to increase the aggregate commitments under the credit facility from $50 million to $65 million. Accordingly, balances outstanding under this facility are classified as long-term debt obligations. The $5.8 million decrease in debt obligations is primarily due to repayments of borrowings that were used to fund short-term working capital requirements, primarily in Spain. A summary of the activity in our debt obligations for the nine months ended September 30, 2006 is summarized in the table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89"/>
              </w:rPr>
              <w:t>Revolving</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1.625%</w:t>
            </w:r>
          </w:p>
        </w:tc>
        <w:tc>
          <w:tcPr>
            <w:tcW w:w="6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3.50%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8"/>
              </w:rPr>
              <w:t>Capital</w:t>
            </w:r>
          </w:p>
        </w:tc>
        <w:tc>
          <w:tcPr>
            <w:tcW w:w="1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Convertible</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8"/>
              </w:rPr>
              <w:t>Credit</w:t>
            </w:r>
          </w:p>
        </w:tc>
        <w:tc>
          <w:tcPr>
            <w:tcW w:w="106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Debentures</w:t>
            </w:r>
          </w:p>
        </w:tc>
        <w:tc>
          <w:tcPr>
            <w:tcW w:w="3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1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36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3"/>
              </w:rPr>
              <w:t>Facilities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Obligations</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2"/>
              </w:rPr>
              <w:t>Leases</w:t>
            </w:r>
          </w:p>
        </w:tc>
        <w:tc>
          <w:tcPr>
            <w:tcW w:w="14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4"/>
              </w:rPr>
              <w:t>Due 2024</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Due 2025</w:t>
            </w:r>
          </w:p>
        </w:tc>
        <w:tc>
          <w:tcPr>
            <w:tcW w:w="3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15,550</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17,660</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Increases (decreases):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Indebtedness incurred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9,146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1,548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5,290</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Repayments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(12,761)</w:t>
            </w:r>
          </w:p>
        </w:tc>
        <w:tc>
          <w:tcPr>
            <w:tcW w:w="14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(5,704)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(5,993)</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(24,458)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 accrued</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1,354</w:t>
            </w:r>
          </w:p>
        </w:tc>
        <w:tc>
          <w:tcPr>
            <w:tcW w:w="1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ind w:left="200"/>
              <w:spacing w:after="0"/>
              <w:rPr>
                <w:sz w:val="20"/>
                <w:szCs w:val="20"/>
                <w:color w:val="auto"/>
              </w:rPr>
            </w:pPr>
            <w:r>
              <w:rPr>
                <w:rFonts w:ascii="Arial" w:cs="Arial" w:eastAsia="Arial" w:hAnsi="Arial"/>
                <w:sz w:val="18"/>
                <w:szCs w:val="18"/>
                <w:color w:val="auto"/>
              </w:rPr>
              <w:t>Foreign exchange loss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251</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502</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608</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2006</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3,979</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11,896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18,919</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349,794</w:t>
            </w:r>
          </w:p>
        </w:tc>
        <w:tc>
          <w:tcPr>
            <w:tcW w:w="0" w:type="dxa"/>
            <w:vAlign w:val="bottom"/>
          </w:tcPr>
          <w:p>
            <w:pPr>
              <w:spacing w:after="0"/>
              <w:rPr>
                <w:sz w:val="1"/>
                <w:szCs w:val="1"/>
                <w:color w:val="auto"/>
              </w:rPr>
            </w:pPr>
          </w:p>
        </w:tc>
      </w:tr>
      <w:tr>
        <w:trPr>
          <w:trHeight w:val="439"/>
        </w:trPr>
        <w:tc>
          <w:tcPr>
            <w:tcW w:w="316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(9,232)</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(6,170)</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(15,402)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Long-term obligations at September 30,</w:t>
            </w:r>
          </w:p>
        </w:tc>
        <w:tc>
          <w:tcPr>
            <w:tcW w:w="5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3,979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2,664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12,749</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$ 140,000</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$ 175,000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$ 334,392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stockholders’ equity</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Total stockholders’ equity increased to $263.4 million at September 30, 2006 from $206.4 million at December 31, 2005. This $57.0 million increase is the result of:</w:t>
      </w:r>
    </w:p>
    <w:p>
      <w:pPr>
        <w:spacing w:after="0" w:line="62"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$30.9 million in net income for the nine months ended September 30, 2006;</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$4.1 million in common stock issued in settlement of the Dynamic Telecom earn-out;</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$12.5 million from stock issued under employee stock plans;</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$5.8 million in share-based compensation; and</w:t>
      </w:r>
    </w:p>
    <w:p>
      <w:pPr>
        <w:spacing w:after="0" w:line="130" w:lineRule="exact"/>
        <w:rPr>
          <w:rFonts w:ascii="Arial" w:cs="Arial" w:eastAsia="Arial" w:hAnsi="Arial"/>
          <w:sz w:val="18"/>
          <w:szCs w:val="18"/>
          <w:b w:val="1"/>
          <w:bCs w:val="1"/>
          <w:color w:val="auto"/>
        </w:rPr>
      </w:pPr>
    </w:p>
    <w:p>
      <w:pPr>
        <w:ind w:left="220" w:hanging="212"/>
        <w:spacing w:after="0"/>
        <w:tabs>
          <w:tab w:leader="none" w:pos="22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$3.7 million change in accumulated other comprehensive income (loss).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discussed in the Notes to the Unaudited Consolidated Financial Statements, we adopted the provisions of SFAS No. 123R on January 1, 2006. We elected to adopt SFAS No. 123R utilizing the modified retrospective application method as provided by SFAS No. 123R and, accordingly, financial statement amounts for the prior periods presented in this Form 10-Q have been adjusted to reflect the fair value method of expensing prescribed by SFAS No. 123R. See Note 1 — General, Note 2 — Significant Accounting Policies and Practices and Note 7 — Stock Plans to the Unaudited Consolidated Financial Statements for further discussion. These adjustments included an increase of $32.7 million to the January 1, 2006 balance of additional paid-in capital and an offsetting increase of $32.7 million to the January 1, 2006 balance of our accumulated deficit, for the amount of share-based compensation relating to the years 1996 through 2005. Total stockholders’ equity was not impacted by these adjustments.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In March 2006, the Emerging Issues Task Force (“EITF”) issued EITF 06-3, “How Taxes Collected and Remitted to Governmental Authorities Should Be Presented in the Income Statement (That Is, Gross versus Net Presentation).” If significant, this issue requires companies to disclose the policy of presenting such taxes in the income statement on either a gross or net basis. The provisions of this issue will be effective for Euronet beginning January 1, 2007.</w:t>
      </w:r>
    </w:p>
    <w:p>
      <w:pPr>
        <w:spacing w:after="0" w:line="39"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July 2006, the Financial Accounting Standards Board (“FASB”) issued FASB Interpretation No. 48 (“FIN 48”), “Accounting for Uncertainty in Income Taxes.” FIN 48 is an interpretation of SFAS No. 109, “Accounting for Income Taxes,” and seeks to reduce the diversity in practice associated with certain aspects of the measurement and recognition related to accounting for income taxes. This interpretation also requires expanded disclosure with respect to uncertain tax positions. The provisions of FIN 48 will be effective for Euronet beginning January 1, 2007.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In September 2006, the FASB issued SFAS No. 157, “Fair Value Measurements.” This Statement defines fair value, establishes a framework for measuring fair value and expands disclosures about fair value measurements. The Statement applies whenever other accounting pronouncements require or permit fair value measurements. Accordingly, this Statement does not require any new fair value measurements. The provisions of SFAS No. 157 will be effective for Euronet beginning January 1, 2008.</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We are in the process of determining the effect, if any, that the adoption of the above accounting pronouncements will have on our financial statements.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anticipated, intend, estimate and similar expressions.</w:t>
      </w:r>
    </w:p>
    <w:p>
      <w:pPr>
        <w:spacing w:after="0" w:line="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II, Item 1A — Risk Factors.</w:t>
      </w:r>
    </w:p>
    <w:p>
      <w:pPr>
        <w:spacing w:after="0" w:line="177"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Foreign currency exchange rate risk</w:t>
      </w:r>
    </w:p>
    <w:p>
      <w:pPr>
        <w:ind w:right="120"/>
        <w:spacing w:after="0" w:line="259" w:lineRule="auto"/>
        <w:rPr>
          <w:sz w:val="20"/>
          <w:szCs w:val="20"/>
          <w:color w:val="auto"/>
        </w:rPr>
      </w:pPr>
      <w:r>
        <w:rPr>
          <w:rFonts w:ascii="Arial" w:cs="Arial" w:eastAsia="Arial" w:hAnsi="Arial"/>
          <w:sz w:val="18"/>
          <w:szCs w:val="18"/>
          <w:color w:val="auto"/>
        </w:rPr>
        <w:t>For the nine months ended September 30, 2006, 84% of our revenues were generated in non-U.S. dollar countries compared to 86% for the nine months ended September 30, 2005. This slight decrease in revenues from non-U.S. dollar countries, compared to prior year is due to increased revenues of our U.S.-based Prepaid Processing Segment operations. We expect to continue generating a significant portion of our revenues in countries with currencies other than the U.S. dollar.</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particularly vulnerable to fluctuations in exchange rates of the U.S. dollar to the currencies of countries in which we have significant operations. We estimate that a 10% depreciation in these foreign currency exchange rates would have the combined effect on reported net income and working capital of a $3.6 million decrease. A 10% appreciation in these foreign currency exchange rates would have the combined effect on reported net income and working capital of a $3.6 million increase. This effect was estimated by segregating revenues, expenses and working capital by currency and applying a 10% currency depreciation and appreciation to the non-U.S. dollar amounts. We believe this quantitative measure has inherent limitations and does not take into account any governmental actions or changes in either customer purchasing patterns or our financing or operating strategies.</w:t>
      </w:r>
    </w:p>
    <w:p>
      <w:pPr>
        <w:spacing w:after="0" w:line="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As a result of continued European economic convergence, including the increased influence of the euro as opposed to the U.S. dollar on the Central European currencies, we expect that the currencies of the markets where we invest will fluctuate less against the euro and the British pound than against the U.S. dollar.</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also exposed to foreign currency exchange rate risk in our money transfer subsidiary, Euronet Payments &amp; Remittance, that was established during the second quarter 2005. This portion of our business is currently insignificant; however, we expect that it will grow rapidly. A majority of this business involves receiving and disbursing different currencies, in which we earn a foreign currency spread based on the difference between buying currency at wholesale exchange rates and selling the currency to consumers at retail exchange</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rates. This spread provides some protection against currency fluctuations that occur while we are holding the foreign currency. Additionally, our exposure to changes in foreign currency exchange rates is limited by the fact that disbursement occurs for the majority of transactions shortly after they are initiated.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September 30, 2006, we do not have significant exposure to interest rate volatility. Of the total outstanding debt of $349.8 million, approximately 90% relates to contingent convertible debentures having fixed coupon rates. Our $175 million contingent convertible debentures, issued in October 2005, accrue interest at a rate of 3.50% per annum. The $140 million contingent convertible debentures, issued in December 2004, accrue interest at a rate of 1.625% per annum. Interest expense, including amortization of deferred debt issuance costs, for these contingent convertible debentures is expected to total approximately $10.1 million per year, or a weighted average interest rate of 3.2% annually.</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remaining 10% of total debt outstanding relates to debt obligations and capitalized leases with fixed payment and interest terms that expire between 2006 and 2011. We also have $50 million in revolving credit facilities that accrue interest at variable rates, which can be increased to $65 million at our option. Should we borrow this full $65 million under the revolving credit facility, in addition to approximately $11.9 million borrowed under other debt arrangements as of September 30, 2006, and maintain the balance for a full year, a 1% increase in the applicable interest rate would result in additional interest expense to the Company of approximately $0.8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 Any controls and procedures, no matter how well designed and operated, can provide only reasonable assurance of achieving the desired control objectives.</w:t>
      </w:r>
    </w:p>
    <w:p>
      <w:pPr>
        <w:spacing w:after="0" w:line="6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executive management, including our Chief Executive Officer and Chief Financial Officer, evaluated the effectiveness of the design and operation of our disclosure controls and procedures as of September 30, 2006. Based on this evaluation, our Chief Executive Officer and Chief Financial Officer have concluded that the design and operation of these disclosure controls and procedures were effective as of such date.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nine-month period ended September 30, 2006 that has materially affected, or is reasonably likely to materially affect, our internal control over financial reporting.</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2005, a former cash supply contractor in Central Europe (the “Contractor”) claimed that the Company owed it approximately $2.0 million for the provision of cash during the fourth quarter 1999 and first quarter 2000 that has not been returned. This claim, based on events that purportedly occurred over five years ago, was made more than a year after the Company had terminated its business with the Contractor and established a cash supply agreement with another supplier. In the first quarter 2006, the Contractor initiated legal action in Budapest, Hungary regarding the claim. Management believes it has strong defenses to this action and, accordingly has not recorded any liability or expense related to this claim. The Company will continue to monitor and assess this claim until ultimate resolution.</w:t>
      </w:r>
    </w:p>
    <w:p>
      <w:pPr>
        <w:spacing w:after="0" w:line="8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Currently, there are no other legal proceedings that management believes, either individually or in the aggregate, would have a material adverse effect upon the consolidated results of operations or financial condition of the Company.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before making an investment decision. The risks and uncertainties described below are not the only ones facing our company. Additional risks and uncertainties not presently known to us or that we currently deem immaterial may also impair our business operations.</w:t>
      </w:r>
    </w:p>
    <w:p>
      <w:pPr>
        <w:spacing w:after="0" w:line="7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If any of the following risks actually occurs, our business, financial condition or results of operations could be materially adversely affected. In that case, the trading price of our common stock could decline substantially.</w:t>
      </w:r>
    </w:p>
    <w:p>
      <w:pPr>
        <w:spacing w:after="0" w:line="62"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i w:val="1"/>
          <w:iCs w:val="1"/>
          <w:color w:val="auto"/>
        </w:rPr>
        <w:t>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1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Other than as set forth below, there have been no material changes from the risk factors previously disclosed in the Company’s Annual Report on Form 10-K for the year ended December 31, 2005, as filed with the SEC.</w:t>
      </w:r>
    </w:p>
    <w:p>
      <w:pPr>
        <w:spacing w:after="0" w:line="275"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required to recognize impairment charges related to long-lived assets and goodwill recorded in connection with our acquisitions.</w:t>
      </w:r>
    </w:p>
    <w:p>
      <w:pPr>
        <w:spacing w:after="0" w:line="13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total assets include approximately $323.6 million, or 34% of total assets, in goodwill and acquired intangible assets recorded as a result of acquisitions. We assess our goodwill, intangible assets and other long-lived assets as and when required by U.S. GAAP to determine whether they are impaired. If operating results in any of our key markets, including the U.K., Germany, Spain, Australia, New Zealand or the U.S. deteriorate or our plans do not progress as expected when we acquired these entities, we may be required to record an impairment write-down of goodwill, intangible assets or other long-lived assets. Impairment charges would reduce reported earnings for the periods in which they are recorded. This could have a material adverse effect on our results of operations and financial condition.</w:t>
      </w:r>
    </w:p>
    <w:p>
      <w:pPr>
        <w:spacing w:after="0" w:line="81" w:lineRule="exact"/>
        <w:rPr>
          <w:sz w:val="20"/>
          <w:szCs w:val="20"/>
          <w:color w:val="auto"/>
        </w:rPr>
      </w:pPr>
    </w:p>
    <w:p>
      <w:pPr>
        <w:ind w:right="620"/>
        <w:spacing w:after="0" w:line="347" w:lineRule="auto"/>
        <w:rPr>
          <w:sz w:val="20"/>
          <w:szCs w:val="20"/>
          <w:color w:val="auto"/>
        </w:rPr>
      </w:pPr>
      <w:r>
        <w:rPr>
          <w:rFonts w:ascii="Arial" w:cs="Arial" w:eastAsia="Arial" w:hAnsi="Arial"/>
          <w:sz w:val="16"/>
          <w:szCs w:val="16"/>
          <w:b w:val="1"/>
          <w:bCs w:val="1"/>
          <w:color w:val="auto"/>
        </w:rPr>
        <w:t>An additional 30 million shares of Common Stock was authorized for issuance by stockholders, which could result in additional shares of our Common Stock being issued, potentially diluting equity ownership of current holders and the share price of our Common Stock.</w:t>
      </w:r>
    </w:p>
    <w:p>
      <w:pPr>
        <w:spacing w:after="0" w:line="1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At the May 18, 2006 annual meeting of stockholders, stockholders approved an amendment to our Certificate of Incorporation to increase the aggregate number of shares of Common Stock that we have the authority to issue from sixty million (60,000,000) shares of Common Stock to ninety million (90,000,000) shares of Common Stock. Further, stockholders approved a new equity compensation plan (“2006 Stock Incentive Program”) under which an additional 4 million shares would be reserved.</w:t>
      </w:r>
    </w:p>
    <w:p>
      <w:pPr>
        <w:spacing w:after="0" w:line="7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Although we have no plans or commitments to issue the additional authorized shares of Common Stock, our Board of Directors believes it was necessary to increase the number of shares of our authorized Common Stock in order to provide us with the flexibility to issue Common Stock for business purposes that may arise as deemed advisable by our Board. These purposes could include, among other things, (i) to declare future stock dividends or stock splits, which may increase the liquidity of our shares; (ii) the sale of stock to obtain additional capital or to acquire other companies or businesses, which could enhance our growth strategy or allow us to reduce debt if needed; (iii) for use in additional stock incentive programs and (iv) for other bona fide purposes. Our Board of Directors may issue the additional authorized shares of Common Stock without notice to, or further action by, our stockholders, unless stockholder approval is required by law or the rules of the NASDAQ Stock Market. The issuance of additional shares of Common Stock may significantly dilute the equity ownership of the current holders of our Common Stock. Further, over the course of time, all of the issued shares have the potential to be publicly traded, perhaps in large blocks. This may result in dilution of the market price of the Common Stock.</w:t>
      </w:r>
    </w:p>
    <w:p>
      <w:pPr>
        <w:spacing w:after="0" w:line="7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color w:val="auto"/>
        </w:rPr>
        <w:t>An additional 12.2 million shares of Common Stock, representing 33% of the shares outstanding as of September 30, 2006, could be added to our total Common Stock outstanding through the exercise of options or the issuance of additional shares of our Common Stock pursuant to existing agreements. Once issued, these shares of Common Stock could be traded into the market and result in a decrease in the market price of our Common Stock.</w:t>
      </w:r>
    </w:p>
    <w:p>
      <w:pPr>
        <w:spacing w:after="0" w:line="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As of September 30, 2006, we had an aggregate of 3.2 million options and restricted stock awards outstanding held by our directors, officers and employees, which entitles these holders to acquire an equal number of shares of our Common Stock upon exercise. Of this amount, 1.4 million options are currently vested, which means they can be exercised at any time. Approximately 0.3 million additional shares of our Common Stock may be issued in connection with our employee stock purchase plan. Additionally, based on current estimates, we may be required to issue up to 0.2 million shares of our Common Stock to the former owners of the Movilcarga Assets under contingent “earn-out” payments. The number of shares issued under the earn-out will depend upon the performance of Movilcarga and the trading price of our Common Stock at the time we make the earn-out payment. Another 8.5 million shares of Common Stock could be issued upon conversion of the Company’s Convertible Debentures issued in December 2004 and October 2005.</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Accordingly, approximately 12.2 million shares (based on current prices and estimated earn-out payments) could potentially be added to our total current Common Stock outstanding through the exercise of options or the issuance of additional shares, which could adversely impact the trading price for our stock. The actual number of shares issuable could be higher depending upon the actual amounts of the earn-outs and our stock price at the time of payment (i.e. more shares could be issuable if our share price declines).</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Of the 3.2 million total options and restricted stock awards outstanding, an aggregate of 1.3 million options and restricted shares are held by persons who may be deemed to be our affiliates and who would be subject to Rule 144. Thus, upon exercise of their options, these affiliates’ shares would be subject to the trading restrictions imposed by Rule 144. The remainder of the common shares issuable under options or as earn-outs described above would be freely tradable in the public market. Over the course of time, all of the issued shares have the potential to be publicly traded, perhaps in large blocks.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3, 2006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09"/>
        </w:trPr>
        <w:tc>
          <w:tcPr>
            <w:tcW w:w="5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3"/>
              </w:rPr>
              <w:t>Michael J. Brown</w:t>
            </w:r>
          </w:p>
        </w:tc>
      </w:tr>
      <w:tr>
        <w:trPr>
          <w:trHeight w:val="230"/>
        </w:trPr>
        <w:tc>
          <w:tcPr>
            <w:tcW w:w="5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3"/>
              </w:rPr>
              <w:t>Chief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580" w:type="dxa"/>
            <w:vAlign w:val="bottom"/>
          </w:tcPr>
          <w:p>
            <w:pPr>
              <w:spacing w:after="0"/>
              <w:rPr>
                <w:sz w:val="18"/>
                <w:szCs w:val="18"/>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580" w:type="dxa"/>
            <w:vAlign w:val="bottom"/>
          </w:tcPr>
          <w:p>
            <w:pPr>
              <w:spacing w:after="0"/>
              <w:rPr>
                <w:sz w:val="20"/>
                <w:szCs w:val="20"/>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419" w:right="3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p>
      <w:pPr>
        <w:spacing w:after="0"/>
        <w:tabs>
          <w:tab w:leader="none" w:pos="566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6350</wp:posOffset>
            </wp:positionV>
            <wp:extent cx="68262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5" w:lineRule="exact"/>
        <w:rPr>
          <w:sz w:val="20"/>
          <w:szCs w:val="20"/>
          <w:color w:val="auto"/>
        </w:rPr>
      </w:pPr>
    </w:p>
    <w:p>
      <w:pPr>
        <w:ind w:left="660" w:right="280" w:hanging="516"/>
        <w:spacing w:after="0" w:line="301"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Amendment No. 7 dated November 17, 2005 to $10,000,000 U.S. Credit Agreement dated October 25, 2004 among Euronet Worldwide, Inc., Payspot, Inc., Euronet USA, Inc., Call Processing, Inc. and TelecommUSA, Inc. (as Borrowers) and Bank of America, N.A. (as Lender) (filed as exhibit 10.1 to the Company’s Quarterly Report on Form 10-Q filed on August 4, 2006 and incorporated by reference herein)</w:t>
      </w:r>
    </w:p>
    <w:p>
      <w:pPr>
        <w:spacing w:after="0" w:line="156" w:lineRule="exact"/>
        <w:rPr>
          <w:sz w:val="20"/>
          <w:szCs w:val="20"/>
          <w:color w:val="auto"/>
        </w:rPr>
      </w:pPr>
    </w:p>
    <w:p>
      <w:pPr>
        <w:jc w:val="both"/>
        <w:ind w:left="660" w:right="180" w:hanging="516"/>
        <w:spacing w:after="0" w:line="264" w:lineRule="auto"/>
        <w:tabs>
          <w:tab w:leader="none" w:pos="640" w:val="left"/>
        </w:tabs>
        <w:rPr>
          <w:sz w:val="20"/>
          <w:szCs w:val="20"/>
          <w:color w:val="auto"/>
        </w:rPr>
      </w:pPr>
      <w:r>
        <w:rPr>
          <w:rFonts w:ascii="Arial" w:cs="Arial" w:eastAsia="Arial" w:hAnsi="Arial"/>
          <w:sz w:val="18"/>
          <w:szCs w:val="18"/>
          <w:color w:val="auto"/>
        </w:rPr>
        <w:t>10.2</w:t>
        <w:tab/>
        <w:t>Amendment No. 8 dated November 17, 2005 to the $40,000,000 Euro/GBP Credit Agreement dated October 25, 2004 among Euronet Worldwide, Inc., e-pay Holdings Ltd. and Delta Euronet GmbH (as Borrowers) and Bank of America N.A. (as Lender) (filed as exhibit 10.2 to the Company’s Quarterly Report on Form 10-Q filed on August 4, 2006 and incorporated by reference herein)</w:t>
      </w:r>
    </w:p>
    <w:p>
      <w:pPr>
        <w:spacing w:after="0" w:line="181" w:lineRule="exact"/>
        <w:rPr>
          <w:sz w:val="20"/>
          <w:szCs w:val="20"/>
          <w:color w:val="auto"/>
        </w:rPr>
      </w:pPr>
    </w:p>
    <w:p>
      <w:pPr>
        <w:ind w:left="660" w:hanging="516"/>
        <w:spacing w:after="0" w:line="264" w:lineRule="auto"/>
        <w:tabs>
          <w:tab w:leader="none" w:pos="640" w:val="left"/>
        </w:tabs>
        <w:rPr>
          <w:sz w:val="20"/>
          <w:szCs w:val="20"/>
          <w:color w:val="auto"/>
        </w:rPr>
      </w:pPr>
      <w:r>
        <w:rPr>
          <w:rFonts w:ascii="Arial" w:cs="Arial" w:eastAsia="Arial" w:hAnsi="Arial"/>
          <w:sz w:val="18"/>
          <w:szCs w:val="18"/>
          <w:color w:val="auto"/>
        </w:rPr>
        <w:t>10.3</w:t>
        <w:tab/>
        <w:t>Amendment No. 8 dated May 26, 2006 to the $10,000,000 U.S. Credit Agreement dated October 25, 2004 among Euronet Worldwide, Inc., Payspot, Inc., Euronet USA, Inc. and Call Processing, Inc. (as Borrowers) and Bank of America, N.A. (as Lender) (filed as exhibit 10.3 to the Company’s Quarterly Report on Form 10-Q filed on August 4, 2006 and incorporated by reference herein)</w:t>
      </w:r>
    </w:p>
    <w:p>
      <w:pPr>
        <w:spacing w:after="0" w:line="181" w:lineRule="exact"/>
        <w:rPr>
          <w:sz w:val="20"/>
          <w:szCs w:val="20"/>
          <w:color w:val="auto"/>
        </w:rPr>
      </w:pPr>
    </w:p>
    <w:p>
      <w:pPr>
        <w:ind w:left="660" w:right="40" w:hanging="516"/>
        <w:spacing w:after="0" w:line="264" w:lineRule="auto"/>
        <w:tabs>
          <w:tab w:leader="none" w:pos="640" w:val="left"/>
        </w:tabs>
        <w:rPr>
          <w:sz w:val="20"/>
          <w:szCs w:val="20"/>
          <w:color w:val="auto"/>
        </w:rPr>
      </w:pPr>
      <w:r>
        <w:rPr>
          <w:rFonts w:ascii="Arial" w:cs="Arial" w:eastAsia="Arial" w:hAnsi="Arial"/>
          <w:sz w:val="18"/>
          <w:szCs w:val="18"/>
          <w:color w:val="auto"/>
        </w:rPr>
        <w:t>10.4</w:t>
        <w:tab/>
        <w:t>Amendment No. 9 dated May 26, 2006 to the $30,000,000 Euro/GBP Credit Agreement dated October 25, 2004 among Euronet Worldwide, Inc., e-pay Holdings Ltd. and Delta Euronet GmbH (as Borrowers) and Bank of America, N.A. (as Lender) (filed as exhibit 10.4 to the Company’s Quarterly Report on Form 10-Q filed on August 4, 2006 and incorporated by reference herein)</w:t>
      </w:r>
    </w:p>
    <w:p>
      <w:pPr>
        <w:spacing w:after="0" w:line="181" w:lineRule="exact"/>
        <w:rPr>
          <w:sz w:val="20"/>
          <w:szCs w:val="20"/>
          <w:color w:val="auto"/>
        </w:rPr>
      </w:pPr>
    </w:p>
    <w:p>
      <w:pPr>
        <w:ind w:left="660" w:hanging="516"/>
        <w:spacing w:after="0" w:line="277" w:lineRule="auto"/>
        <w:tabs>
          <w:tab w:leader="none" w:pos="640" w:val="left"/>
        </w:tabs>
        <w:rPr>
          <w:sz w:val="20"/>
          <w:szCs w:val="20"/>
          <w:color w:val="auto"/>
        </w:rPr>
      </w:pPr>
      <w:r>
        <w:rPr>
          <w:rFonts w:ascii="Arial" w:cs="Arial" w:eastAsia="Arial" w:hAnsi="Arial"/>
          <w:sz w:val="18"/>
          <w:szCs w:val="18"/>
          <w:color w:val="auto"/>
        </w:rPr>
        <w:t>10.5</w:t>
        <w:tab/>
        <w:t>Euro/GBP Credit Facility Guaranty Agreement dated May 26, 2006 in favor of Bank of America by our U.S. subsidiaries (filed as exhibit 10.5 to the Company’s Quarterly Report on Form 10-Q filed on August 4, 2006 and incorporated by reference herein)</w:t>
      </w:r>
    </w:p>
    <w:p>
      <w:pPr>
        <w:spacing w:after="0" w:line="170" w:lineRule="exact"/>
        <w:rPr>
          <w:sz w:val="20"/>
          <w:szCs w:val="20"/>
          <w:color w:val="auto"/>
        </w:rPr>
      </w:pPr>
    </w:p>
    <w:p>
      <w:pPr>
        <w:ind w:left="660" w:right="160" w:hanging="516"/>
        <w:spacing w:after="0" w:line="264" w:lineRule="auto"/>
        <w:tabs>
          <w:tab w:leader="none" w:pos="640" w:val="left"/>
        </w:tabs>
        <w:rPr>
          <w:sz w:val="20"/>
          <w:szCs w:val="20"/>
          <w:color w:val="auto"/>
        </w:rPr>
      </w:pPr>
      <w:r>
        <w:rPr>
          <w:rFonts w:ascii="Arial" w:cs="Arial" w:eastAsia="Arial" w:hAnsi="Arial"/>
          <w:sz w:val="18"/>
          <w:szCs w:val="18"/>
          <w:color w:val="auto"/>
        </w:rPr>
        <w:t>10.6</w:t>
        <w:tab/>
        <w:t>Rupee Credit Agreement dated May 26, 2006 among Euronet Worldwide, Inc. and Euronet India Pvt. Ltd. (as Borrowers) and Bank of America, N.A. acting through its Mumbai, India branch (filed as exhibit 10.6 to the Company’s Quarterly Report on Form 10-Q filed on August 4, 2006 and incorporated by reference herein)</w:t>
      </w:r>
    </w:p>
    <w:p>
      <w:pPr>
        <w:spacing w:after="0" w:line="181" w:lineRule="exact"/>
        <w:rPr>
          <w:sz w:val="20"/>
          <w:szCs w:val="20"/>
          <w:color w:val="auto"/>
        </w:rPr>
      </w:pPr>
    </w:p>
    <w:p>
      <w:pPr>
        <w:ind w:left="660" w:right="20" w:hanging="516"/>
        <w:spacing w:after="0" w:line="277" w:lineRule="auto"/>
        <w:tabs>
          <w:tab w:leader="none" w:pos="640" w:val="left"/>
        </w:tabs>
        <w:rPr>
          <w:sz w:val="20"/>
          <w:szCs w:val="20"/>
          <w:color w:val="auto"/>
        </w:rPr>
      </w:pPr>
      <w:r>
        <w:rPr>
          <w:rFonts w:ascii="Arial" w:cs="Arial" w:eastAsia="Arial" w:hAnsi="Arial"/>
          <w:sz w:val="18"/>
          <w:szCs w:val="18"/>
          <w:color w:val="auto"/>
        </w:rPr>
        <w:t>10.7</w:t>
        <w:tab/>
        <w:t>Rupee Credit Facility Guaranty Agreement dated May 26, 2006 in favor of Bank of America, N.A. by Euronet Worldwide, Inc. (filed as exhibit 10.7 to the Company’s Quarterly Report on Form 10-Q filed on August 4, 2006 and incorporated by reference herein)</w:t>
      </w:r>
    </w:p>
    <w:p>
      <w:pPr>
        <w:spacing w:after="0" w:line="170" w:lineRule="exact"/>
        <w:rPr>
          <w:sz w:val="20"/>
          <w:szCs w:val="20"/>
          <w:color w:val="auto"/>
        </w:rPr>
      </w:pPr>
    </w:p>
    <w:p>
      <w:pPr>
        <w:ind w:left="660" w:right="220" w:hanging="516"/>
        <w:spacing w:after="0" w:line="277" w:lineRule="auto"/>
        <w:tabs>
          <w:tab w:leader="none" w:pos="640" w:val="left"/>
        </w:tabs>
        <w:rPr>
          <w:sz w:val="20"/>
          <w:szCs w:val="20"/>
          <w:color w:val="auto"/>
        </w:rPr>
      </w:pPr>
      <w:r>
        <w:rPr>
          <w:rFonts w:ascii="Arial" w:cs="Arial" w:eastAsia="Arial" w:hAnsi="Arial"/>
          <w:sz w:val="18"/>
          <w:szCs w:val="18"/>
          <w:color w:val="auto"/>
        </w:rPr>
        <w:t>10.8</w:t>
        <w:tab/>
        <w:t>Form of Employee Restricted Stock Grant Agreement pursuant to Euronet Worldwide, Inc. 2006 Stock Incentive Plan (filed as exhibit 10.8 to the Company’s Quarterly Report on Form 10-Q filed on August 4, 2006 and incorporated by reference herein)</w:t>
      </w:r>
    </w:p>
    <w:p>
      <w:pPr>
        <w:spacing w:after="0" w:line="170"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Section 302 — Certifications of Chief Executive Officer</w:t>
      </w:r>
    </w:p>
    <w:p>
      <w:pPr>
        <w:spacing w:after="0" w:line="225"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Section 302 — Certifications of Chief Financial Officer</w:t>
      </w:r>
    </w:p>
    <w:p>
      <w:pPr>
        <w:spacing w:after="0" w:line="225" w:lineRule="exact"/>
        <w:rPr>
          <w:sz w:val="20"/>
          <w:szCs w:val="20"/>
          <w:color w:val="auto"/>
        </w:rPr>
      </w:pPr>
    </w:p>
    <w:p>
      <w:pPr>
        <w:ind w:left="160"/>
        <w:spacing w:after="0"/>
        <w:tabs>
          <w:tab w:leader="none" w:pos="6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906 — Certification of Chief Executive Officer and Chief Financial Officer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19"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ind w:right="3500" w:firstLine="3491"/>
        <w:spacing w:after="0" w:line="378" w:lineRule="auto"/>
        <w:rPr>
          <w:sz w:val="20"/>
          <w:szCs w:val="20"/>
          <w:color w:val="auto"/>
        </w:rPr>
      </w:pPr>
      <w:r>
        <w:rPr>
          <w:rFonts w:ascii="Arial" w:cs="Arial" w:eastAsia="Arial" w:hAnsi="Arial"/>
          <w:sz w:val="18"/>
          <w:szCs w:val="18"/>
          <w:b w:val="1"/>
          <w:bCs w:val="1"/>
          <w:color w:val="auto"/>
        </w:rPr>
        <w:t xml:space="preserve">CERTIFICATIONS OF CHIEF EXECUTIVE OFFICER </w:t>
      </w:r>
      <w:r>
        <w:rPr>
          <w:rFonts w:ascii="Arial" w:cs="Arial" w:eastAsia="Arial" w:hAnsi="Arial"/>
          <w:sz w:val="18"/>
          <w:szCs w:val="18"/>
          <w:color w:val="auto"/>
        </w:rPr>
        <w:t>I, Michael J. Brown, Chairman and Chief Executive Officer, certify that:</w:t>
      </w:r>
    </w:p>
    <w:p>
      <w:pPr>
        <w:ind w:left="200" w:hanging="192"/>
        <w:spacing w:after="0"/>
        <w:tabs>
          <w:tab w:leader="none" w:pos="2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280" w:firstLine="8"/>
        <w:spacing w:after="0" w:line="264" w:lineRule="auto"/>
        <w:tabs>
          <w:tab w:leader="none" w:pos="1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right="40" w:firstLine="8"/>
        <w:spacing w:after="0" w:line="277" w:lineRule="auto"/>
        <w:tabs>
          <w:tab w:leader="none" w:pos="1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200" w:hanging="10"/>
        <w:spacing w:after="0" w:line="264" w:lineRule="auto"/>
        <w:tabs>
          <w:tab w:leader="none" w:pos="5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80" w:hanging="10"/>
        <w:spacing w:after="0" w:line="264" w:lineRule="auto"/>
        <w:tabs>
          <w:tab w:leader="none" w:pos="5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40" w:hanging="10"/>
        <w:spacing w:after="0" w:line="277" w:lineRule="auto"/>
        <w:tabs>
          <w:tab w:leader="none" w:pos="5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60" w:right="240" w:hanging="10"/>
        <w:spacing w:after="0" w:line="264" w:lineRule="auto"/>
        <w:tabs>
          <w:tab w:leader="none" w:pos="5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360" w:right="60" w:hanging="10"/>
        <w:spacing w:after="0" w:line="277" w:lineRule="auto"/>
        <w:tabs>
          <w:tab w:leader="none" w:pos="54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left="360" w:right="140" w:hanging="10"/>
        <w:spacing w:after="0" w:line="277" w:lineRule="auto"/>
        <w:tabs>
          <w:tab w:leader="none" w:pos="5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2006</w:t>
      </w:r>
    </w:p>
    <w:p>
      <w:pPr>
        <w:spacing w:after="0" w:line="225" w:lineRule="exact"/>
        <w:rPr>
          <w:sz w:val="20"/>
          <w:szCs w:val="20"/>
          <w:color w:val="auto"/>
        </w:rPr>
      </w:pPr>
    </w:p>
    <w:p>
      <w:pPr>
        <w:jc w:val="center"/>
        <w:ind w:right="71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273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2" w:lineRule="exact"/>
        <w:rPr>
          <w:sz w:val="20"/>
          <w:szCs w:val="20"/>
          <w:color w:val="auto"/>
        </w:rPr>
      </w:pPr>
    </w:p>
    <w:p>
      <w:pPr>
        <w:jc w:val="center"/>
        <w:ind w:right="71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120"/>
        <w:spacing w:after="0"/>
        <w:rPr>
          <w:sz w:val="20"/>
          <w:szCs w:val="20"/>
          <w:color w:val="auto"/>
        </w:rPr>
      </w:pPr>
      <w:r>
        <w:rPr>
          <w:rFonts w:ascii="Arial" w:cs="Arial" w:eastAsia="Arial" w:hAnsi="Arial"/>
          <w:sz w:val="18"/>
          <w:szCs w:val="18"/>
          <w:b w:val="1"/>
          <w:bCs w:val="1"/>
          <w:color w:val="auto"/>
        </w:rPr>
        <w:t>Chairman and Chief Executive Officer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93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ind w:right="3520" w:firstLine="3516"/>
        <w:spacing w:after="0" w:line="378" w:lineRule="auto"/>
        <w:rPr>
          <w:sz w:val="20"/>
          <w:szCs w:val="20"/>
          <w:color w:val="auto"/>
        </w:rPr>
      </w:pPr>
      <w:r>
        <w:rPr>
          <w:rFonts w:ascii="Arial" w:cs="Arial" w:eastAsia="Arial" w:hAnsi="Arial"/>
          <w:sz w:val="18"/>
          <w:szCs w:val="18"/>
          <w:b w:val="1"/>
          <w:bCs w:val="1"/>
          <w:color w:val="auto"/>
        </w:rPr>
        <w:t xml:space="preserve">CERTIFICATIONS OF CHIEF FINANCIAL OFFICER </w:t>
      </w:r>
      <w:r>
        <w:rPr>
          <w:rFonts w:ascii="Arial" w:cs="Arial" w:eastAsia="Arial" w:hAnsi="Arial"/>
          <w:sz w:val="18"/>
          <w:szCs w:val="18"/>
          <w:color w:val="auto"/>
        </w:rPr>
        <w:t>I, Rick L. Weller, Chief Financial Officer and Principal Accounting Officer, certify that:</w:t>
      </w:r>
    </w:p>
    <w:p>
      <w:pPr>
        <w:ind w:left="200" w:hanging="192"/>
        <w:spacing w:after="0"/>
        <w:tabs>
          <w:tab w:leader="none" w:pos="2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20" w:firstLine="8"/>
        <w:spacing w:after="0" w:line="264" w:lineRule="auto"/>
        <w:tabs>
          <w:tab w:leader="none" w:pos="19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360" w:right="200" w:hanging="10"/>
        <w:spacing w:after="0" w:line="264" w:lineRule="auto"/>
        <w:tabs>
          <w:tab w:leader="none" w:pos="5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80" w:hanging="10"/>
        <w:spacing w:after="0" w:line="264" w:lineRule="auto"/>
        <w:tabs>
          <w:tab w:leader="none" w:pos="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40" w:hanging="10"/>
        <w:spacing w:after="0" w:line="277" w:lineRule="auto"/>
        <w:tabs>
          <w:tab w:leader="none" w:pos="5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360" w:right="240" w:hanging="10"/>
        <w:spacing w:after="0" w:line="264" w:lineRule="auto"/>
        <w:tabs>
          <w:tab w:leader="none" w:pos="555"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rFonts w:ascii="Arial" w:cs="Arial" w:eastAsia="Arial" w:hAnsi="Arial"/>
          <w:sz w:val="18"/>
          <w:szCs w:val="18"/>
          <w:color w:val="auto"/>
        </w:rPr>
      </w:pPr>
    </w:p>
    <w:p>
      <w:pPr>
        <w:ind w:right="560" w:firstLine="8"/>
        <w:spacing w:after="0" w:line="308" w:lineRule="auto"/>
        <w:tabs>
          <w:tab w:leader="none" w:pos="195"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38" w:lineRule="exact"/>
        <w:rPr>
          <w:rFonts w:ascii="Arial" w:cs="Arial" w:eastAsia="Arial" w:hAnsi="Arial"/>
          <w:sz w:val="17"/>
          <w:szCs w:val="17"/>
          <w:color w:val="auto"/>
        </w:rPr>
      </w:pPr>
    </w:p>
    <w:p>
      <w:pPr>
        <w:ind w:left="360" w:right="60" w:hanging="10"/>
        <w:spacing w:after="0" w:line="277" w:lineRule="auto"/>
        <w:tabs>
          <w:tab w:leader="none" w:pos="54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data; and</w:t>
      </w:r>
    </w:p>
    <w:p>
      <w:pPr>
        <w:spacing w:after="0" w:line="62" w:lineRule="exact"/>
        <w:rPr>
          <w:rFonts w:ascii="Arial" w:cs="Arial" w:eastAsia="Arial" w:hAnsi="Arial"/>
          <w:sz w:val="18"/>
          <w:szCs w:val="18"/>
          <w:color w:val="auto"/>
        </w:rPr>
      </w:pPr>
    </w:p>
    <w:p>
      <w:pPr>
        <w:ind w:right="460" w:firstLine="350"/>
        <w:spacing w:after="0" w:line="402" w:lineRule="auto"/>
        <w:tabs>
          <w:tab w:leader="none" w:pos="5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Date: November 3, 2006</w:t>
      </w:r>
    </w:p>
    <w:p>
      <w:pPr>
        <w:spacing w:after="0" w:line="63"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35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2" w:lineRule="exact"/>
        <w:rPr>
          <w:sz w:val="20"/>
          <w:szCs w:val="20"/>
          <w:color w:val="auto"/>
        </w:rPr>
      </w:pPr>
    </w:p>
    <w:p>
      <w:pPr>
        <w:jc w:val="center"/>
        <w:ind w:right="71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100"/>
        <w:spacing w:after="0"/>
        <w:rPr>
          <w:sz w:val="20"/>
          <w:szCs w:val="20"/>
          <w:color w:val="auto"/>
        </w:rPr>
      </w:pPr>
      <w:r>
        <w:rPr>
          <w:rFonts w:ascii="Arial" w:cs="Arial" w:eastAsia="Arial" w:hAnsi="Arial"/>
          <w:sz w:val="17"/>
          <w:szCs w:val="17"/>
          <w:b w:val="1"/>
          <w:bCs w:val="1"/>
          <w:color w:val="auto"/>
        </w:rPr>
        <w:t>Chief Financial Officer and Chief Accounting Officer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3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2006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00" w:hanging="250"/>
        <w:spacing w:after="0"/>
        <w:tabs>
          <w:tab w:leader="none" w:pos="6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00" w:hanging="250"/>
        <w:spacing w:after="0"/>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120"/>
        <w:spacing w:after="0"/>
        <w:rPr>
          <w:sz w:val="20"/>
          <w:szCs w:val="20"/>
          <w:color w:val="auto"/>
        </w:rPr>
      </w:pPr>
      <w:r>
        <w:rPr>
          <w:rFonts w:ascii="Arial" w:cs="Arial" w:eastAsia="Arial" w:hAnsi="Arial"/>
          <w:sz w:val="18"/>
          <w:szCs w:val="18"/>
          <w:color w:val="auto"/>
        </w:rPr>
        <w:t>/s/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273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12" w:lineRule="exact"/>
        <w:rPr>
          <w:sz w:val="20"/>
          <w:szCs w:val="20"/>
          <w:color w:val="auto"/>
        </w:rPr>
      </w:pPr>
    </w:p>
    <w:p>
      <w:pPr>
        <w:jc w:val="center"/>
        <w:ind w:right="71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120"/>
        <w:spacing w:after="0"/>
        <w:rPr>
          <w:sz w:val="20"/>
          <w:szCs w:val="20"/>
          <w:color w:val="auto"/>
        </w:rPr>
      </w:pPr>
      <w:r>
        <w:rPr>
          <w:rFonts w:ascii="Arial" w:cs="Arial" w:eastAsia="Arial" w:hAnsi="Arial"/>
          <w:sz w:val="18"/>
          <w:szCs w:val="18"/>
          <w:b w:val="1"/>
          <w:bCs w:val="1"/>
          <w:color w:val="auto"/>
        </w:rPr>
        <w:t>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November 3, 2006</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2006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600" w:hanging="250"/>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600" w:hanging="250"/>
        <w:spacing w:after="0"/>
        <w:tabs>
          <w:tab w:leader="none" w:pos="6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100"/>
        <w:spacing w:after="0"/>
        <w:rPr>
          <w:sz w:val="20"/>
          <w:szCs w:val="20"/>
          <w:color w:val="auto"/>
        </w:rPr>
      </w:pPr>
      <w:r>
        <w:rPr>
          <w:rFonts w:ascii="Arial" w:cs="Arial" w:eastAsia="Arial" w:hAnsi="Arial"/>
          <w:sz w:val="18"/>
          <w:szCs w:val="18"/>
          <w:color w:val="auto"/>
        </w:rPr>
        <w:t>/s/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735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2" w:lineRule="exact"/>
        <w:rPr>
          <w:sz w:val="20"/>
          <w:szCs w:val="20"/>
          <w:color w:val="auto"/>
        </w:rPr>
      </w:pPr>
    </w:p>
    <w:p>
      <w:pPr>
        <w:jc w:val="center"/>
        <w:ind w:right="710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100"/>
        <w:spacing w:after="0"/>
        <w:rPr>
          <w:sz w:val="20"/>
          <w:szCs w:val="20"/>
          <w:color w:val="auto"/>
        </w:rPr>
      </w:pPr>
      <w:r>
        <w:rPr>
          <w:rFonts w:ascii="Arial" w:cs="Arial" w:eastAsia="Arial" w:hAnsi="Arial"/>
          <w:sz w:val="17"/>
          <w:szCs w:val="17"/>
          <w:b w:val="1"/>
          <w:bCs w:val="1"/>
          <w:color w:val="auto"/>
        </w:rPr>
        <w:t>Chief Financial Officer and Chief Accounting Officer</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November 3,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9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2019-12-14T14:07:38Z</dcterms:created>
  <dcterms:modified xsi:type="dcterms:W3CDTF">2019-12-14T14:07:38Z</dcterms:modified>
</cp:coreProperties>
</file>