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ectPr>
          <w:pgSz w:w="11900" w:h="16882" w:orient="portrait"/>
          <w:cols w:equalWidth="0" w:num="1">
            <w:col w:w="11240"/>
          </w:cols>
          <w:pgMar w:left="320" w:top="37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630" w:lineRule="exact"/>
        <w:rPr>
          <w:sz w:val="24"/>
          <w:szCs w:val="24"/>
          <w:color w:val="auto"/>
        </w:rPr>
      </w:pPr>
    </w:p>
    <w:p>
      <w:pPr>
        <w:sectPr>
          <w:pgSz w:w="11900" w:h="16882" w:orient="portrait"/>
          <w:cols w:equalWidth="0" w:num="2">
            <w:col w:w="2400" w:space="720"/>
            <w:col w:w="8120"/>
          </w:cols>
          <w:pgMar w:left="320" w:top="371" w:right="339" w:bottom="0" w:gutter="0" w:footer="0" w:header="0"/>
          <w:type w:val="continuous"/>
        </w:sectPr>
      </w:pPr>
    </w:p>
    <w:p>
      <w:pPr>
        <w:spacing w:after="0" w:line="214" w:lineRule="exact"/>
        <w:rPr>
          <w:sz w:val="24"/>
          <w:szCs w:val="24"/>
          <w:color w:val="auto"/>
        </w:rPr>
      </w:pPr>
    </w:p>
    <w:p>
      <w:pPr>
        <w:ind w:left="760" w:hanging="719"/>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760" w:hanging="719"/>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70" w:lineRule="exact"/>
        <w:rPr>
          <w:rFonts w:ascii="MS PGothic" w:cs="MS PGothic" w:eastAsia="MS PGothic" w:hAnsi="MS PGothic"/>
          <w:sz w:val="18"/>
          <w:szCs w:val="18"/>
          <w:color w:val="auto"/>
        </w:rPr>
      </w:pPr>
    </w:p>
    <w:p>
      <w:pPr>
        <w:ind w:left="760" w:hanging="719"/>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760" w:hanging="719"/>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Euronet Worldwide, Inc.</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3" w:lineRule="exact"/>
        <w:rPr>
          <w:sz w:val="24"/>
          <w:szCs w:val="24"/>
          <w:color w:val="auto"/>
        </w:rPr>
      </w:pPr>
    </w:p>
    <w:p>
      <w:pPr>
        <w:ind w:left="760" w:hanging="719"/>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760" w:hanging="719"/>
        <w:spacing w:after="0"/>
        <w:tabs>
          <w:tab w:leader="none" w:pos="7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1Title of each class of securities to which transaction applies:</w:t>
      </w:r>
    </w:p>
    <w:p>
      <w:pPr>
        <w:spacing w:after="0" w:line="63" w:lineRule="exact"/>
        <w:rPr>
          <w:rFonts w:ascii="MS PGothic" w:cs="MS PGothic" w:eastAsia="MS PGothic" w:hAnsi="MS PGothic"/>
          <w:sz w:val="18"/>
          <w:szCs w:val="18"/>
          <w:color w:val="auto"/>
        </w:rPr>
      </w:pPr>
    </w:p>
    <w:p>
      <w:pPr>
        <w:ind w:left="11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43180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-136525</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70" w:lineRule="exact"/>
        <w:rPr>
          <w:sz w:val="24"/>
          <w:szCs w:val="24"/>
          <w:color w:val="auto"/>
        </w:rPr>
      </w:pPr>
    </w:p>
    <w:p>
      <w:pPr>
        <w:ind w:left="1520" w:right="180" w:hanging="426"/>
        <w:spacing w:after="0" w:line="281" w:lineRule="auto"/>
        <w:tabs>
          <w:tab w:leader="none" w:pos="1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-3810</wp:posOffset>
            </wp:positionV>
            <wp:extent cx="6189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ind w:left="1520" w:hanging="426"/>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6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Total fee paid:</w:t>
      </w:r>
    </w:p>
    <w:p>
      <w:pPr>
        <w:spacing w:after="0" w:line="76" w:lineRule="exact"/>
        <w:rPr>
          <w:rFonts w:ascii="Times New Roman" w:cs="Times New Roman" w:eastAsia="Times New Roman" w:hAnsi="Times New Roman"/>
          <w:sz w:val="18"/>
          <w:szCs w:val="18"/>
          <w:color w:val="auto"/>
        </w:rPr>
      </w:pPr>
    </w:p>
    <w:p>
      <w:pPr>
        <w:ind w:left="760" w:hanging="719"/>
        <w:spacing w:after="0"/>
        <w:tabs>
          <w:tab w:leader="none" w:pos="7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760" w:right="320" w:hanging="719"/>
        <w:spacing w:after="0" w:line="281" w:lineRule="auto"/>
        <w:tabs>
          <w:tab w:leader="none" w:pos="7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11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34290</wp:posOffset>
            </wp:positionV>
            <wp:extent cx="6189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-796290</wp:posOffset>
            </wp:positionV>
            <wp:extent cx="6189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57" w:lineRule="exact"/>
        <w:rPr>
          <w:sz w:val="24"/>
          <w:szCs w:val="24"/>
          <w:color w:val="auto"/>
        </w:rPr>
      </w:pPr>
    </w:p>
    <w:p>
      <w:pPr>
        <w:ind w:left="1520" w:hanging="426"/>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6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3Filing Party:</w:t>
      </w:r>
    </w:p>
    <w:p>
      <w:pPr>
        <w:spacing w:after="0" w:line="76"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43180</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-136525</wp:posOffset>
            </wp:positionV>
            <wp:extent cx="6189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-316230</wp:posOffset>
            </wp:positionV>
            <wp:extent cx="6189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313055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634365</wp:posOffset>
            </wp:positionV>
            <wp:extent cx="213423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EURONET WORLDWIDE, INC.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11400 TOMAHAWK CREEK PARKWAY, SUITE 300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LEAWOOD, KANSAS 66211</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913-327-4200</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HELD ON May 21, 2026</w:t>
      </w:r>
    </w:p>
    <w:p>
      <w:pPr>
        <w:spacing w:after="0" w:line="176" w:lineRule="exact"/>
        <w:rPr>
          <w:sz w:val="24"/>
          <w:szCs w:val="24"/>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Euronet Worldwide, Inc., a Delaware corporation (“Euronet,” the “Company,” “we” or “us”), will hold the Annual Meeting of our stockholders (“Annual Meeting”) on Thursday, May 21, 2026 at 1:00 p.m. (Central time) at Euronet's corporate headquarters at 11400 Tomahawk Creek Parkway, Suite 300, Leawood, Kansas 66211, USA, to consider and vote upon the following matters:</w:t>
      </w:r>
    </w:p>
    <w:p>
      <w:pPr>
        <w:spacing w:after="0" w:line="122" w:lineRule="exact"/>
        <w:rPr>
          <w:sz w:val="24"/>
          <w:szCs w:val="24"/>
          <w:color w:val="auto"/>
        </w:rPr>
      </w:pPr>
    </w:p>
    <w:p>
      <w:pPr>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Company’s three nominees for Class II Director, each to serve a three-year term expiring upon the 2029 Annual Meeting or until a successor is duly elected and qualified;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amendments to the amended 2006 Stock Incentive Plan</w:t>
      </w:r>
    </w:p>
    <w:p>
      <w:pPr>
        <w:sectPr>
          <w:pgSz w:w="11900" w:h="16882" w:orient="portrait"/>
          <w:cols w:equalWidth="0" w:num="1">
            <w:col w:w="11240"/>
          </w:cols>
          <w:pgMar w:left="320" w:top="371" w:right="339" w:bottom="0" w:gutter="0" w:footer="0" w:header="0"/>
          <w:type w:val="continuous"/>
        </w:sectPr>
      </w:pPr>
    </w:p>
    <w:bookmarkStart w:id="1" w:name="page2"/>
    <w:bookmarkEnd w:id="1"/>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the annual advisory vote to approve executive compensation;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KPMG LLP as Euronet’s independent registered public accounting firm for the year ending December 31, 2026.</w:t>
      </w:r>
    </w:p>
    <w:p>
      <w:pPr>
        <w:spacing w:after="0" w:line="16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fixed the close of business on March 26, 2026, as the record date for the determination of stockholders entitled to notice of, and to vote at, the Annual Meeting and at any adjournment of the meeting.</w:t>
      </w:r>
    </w:p>
    <w:p>
      <w:pPr>
        <w:spacing w:after="0" w:line="256"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This year, we are again pleased to take advantage of the Securities and Exchange Commission (the “SEC”) rules that allow issuers to furnish proxy materials to their stockholders on the Internet. We believe these rules allow us to provide you with the information you need while lowering the costs of delivery and reducing the environmental impact of the Annual Meeting.</w:t>
      </w:r>
    </w:p>
    <w:p>
      <w:pPr>
        <w:spacing w:after="0" w:line="257"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our Annual Meeting. To ensure that your vote is counted at the Annual Meeting, however, please vote as promptly as possible.</w:t>
      </w:r>
    </w:p>
    <w:p>
      <w:pPr>
        <w:spacing w:after="0" w:line="200" w:lineRule="exact"/>
        <w:rPr>
          <w:sz w:val="20"/>
          <w:szCs w:val="20"/>
          <w:color w:val="auto"/>
        </w:rPr>
      </w:pPr>
    </w:p>
    <w:p>
      <w:pPr>
        <w:spacing w:after="0" w:line="20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51435</wp:posOffset>
            </wp:positionV>
            <wp:extent cx="168021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2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Michael J. Brown</w:t>
      </w:r>
    </w:p>
    <w:p>
      <w:pPr>
        <w:spacing w:after="0" w:line="6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00" w:type="dxa"/>
            <w:vAlign w:val="bottom"/>
            <w:gridSpan w:val="9"/>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EURONET WORLDWIDE, INC.</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20" w:type="dxa"/>
            <w:vAlign w:val="bottom"/>
            <w:gridSpan w:val="11"/>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7"/>
              </w:rPr>
              <w:t>11400 TOMAHAWK CREEK PARKWAY, SUITE 300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00" w:type="dxa"/>
            <w:vAlign w:val="bottom"/>
            <w:gridSpan w:val="9"/>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LEAWOOD, KANSAS 66211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80" w:type="dxa"/>
            <w:vAlign w:val="bottom"/>
            <w:gridSpan w:val="1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913-327-4200</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9"/>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PROXY STATEMENT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0" w:type="dxa"/>
            <w:vAlign w:val="bottom"/>
            <w:tcBorders>
              <w:left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00" w:type="dxa"/>
            <w:vAlign w:val="bottom"/>
            <w:tcBorders>
              <w:right w:val="single" w:sz="8" w:color="auto"/>
            </w:tcBorders>
            <w:gridSpan w:val="9"/>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w:t>
            </w:r>
          </w:p>
        </w:tc>
        <w:tc>
          <w:tcPr>
            <w:tcW w:w="7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30"/>
        </w:trPr>
        <w:tc>
          <w:tcPr>
            <w:tcW w:w="80" w:type="dxa"/>
            <w:vAlign w:val="bottom"/>
            <w:tcBorders>
              <w:left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00" w:type="dxa"/>
            <w:vAlign w:val="bottom"/>
            <w:tcBorders>
              <w:right w:val="single" w:sz="8" w:color="auto"/>
            </w:tcBorders>
            <w:gridSpan w:val="9"/>
            <w:vMerge w:val="continue"/>
          </w:tcPr>
          <w:p>
            <w:pPr>
              <w:spacing w:after="0"/>
              <w:rPr>
                <w:sz w:val="11"/>
                <w:szCs w:val="11"/>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08"/>
        </w:trPr>
        <w:tc>
          <w:tcPr>
            <w:tcW w:w="80" w:type="dxa"/>
            <w:vAlign w:val="bottom"/>
            <w:tcBorders>
              <w:left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 w:type="dxa"/>
            <w:vAlign w:val="bottom"/>
            <w:tcBorders>
              <w:left w:val="single" w:sz="8" w:color="auto"/>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2026 PROXY STATEMENT - SUMMARY</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GENERAL INFORMATION</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STOCKHOLDER ENGAGEMENT</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CORPORATE RESPONSIBILITY &amp; SUSTAINABILITY AT EURONET</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BENEFICIAL OWNERSHIP OF COMMON STOCK</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CORPORATE GOVERNANCE</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PROPOSAL 1 - ELECTION OF DIRECTORS</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PROPOSAL 2 - APPROVAL OF AMENDMENTS TO THE AMENDED 2006 STOCK INCENTIVE PLAN</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PROPOSAL 3 - ADVISORY VOTE TO APPROVE EXECUTIVE COMPENSATION</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PROPOSAL 4 - RATIFICATION OF KPMG LLP AS OUR INDEPENDENT REGISTERED PUBLIC ACCOUNTING</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500" w:type="dxa"/>
            <w:vAlign w:val="bottom"/>
            <w:tcBorders>
              <w:left w:val="single" w:sz="8" w:color="auto"/>
              <w:right w:val="single" w:sz="8" w:color="auto"/>
            </w:tcBorders>
            <w:gridSpan w:val="22"/>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0000FF"/>
              </w:rPr>
              <w:t>FIRM FOR THE FISCAL YEAR 2026</w:t>
            </w:r>
          </w:p>
        </w:tc>
        <w:tc>
          <w:tcPr>
            <w:tcW w:w="7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0500" w:type="dxa"/>
            <w:vAlign w:val="bottom"/>
            <w:tcBorders>
              <w:left w:val="single" w:sz="8" w:color="auto"/>
              <w:right w:val="single" w:sz="8" w:color="auto"/>
            </w:tcBorders>
            <w:gridSpan w:val="22"/>
            <w:vMerge w:val="continue"/>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Borders>
              <w:left w:val="single" w:sz="8" w:color="auto"/>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COMPENSATION DISCUSSION AND ANALYSIS</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COMPENSATION COMMITTEE REPORT</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COMPENSATION TABLES</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DIRECTOR COMPENSATION</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AUDIT MATTERS</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OTHER MATTERS</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APPENDIX A RECONCILIATION OF NON-GAAP MEASURES</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500" w:type="dxa"/>
            <w:vAlign w:val="bottom"/>
            <w:tcBorders>
              <w:left w:val="single" w:sz="8" w:color="auto"/>
              <w:right w:val="single" w:sz="8" w:color="auto"/>
            </w:tcBorders>
            <w:gridSpan w:val="22"/>
          </w:tcPr>
          <w:p>
            <w:pPr>
              <w:ind w:left="80"/>
              <w:spacing w:after="0" w:line="169" w:lineRule="exact"/>
              <w:rPr>
                <w:sz w:val="20"/>
                <w:szCs w:val="20"/>
                <w:color w:val="auto"/>
              </w:rPr>
            </w:pPr>
            <w:r>
              <w:rPr>
                <w:rFonts w:ascii="Times New Roman" w:cs="Times New Roman" w:eastAsia="Times New Roman" w:hAnsi="Times New Roman"/>
                <w:sz w:val="18"/>
                <w:szCs w:val="18"/>
                <w:color w:val="0000FF"/>
              </w:rPr>
              <w:t>APPENDIX B AMENDED AND RESTATED 2006 STOCK INCENTIVE PLAN</w:t>
            </w:r>
          </w:p>
        </w:tc>
        <w:tc>
          <w:tcPr>
            <w:tcW w:w="7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6000" w:type="dxa"/>
            <w:vAlign w:val="bottom"/>
            <w:gridSpan w:val="16"/>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6EBF"/>
        </w:rPr>
        <w:t>2026 PROXY STATEMENT -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10, 2026</w:t>
      </w:r>
    </w:p>
    <w:p>
      <w:pPr>
        <w:spacing w:after="0" w:line="229"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Proxy Statement. This summary does not contain all of the information you should consider. You should read the entire Proxy Statement carefully before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GENERAL INFORMATION </w:t>
      </w:r>
      <w:r>
        <w:rPr>
          <w:rFonts w:ascii="Times New Roman" w:cs="Times New Roman" w:eastAsia="Times New Roman" w:hAnsi="Times New Roman"/>
          <w:sz w:val="18"/>
          <w:szCs w:val="18"/>
          <w:u w:val="single" w:color="auto"/>
          <w:color w:val="auto"/>
        </w:rPr>
        <w:t>(see pages 5 - 6)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Annual Meeting of stockholders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Thursday, May 21,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1:00 p.m., Central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w:t>
      </w:r>
      <w:r>
        <w:rPr>
          <w:rFonts w:ascii="Times New Roman" w:cs="Times New Roman" w:eastAsia="Times New Roman" w:hAnsi="Times New Roman"/>
          <w:sz w:val="18"/>
          <w:szCs w:val="18"/>
          <w:color w:val="auto"/>
        </w:rPr>
        <w:t>: Euronet Worldwide, Inc., 11400 Tomahawk Creek Parkway, Suite 300, Leawood, Kansas 66211</w:t>
      </w:r>
    </w:p>
    <w:p>
      <w:pPr>
        <w:sectPr>
          <w:pgSz w:w="11900" w:h="16838" w:orient="portrait"/>
          <w:cols w:equalWidth="0" w:num="1">
            <w:col w:w="11240"/>
          </w:cols>
          <w:pgMar w:left="320" w:top="121" w:right="339" w:bottom="0" w:gutter="0" w:footer="0" w:header="0"/>
        </w:sectPr>
      </w:pPr>
    </w:p>
    <w:bookmarkStart w:id="2" w:name="page3"/>
    <w:bookmarkEnd w:id="2"/>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March 26,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Mailing Date: </w:t>
      </w:r>
      <w:r>
        <w:rPr>
          <w:rFonts w:ascii="Times New Roman" w:cs="Times New Roman" w:eastAsia="Times New Roman" w:hAnsi="Times New Roman"/>
          <w:sz w:val="18"/>
          <w:szCs w:val="18"/>
          <w:color w:val="auto"/>
        </w:rPr>
        <w:t>The notice regarding the availability of proxy materials was first mailed to stockholders on or about April 10,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Symbol</w:t>
      </w:r>
      <w:r>
        <w:rPr>
          <w:rFonts w:ascii="Times New Roman" w:cs="Times New Roman" w:eastAsia="Times New Roman" w:hAnsi="Times New Roman"/>
          <w:sz w:val="18"/>
          <w:szCs w:val="18"/>
          <w:color w:val="auto"/>
        </w:rPr>
        <w:t>: EEFT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NASDAQ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Outstanding at the Record Date</w:t>
      </w:r>
      <w:r>
        <w:rPr>
          <w:rFonts w:ascii="Times New Roman" w:cs="Times New Roman" w:eastAsia="Times New Roman" w:hAnsi="Times New Roman"/>
          <w:sz w:val="18"/>
          <w:szCs w:val="18"/>
          <w:color w:val="auto"/>
        </w:rPr>
        <w:t>: 37,966,104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of Incorporation</w:t>
      </w:r>
      <w:r>
        <w:rPr>
          <w:rFonts w:ascii="Times New Roman" w:cs="Times New Roman" w:eastAsia="Times New Roman" w:hAnsi="Times New Roman"/>
          <w:sz w:val="18"/>
          <w:szCs w:val="18"/>
          <w:color w:val="auto"/>
        </w:rPr>
        <w:t>: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of Incorporation</w:t>
      </w:r>
      <w:r>
        <w:rPr>
          <w:rFonts w:ascii="Times New Roman" w:cs="Times New Roman" w:eastAsia="Times New Roman" w:hAnsi="Times New Roman"/>
          <w:sz w:val="18"/>
          <w:szCs w:val="18"/>
          <w:color w:val="auto"/>
        </w:rPr>
        <w:t>: 1996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Company Since</w:t>
      </w:r>
      <w:r>
        <w:rPr>
          <w:rFonts w:ascii="Times New Roman" w:cs="Times New Roman" w:eastAsia="Times New Roman" w:hAnsi="Times New Roman"/>
          <w:sz w:val="18"/>
          <w:szCs w:val="18"/>
          <w:color w:val="auto"/>
        </w:rPr>
        <w:t>: 1997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Headquarters</w:t>
      </w:r>
      <w:r>
        <w:rPr>
          <w:rFonts w:ascii="Times New Roman" w:cs="Times New Roman" w:eastAsia="Times New Roman" w:hAnsi="Times New Roman"/>
          <w:sz w:val="18"/>
          <w:szCs w:val="18"/>
          <w:color w:val="auto"/>
        </w:rPr>
        <w:t>: 11400 Tomahawk Creek Parkway, Suite 300, Leawood, Kansas 66211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Website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www.euronetworldwide.com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Website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ir.euronetworldwide.com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ir.euronetworldwide.com/financial-information/annual-reports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EXECUTIVE COMPENSATION </w:t>
      </w:r>
      <w:r>
        <w:rPr>
          <w:rFonts w:ascii="Times New Roman" w:cs="Times New Roman" w:eastAsia="Times New Roman" w:hAnsi="Times New Roman"/>
          <w:sz w:val="18"/>
          <w:szCs w:val="18"/>
          <w:u w:val="single" w:color="auto"/>
          <w:color w:val="auto"/>
        </w:rPr>
        <w:t>(see pages 28 - 54)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Michael J. Brown (age 69; CEO since July 1994)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2025 Total Direct Compensation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Base Salary: $925,000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Annual Performance Bonus: $1,850,000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Long-Term Incentives: $0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(see pages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-5080</wp:posOffset>
            </wp:positionV>
            <wp:extent cx="386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r>
        <w:rPr>
          <w:rFonts w:ascii="Times New Roman" w:cs="Times New Roman" w:eastAsia="Times New Roman" w:hAnsi="Times New Roman"/>
          <w:sz w:val="18"/>
          <w:szCs w:val="18"/>
          <w:color w:val="auto"/>
        </w:rPr>
        <w:t>: 3</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Sara Baack</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Ligia Torres Fentanes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Dr. Andrzej Olechowski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Term</w:t>
      </w:r>
      <w:r>
        <w:rPr>
          <w:rFonts w:ascii="Times New Roman" w:cs="Times New Roman" w:eastAsia="Times New Roman" w:hAnsi="Times New Roman"/>
          <w:sz w:val="18"/>
          <w:szCs w:val="18"/>
          <w:color w:val="auto"/>
        </w:rPr>
        <w:t>: Three years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 Standard</w:t>
      </w:r>
      <w:r>
        <w:rPr>
          <w:rFonts w:ascii="Times New Roman" w:cs="Times New Roman" w:eastAsia="Times New Roman" w:hAnsi="Times New Roman"/>
          <w:sz w:val="18"/>
          <w:szCs w:val="18"/>
          <w:color w:val="auto"/>
        </w:rPr>
        <w:t>: Majority of votes cast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in 2025</w:t>
      </w:r>
      <w:r>
        <w:rPr>
          <w:rFonts w:ascii="Times New Roman" w:cs="Times New Roman" w:eastAsia="Times New Roman" w:hAnsi="Times New Roman"/>
          <w:sz w:val="18"/>
          <w:szCs w:val="18"/>
          <w:color w:val="auto"/>
        </w:rPr>
        <w:t>: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Standing Board Committees (Meetings in 2025):</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Audit (4), Compensation (4), Nominating &amp; Corporate Governance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Materials: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ir.euronetworldwide.com/corporate-governance/management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Communication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ir.euronetworldwide.com/corporate-governance/contact-the-board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OTHER ITEMS TO BE VOTED ON </w:t>
      </w:r>
      <w:r>
        <w:rPr>
          <w:rFonts w:ascii="Times New Roman" w:cs="Times New Roman" w:eastAsia="Times New Roman" w:hAnsi="Times New Roman"/>
          <w:sz w:val="18"/>
          <w:szCs w:val="18"/>
          <w:u w:val="single" w:color="auto"/>
          <w:color w:val="auto"/>
        </w:rPr>
        <w:t>(see pages 17 - 27)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amendments to the Amended 2006 Stock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 (KPMG LLP)</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7880" w:type="dxa"/>
            <w:vAlign w:val="bottom"/>
            <w:tcBorders>
              <w:top w:val="single" w:sz="8" w:color="auto"/>
              <w:left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rPr>
              <w:t>On which pages</w:t>
            </w:r>
          </w:p>
        </w:tc>
      </w:tr>
      <w:tr>
        <w:trPr>
          <w:trHeight w:val="220"/>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VOTING GUIDELINES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How does the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this Proxy</w:t>
            </w:r>
          </w:p>
        </w:tc>
      </w:tr>
      <w:tr>
        <w:trPr>
          <w:trHeight w:val="212"/>
        </w:trPr>
        <w:tc>
          <w:tcPr>
            <w:tcW w:w="788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Board of</w:t>
            </w:r>
          </w:p>
        </w:tc>
        <w:tc>
          <w:tcPr>
            <w:tcW w:w="1680" w:type="dxa"/>
            <w:vAlign w:val="bottom"/>
            <w:tcBorders>
              <w:right w:val="single" w:sz="8" w:color="auto"/>
            </w:tcBorders>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rPr>
              <w:t>Statement can I</w:t>
            </w:r>
          </w:p>
        </w:tc>
      </w:tr>
      <w:tr>
        <w:trPr>
          <w:trHeight w:val="216"/>
        </w:trPr>
        <w:tc>
          <w:tcPr>
            <w:tcW w:w="788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Directors</w:t>
            </w:r>
          </w:p>
        </w:tc>
        <w:tc>
          <w:tcPr>
            <w:tcW w:w="1680" w:type="dxa"/>
            <w:vAlign w:val="bottom"/>
            <w:tcBorders>
              <w:right w:val="single" w:sz="8" w:color="auto"/>
            </w:tcBorders>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9"/>
              </w:rPr>
              <w:t>read more</w:t>
            </w:r>
          </w:p>
        </w:tc>
      </w:tr>
      <w:tr>
        <w:trPr>
          <w:trHeight w:val="216"/>
        </w:trPr>
        <w:tc>
          <w:tcPr>
            <w:tcW w:w="788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recommend I</w:t>
            </w:r>
          </w:p>
        </w:tc>
        <w:tc>
          <w:tcPr>
            <w:tcW w:w="1680" w:type="dxa"/>
            <w:vAlign w:val="bottom"/>
            <w:tcBorders>
              <w:right w:val="single" w:sz="8" w:color="auto"/>
            </w:tcBorders>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rPr>
              <w:t>information</w:t>
            </w:r>
          </w:p>
        </w:tc>
      </w:tr>
      <w:tr>
        <w:trPr>
          <w:trHeight w:val="216"/>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What am I being asked to vote on?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vote?</w:t>
            </w:r>
          </w:p>
        </w:tc>
        <w:tc>
          <w:tcPr>
            <w:tcW w:w="1680" w:type="dxa"/>
            <w:vAlign w:val="bottom"/>
            <w:tcBorders>
              <w:right w:val="single" w:sz="8" w:color="auto"/>
            </w:tcBorders>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9"/>
              </w:rPr>
              <w:t>before I vote?</w:t>
            </w:r>
          </w:p>
        </w:tc>
      </w:tr>
      <w:tr>
        <w:trPr>
          <w:trHeight w:val="54"/>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283"/>
        </w:trPr>
        <w:tc>
          <w:tcPr>
            <w:tcW w:w="7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Election of Sara Baack as a Director</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68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7"/>
              </w:rPr>
              <w:t>17 - 20</w:t>
            </w:r>
          </w:p>
        </w:tc>
      </w:tr>
      <w:tr>
        <w:trPr>
          <w:trHeight w:val="277"/>
        </w:trPr>
        <w:tc>
          <w:tcPr>
            <w:tcW w:w="7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Election of Ligia Torres Fentanes as a Director</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68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7"/>
              </w:rPr>
              <w:t>17 - 20</w:t>
            </w:r>
          </w:p>
        </w:tc>
      </w:tr>
      <w:tr>
        <w:trPr>
          <w:trHeight w:val="277"/>
        </w:trPr>
        <w:tc>
          <w:tcPr>
            <w:tcW w:w="7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Election of Dr. Andrzej Olechowski as a Director</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68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7"/>
              </w:rPr>
              <w:t>17 - 20</w:t>
            </w:r>
          </w:p>
        </w:tc>
      </w:tr>
      <w:tr>
        <w:trPr>
          <w:trHeight w:val="277"/>
        </w:trPr>
        <w:tc>
          <w:tcPr>
            <w:tcW w:w="7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Approval of amendments to the Amended 2006 Stock Incentive Plan</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68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21 – 25</w:t>
            </w:r>
          </w:p>
        </w:tc>
      </w:tr>
      <w:tr>
        <w:trPr>
          <w:trHeight w:val="277"/>
        </w:trPr>
        <w:tc>
          <w:tcPr>
            <w:tcW w:w="7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Advisory Vote to Approve Named Executive Officer Compensation</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68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26</w:t>
            </w:r>
          </w:p>
        </w:tc>
      </w:tr>
      <w:tr>
        <w:trPr>
          <w:trHeight w:val="277"/>
        </w:trPr>
        <w:tc>
          <w:tcPr>
            <w:tcW w:w="7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Ratification of Appointment of Independent Registered Public Accounting Firm</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68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27</w:t>
            </w:r>
          </w:p>
        </w:tc>
      </w:tr>
      <w:tr>
        <w:trPr>
          <w:trHeight w:val="425"/>
        </w:trPr>
        <w:tc>
          <w:tcPr>
            <w:tcW w:w="78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GENERAL INFORMATION</w:t>
      </w:r>
    </w:p>
    <w:p>
      <w:pPr>
        <w:spacing w:after="0" w:line="98"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Euronet has made these materials available to you on the internet or, upon your request, has delivered printed versions of these materials to you by mail in connection with the solicitation of proxies by our Board of Directors (the “Board”), for use at the Annual Meeting of stockholders to be held on Thursday, May 21, 2026, at 1:00 p.m. (Central time) at our corporate headquarters at 11400 Tomahawk Creek Parkway, Suite 300, Leawood, Kansas 66211, USA.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 Entitled to Vote</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Stockholders at the close of business on March 26, 2026 (the “Record Date”) are entitled to notice of, and to vote at, the Annual Meeting. The stockholders will be entitled to one vote for each share of common stock, par value $0.02 per share (the “Common Stock”), held of record at the close of business on the Record Date. To take action at the Annual Meeting, a quorum composed of holders of one-third of the shares of Common Stock</w:t>
      </w:r>
    </w:p>
    <w:p>
      <w:pPr>
        <w:sectPr>
          <w:pgSz w:w="11900" w:h="16926" w:orient="portrait"/>
          <w:cols w:equalWidth="0" w:num="1">
            <w:col w:w="11240"/>
          </w:cols>
          <w:pgMar w:left="320" w:top="117" w:right="339" w:bottom="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must be represented by proxy or in person at the Annual Meeting. On March 26, 2026, there were 37,966,104 shares of Common Stock outstanding. No shares of preferred stock are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to Vote</w:t>
      </w:r>
    </w:p>
    <w:p>
      <w:pPr>
        <w:spacing w:after="0" w:line="187"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Registered stockholders (that is, stockholders who hold their shares directly with our stock registrar), can vote any 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 ways:</w:t>
      </w:r>
    </w:p>
    <w:p>
      <w:pPr>
        <w:spacing w:after="0" w:line="160"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 xml:space="preserve">Via the internet: </w:t>
      </w:r>
      <w:r>
        <w:rPr>
          <w:rFonts w:ascii="Times New Roman" w:cs="Times New Roman" w:eastAsia="Times New Roman" w:hAnsi="Times New Roman"/>
          <w:sz w:val="18"/>
          <w:szCs w:val="18"/>
          <w:u w:val="single" w:color="auto"/>
          <w:color w:val="0000FF"/>
        </w:rPr>
        <w:t>www.proxyvote.com</w:t>
      </w:r>
      <w:r>
        <w:rPr>
          <w:rFonts w:ascii="Times New Roman" w:cs="Times New Roman" w:eastAsia="Times New Roman" w:hAnsi="Times New Roman"/>
          <w:sz w:val="18"/>
          <w:szCs w:val="18"/>
          <w:color w:val="auto"/>
        </w:rPr>
        <w:t xml:space="preserve"> - 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68" w:lineRule="exact"/>
        <w:rPr>
          <w:sz w:val="20"/>
          <w:szCs w:val="20"/>
          <w:color w:val="auto"/>
        </w:rPr>
      </w:pPr>
    </w:p>
    <w:p>
      <w:pPr>
        <w:ind w:left="720"/>
        <w:spacing w:after="0" w:line="282" w:lineRule="auto"/>
        <w:rPr>
          <w:sz w:val="20"/>
          <w:szCs w:val="20"/>
          <w:color w:val="auto"/>
        </w:rPr>
      </w:pPr>
      <w:r>
        <w:rPr>
          <w:rFonts w:ascii="Times New Roman" w:cs="Times New Roman" w:eastAsia="Times New Roman" w:hAnsi="Times New Roman"/>
          <w:sz w:val="18"/>
          <w:szCs w:val="18"/>
          <w:color w:val="auto"/>
        </w:rPr>
        <w:t>By Telephone: 1-800-690-6903 - Use any touch-tone telephone to transmit your voting instructions up until 11:59 P.M. Eastern Time the day before the meeting date. Have your proxy card in hand when you call and then follow the instructions.</w:t>
      </w:r>
    </w:p>
    <w:p>
      <w:pPr>
        <w:spacing w:after="0" w:line="52" w:lineRule="exact"/>
        <w:rPr>
          <w:sz w:val="20"/>
          <w:szCs w:val="20"/>
          <w:color w:val="auto"/>
        </w:rPr>
      </w:pPr>
    </w:p>
    <w:p>
      <w:pPr>
        <w:ind w:left="7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Mark, sign and date your proxy card and return it in the postage-paid envelope we have provided or return it to Vote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Broadridge, 51 Mercedes Way, Edgewood, NY 11717.</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 xml:space="preserve">In Person: </w:t>
      </w:r>
      <w:r>
        <w:rPr>
          <w:rFonts w:ascii="Times New Roman" w:cs="Times New Roman" w:eastAsia="Times New Roman" w:hAnsi="Times New Roman"/>
          <w:sz w:val="18"/>
          <w:szCs w:val="18"/>
          <w:color w:val="auto"/>
        </w:rPr>
        <w:t>Attend the Annual Meeting and vote your shares.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you vote via the internet or by telephone, your electronic vote authorizes the named proxies in the same manner as if you signed, dated and returned a proxy card.</w:t>
      </w:r>
    </w:p>
    <w:p>
      <w:pPr>
        <w:spacing w:after="0" w:line="157"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i w:val="1"/>
          <w:iCs w:val="1"/>
          <w:color w:val="auto"/>
        </w:rPr>
        <w:t>Beneficial stockholders</w:t>
      </w:r>
      <w:r>
        <w:rPr>
          <w:rFonts w:ascii="Times New Roman" w:cs="Times New Roman" w:eastAsia="Times New Roman" w:hAnsi="Times New Roman"/>
          <w:sz w:val="18"/>
          <w:szCs w:val="18"/>
          <w:color w:val="auto"/>
        </w:rPr>
        <w:t>. If your shares are held beneficially in the name of a bank, broker or other holder of record (sometimes referred to as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street name”), you will receive instructions from the holder of record that you must follow in order for your shares to be voted. Notice and Access delivery of the proxy materials, internet and/or telephone voting and voting in person at the meeting also will be offered to stockholders owning shares through most banks and brokers.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Revoking Your Proxy or Changing Your Vote</w:t>
      </w:r>
    </w:p>
    <w:p>
      <w:pPr>
        <w:spacing w:after="0" w:line="121"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You may change your vote at any time before the proxy is exercised. For registered stockholders, if you voted by mail, you may revoke your proxy at any time before it is exercised by executing and delivering a timely and valid later-dated proxy, by voting in person at the meeting or by giving written notice to the Secretary. If you voted via the internet or by telephone you may also change your vote with a timely and valid later internet or telephone vote, as the case may be, or by voting in person at the meeting. Attendance at the meeting will not have the effect of revoking a proxy unless (1) you give proper written notice of revocation to the Secretary before the proxy is exercised, or (2) you vote at the meeting.</w:t>
      </w:r>
    </w:p>
    <w:p>
      <w:pPr>
        <w:spacing w:after="0" w:line="75"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If you hold your shares beneficially, you must follow the specific directions provided to you by your bank, broker or other holder of record to change or revoke any voting instructions you have already provided.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Voting and Solicitation</w:t>
      </w:r>
    </w:p>
    <w:p>
      <w:pPr>
        <w:spacing w:after="0" w:line="121"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Each share of Common Stock issued and outstanding as of the Record Date will have one vote on each of the matters presented herein. Votes cast by proxy or at the Annual Meeting will be tabulated by the inspector of elections appointed for the Annual Meeting.</w:t>
      </w:r>
    </w:p>
    <w:p>
      <w:pPr>
        <w:spacing w:after="0" w:line="54"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we are making this Proxy Statement and our 2025 Annual Report available to stockholders electronically via the internet. On or before April 10, 2026, we mailed to our stockholders of record the “Important Notice Regarding the Availability of Proxy Materials for the Stockholder Meeting to be held on May 21, 2026” (the “Notice”). All stockholders will be able to access this Proxy Statement and our 2025 Annual Report on the website referred to in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Notice or request to receive printed copies of the proxy materials. Instructions on how to access the proxy materials on the internet or request a printed copy may be found in the Notice.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80"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We will treat shares that are voted “For” or “Against” a matter as being present at the meeting for purposes of establishing a quorum. We will treat abstentions and broker non-votes also as shares that are present and entitled to be voted for purposes of determining the presence of a quorum.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Election of Directors</w:t>
      </w:r>
    </w:p>
    <w:p>
      <w:pPr>
        <w:spacing w:after="0" w:line="121"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In an uncontested election, a Director nominee must be elected by a majority of the votes cast, in person or by proxy, regarding the election of that Director nominee. A “majority of the votes cast” for the purposes of Director elections means that the number of votes cast “For” a Director nominee’s election exceeds the number of votes cast as “Against” that particular Director nominee. If an incumbent Director is not re-elected in an uncontested election and no successor is elected at the same meeting, the Director must submit an offer to resign.</w:t>
      </w:r>
    </w:p>
    <w:p>
      <w:pPr>
        <w:spacing w:after="0" w:line="9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In a contested election, which occurs when the number of Director nominees exceeds the number of open seats on the Board at any time before the meeting, Director nominees will be elected by a plurality of the shares represented at the meeting. A “plurality” means that the open seats on the Board will be filled by those Director nominees who received the most affirmative votes, regardless of whether those Director nominees received a majority of the votes cast with respect to their election.</w:t>
      </w:r>
    </w:p>
    <w:p>
      <w:pPr>
        <w:spacing w:after="0" w:line="85"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At the Annual Meeting, the election of Directors is considered to be uncontested because we have not been notified of any other nominees as required by our Amended and Restated Bylaws (“Bylaws”). To be elected, each Director nominee must receive a majority of votes cast regarding that nominee. Abstentions will have no effect on the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21"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All other matters will be determined by a vote of a majority of the shares present or represented by proxy and voting on such matters. Abstentions will have no effect on such matters.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Broker Non-Votes</w:t>
      </w:r>
    </w:p>
    <w:p>
      <w:pPr>
        <w:sectPr>
          <w:pgSz w:w="11900" w:h="16838" w:orient="portrait"/>
          <w:cols w:equalWidth="0" w:num="1">
            <w:col w:w="11240"/>
          </w:cols>
          <w:pgMar w:left="320" w:top="121" w:right="339" w:bottom="154" w:gutter="0" w:footer="0" w:header="0"/>
        </w:sectPr>
      </w:pPr>
    </w:p>
    <w:bookmarkStart w:id="4" w:name="page5"/>
    <w:bookmarkEnd w:id="4"/>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On routine matters, such as the ratification of the appointment of KPMG LLP as our independent registered public accounting firm, if you do not provide instructions on how you wish to vote, your broker will be allowed to exercise discretion and vote on your behalf. Your broker is prohibited, however, from voting on non-routine matters, which includes all of the proposals in this Proxy Statement other than the proposal to ratify the appointment of KPMG LLP. Broker “non-votes” will occur when a broker does not receive voting instructions from a stockholder on a non-routine matter or if the broker otherwise does not vote on behalf of the stockholder. Broker non-votes will not count in determining the number of votes cast with respect to the election of Directors or a proposal that requires a majority of votes cast and, therefore, will not affect the outcome of the election of Directors or the voting on such a proposal.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Electronic Access to Proxy Materials and Annual Report</w:t>
      </w:r>
    </w:p>
    <w:p>
      <w:pPr>
        <w:spacing w:after="0" w:line="18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This Proxy Statement and our 2025 Annual Report are available on our website at https://ir.euronetworldwide.com/financial-information/annual-reports, respectively. If you received paper copies of this year’s Proxy Statement and Annual Report by mail, you can elect to receive in the future an email message that will provide a link to those documents on the internet. By opting to access your proxy materials via the internet, you will:</w:t>
      </w:r>
    </w:p>
    <w:p>
      <w:pPr>
        <w:spacing w:after="0" w:line="68" w:lineRule="exact"/>
        <w:rPr>
          <w:sz w:val="20"/>
          <w:szCs w:val="20"/>
          <w:color w:val="auto"/>
        </w:rPr>
      </w:pPr>
    </w:p>
    <w:p>
      <w:pPr>
        <w:ind w:left="640" w:right="7560"/>
        <w:spacing w:after="0" w:line="261" w:lineRule="auto"/>
        <w:rPr>
          <w:sz w:val="20"/>
          <w:szCs w:val="20"/>
          <w:color w:val="auto"/>
        </w:rPr>
      </w:pPr>
      <w:r>
        <w:rPr>
          <w:rFonts w:ascii="Times New Roman" w:cs="Times New Roman" w:eastAsia="Times New Roman" w:hAnsi="Times New Roman"/>
          <w:sz w:val="18"/>
          <w:szCs w:val="18"/>
          <w:color w:val="auto"/>
        </w:rPr>
        <w:t>help preserve environmental resources; gain faster access to your proxy materials;</w:t>
      </w:r>
    </w:p>
    <w:p>
      <w:pPr>
        <w:ind w:left="640" w:right="5920"/>
        <w:spacing w:after="0" w:line="260" w:lineRule="auto"/>
        <w:rPr>
          <w:sz w:val="20"/>
          <w:szCs w:val="20"/>
          <w:color w:val="auto"/>
        </w:rPr>
      </w:pPr>
      <w:r>
        <w:rPr>
          <w:rFonts w:ascii="Times New Roman" w:cs="Times New Roman" w:eastAsia="Times New Roman" w:hAnsi="Times New Roman"/>
          <w:sz w:val="18"/>
          <w:szCs w:val="18"/>
          <w:color w:val="auto"/>
        </w:rPr>
        <w:t>save us the cost of producing and mailing documents to you; and reduce the amount of mail you receive.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Stockholders who have enrolled in the electronic access service previously will receive their materials online this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Persons Making The Solicitation</w:t>
      </w:r>
    </w:p>
    <w:p>
      <w:pPr>
        <w:spacing w:after="0" w:line="121"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Euronet is making all the solicitations in this Proxy Statement. We will bear the entire cost of this solicitation of proxies. Our Directors, officers and employees, without additional remuneration, may solicit proxies by mail, telephone and personal interviews. We will, if requested, reimburse banks, brokerage houses and other custodians, nominees and certain fiduciaries for their reasonable out-of-pocket expenses incurred in connection with the distribution of proxy materials to their principals.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 ENGAGEMENT</w:t>
      </w:r>
    </w:p>
    <w:p>
      <w:pPr>
        <w:spacing w:after="0" w:line="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meaningful engagement with our stockholders is a critical component of strong corporate governance and effective executive compensation design. We are committed to maintaining an open dialogue with our stockholders and to thoughtfully considering their perspectives in our decision-making.</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2025, we conducted extensive and proactive stockholder discussions focused on governance, executive compensation, and Board structure. These efforts were led by senior management, including our Chief Executive Officer (CEO), General Counsel (GC) and/or Chief Financial Officer (CFO), and were designed to ensure that we clearly understand and appropriately respond to stockholder priorities.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engagement during 2025 included:</w:t>
      </w:r>
    </w:p>
    <w:p>
      <w:pPr>
        <w:spacing w:after="0" w:line="113" w:lineRule="exact"/>
        <w:rPr>
          <w:sz w:val="20"/>
          <w:szCs w:val="20"/>
          <w:color w:val="auto"/>
        </w:rPr>
      </w:pPr>
    </w:p>
    <w:p>
      <w:pPr>
        <w:ind w:left="660" w:firstLine="57"/>
        <w:spacing w:after="0" w:line="286" w:lineRule="auto"/>
        <w:rPr>
          <w:sz w:val="20"/>
          <w:szCs w:val="20"/>
          <w:color w:val="auto"/>
        </w:rPr>
      </w:pPr>
      <w:r>
        <w:rPr>
          <w:rFonts w:ascii="Times New Roman" w:cs="Times New Roman" w:eastAsia="Times New Roman" w:hAnsi="Times New Roman"/>
          <w:sz w:val="18"/>
          <w:szCs w:val="18"/>
          <w:color w:val="auto"/>
        </w:rPr>
        <w:t xml:space="preserve">discussions with stockholders representing approximately </w:t>
      </w:r>
      <w:r>
        <w:rPr>
          <w:rFonts w:ascii="Times New Roman" w:cs="Times New Roman" w:eastAsia="Times New Roman" w:hAnsi="Times New Roman"/>
          <w:sz w:val="18"/>
          <w:szCs w:val="18"/>
          <w:b w:val="1"/>
          <w:bCs w:val="1"/>
          <w:color w:val="auto"/>
        </w:rPr>
        <w:t>38% of our outstanding common stock</w:t>
      </w:r>
      <w:r>
        <w:rPr>
          <w:rFonts w:ascii="Times New Roman" w:cs="Times New Roman" w:eastAsia="Times New Roman" w:hAnsi="Times New Roman"/>
          <w:sz w:val="18"/>
          <w:szCs w:val="18"/>
          <w:color w:val="auto"/>
        </w:rPr>
        <w:t>, covering topics such as Board refreshment, environmental, social and governance matters, executive compensation, and Board structure; and</w:t>
      </w:r>
    </w:p>
    <w:p>
      <w:pPr>
        <w:spacing w:after="0" w:line="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participation by our CEO and/or CFO in </w:t>
      </w:r>
      <w:r>
        <w:rPr>
          <w:rFonts w:ascii="Times New Roman" w:cs="Times New Roman" w:eastAsia="Times New Roman" w:hAnsi="Times New Roman"/>
          <w:sz w:val="18"/>
          <w:szCs w:val="18"/>
          <w:b w:val="1"/>
          <w:bCs w:val="1"/>
          <w:color w:val="auto"/>
        </w:rPr>
        <w:t>more than 174 meetings</w:t>
      </w:r>
      <w:r>
        <w:rPr>
          <w:rFonts w:ascii="Times New Roman" w:cs="Times New Roman" w:eastAsia="Times New Roman" w:hAnsi="Times New Roman"/>
          <w:sz w:val="18"/>
          <w:szCs w:val="18"/>
          <w:color w:val="auto"/>
        </w:rPr>
        <w:t xml:space="preserve"> with existing and prospective stockholders.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discussions provided valuable insight into stockholder expectations, particularly with respect to executive compensation design, Board composition and refreshment, and governance practices. Our Board and its committees carefully considered this feedback and, where appropriate, took meaningful actions to enhance our governance framework and strengthen alignment between executive compensation and long-term stockholder value.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stockholders continued to emphasize the importance of transparent and decision-useful sustainability disclosures and clearly articulated governance policies. In response, during 2025 we further strengthened our sustainability and governance framework by publishing our 2025 Sustainability Report covering 2024 performance, launching an enhanced sustainability website, and expanding our suite of corporate policies. These actions were designed to improve accessibility, consistency, and clarity of our disclosures and to reinforce our commitment to responsible business practices and long-term value creation.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highlights key themes raised by stockholders and our responsive actions: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 feedback</w:t>
            </w:r>
          </w:p>
        </w:tc>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Our response and actions</w:t>
            </w:r>
          </w:p>
        </w:tc>
      </w:tr>
      <w:tr>
        <w:trPr>
          <w:trHeight w:val="27"/>
        </w:trPr>
        <w:tc>
          <w:tcPr>
            <w:tcW w:w="2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r>
      <w:tr>
        <w:trPr>
          <w:trHeight w:val="223"/>
        </w:trPr>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740" w:type="dxa"/>
            <w:vAlign w:val="bottom"/>
            <w:shd w:val="clear" w:color="auto" w:fill="CCEEFF"/>
          </w:tcPr>
          <w:p>
            <w:pPr>
              <w:spacing w:after="0"/>
              <w:rPr>
                <w:sz w:val="19"/>
                <w:szCs w:val="19"/>
                <w:color w:val="auto"/>
              </w:rPr>
            </w:pPr>
          </w:p>
        </w:tc>
      </w:tr>
      <w:tr>
        <w:trPr>
          <w:trHeight w:val="198"/>
        </w:trPr>
        <w:tc>
          <w:tcPr>
            <w:tcW w:w="2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Board refreshment and related</w:t>
            </w:r>
          </w:p>
        </w:tc>
        <w:tc>
          <w:tcPr>
            <w:tcW w:w="8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 meaningfully refreshed the Board, adding four new directors over the past four years. In addition, two long-tenured</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tenure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directors retired in May 2025, reducing average Board tenure from approximately 18 years to approximately 13 years—a</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approximately 28% and enhancing the balance of experience, tenure, and fresh perspectives on the Board.</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740" w:type="dxa"/>
            <w:vAlign w:val="bottom"/>
            <w:shd w:val="clear" w:color="auto" w:fill="CCEEFF"/>
          </w:tcPr>
          <w:p>
            <w:pPr>
              <w:spacing w:after="0"/>
              <w:rPr>
                <w:sz w:val="18"/>
                <w:szCs w:val="18"/>
                <w:color w:val="auto"/>
              </w:rPr>
            </w:pPr>
          </w:p>
        </w:tc>
      </w:tr>
      <w:tr>
        <w:trPr>
          <w:trHeight w:val="198"/>
        </w:trPr>
        <w:tc>
          <w:tcPr>
            <w:tcW w:w="2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Classified board structure</w:t>
            </w:r>
          </w:p>
        </w:tc>
        <w:tc>
          <w:tcPr>
            <w:tcW w:w="8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Board continues to annually evaluate its structure in light of stockholder feedback and evolving governance</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w w:val="99"/>
              </w:rPr>
              <w:t>practices. We believe our classified Board structure supports effective oversight of long-term strategy, particularly during</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periods of short-term disruption, while continuing to remain responsive to stockholder perspectives.</w:t>
            </w:r>
          </w:p>
        </w:tc>
      </w:tr>
      <w:tr>
        <w:trPr>
          <w:trHeight w:val="243"/>
        </w:trPr>
        <w:tc>
          <w:tcPr>
            <w:tcW w:w="2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740" w:type="dxa"/>
            <w:vAlign w:val="bottom"/>
            <w:shd w:val="clear" w:color="auto" w:fill="CCEEFF"/>
          </w:tcPr>
          <w:p>
            <w:pPr>
              <w:spacing w:after="0"/>
              <w:rPr>
                <w:sz w:val="21"/>
                <w:szCs w:val="21"/>
                <w:color w:val="auto"/>
              </w:rPr>
            </w:pPr>
          </w:p>
        </w:tc>
      </w:tr>
      <w:tr>
        <w:trPr>
          <w:trHeight w:val="198"/>
        </w:trPr>
        <w:tc>
          <w:tcPr>
            <w:tcW w:w="2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Elimination of time-based</w:t>
            </w:r>
          </w:p>
        </w:tc>
        <w:tc>
          <w:tcPr>
            <w:tcW w:w="8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 direct response to stockholder feedback, we did not include time-based vesting from the April 2025 equity awards</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granted to our Named Executive Officers. These awards are now entirely performance-based, reinforcing a strong pay-</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for-performance philosophy and ensuring that realized compensation is tied to measurable results and stockholder value</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creation.</w:t>
            </w:r>
          </w:p>
        </w:tc>
      </w:tr>
      <w:tr>
        <w:trPr>
          <w:trHeight w:val="243"/>
        </w:trPr>
        <w:tc>
          <w:tcPr>
            <w:tcW w:w="2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74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73" w:gutter="0" w:footer="0" w:header="0"/>
        </w:sectPr>
      </w:pPr>
    </w:p>
    <w:p>
      <w:pPr>
        <w:spacing w:after="0" w:line="255" w:lineRule="auto"/>
        <w:rPr>
          <w:sz w:val="20"/>
          <w:szCs w:val="20"/>
          <w:color w:val="auto"/>
        </w:rPr>
      </w:pPr>
      <w:r>
        <w:rPr>
          <w:rFonts w:ascii="Times New Roman" w:cs="Times New Roman" w:eastAsia="Times New Roman" w:hAnsi="Times New Roman"/>
          <w:sz w:val="18"/>
          <w:szCs w:val="18"/>
          <w:color w:val="auto"/>
        </w:rPr>
        <w:t>Incorporation of total stockholder return and broader performance metrics</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We enhanced our long-term incentive program to better align compensation with stockholder returns and operational performance. In April 2025, we granted performance-based restricted stock awards to our Named Executive Officers in which a majority of the payout opportunity is tied to stock price performance (a proxy for total stockholder return) and operating income, rather than solely adjusted EPS. The awards include rigorous performance conditions: (i) 40% based on cumulative adjusted operating income over three years, (ii) 24% based on compounded annual growth in adjusted constant currency earnings per share, and (iii) 36% tied to stock price performance, subject to achievement of stock price thresholds sustained over a 30-day period and attainment of operating income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-5080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2">
            <w:col w:w="2220" w:space="280"/>
            <w:col w:w="8740"/>
          </w:cols>
          <w:pgMar w:left="320" w:top="121" w:right="339" w:bottom="73" w:gutter="0" w:footer="0" w:header="0"/>
          <w:type w:val="continuous"/>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these actions demonstrate our commitment to responsive governance, robust stockholder engagement, and a disciplined pay-for-performance framework. We will continue to actively engage with our stockholders and evolve our practices to support long-term value creation.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CORPORATE RESPONSIBILITY &amp; SUSTAINABILITY AT EURONET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integrates environmental, social, and governance (ESG) considerations into its business operations and risk management practices.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ESG oversight is incorporated into the Company’s governance framework and is subject to review by the Board of Directors and its committees.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ESG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oversees the Company’s approach to corporate responsibility and sustainability. ESG-related matters are addressed through the Board and its committees, including the Audit Committee and the Nominating &amp; Corporate Governance Committee. These bodies provide oversight of ESG risks, disclosures, and related policies, and support the integration of sustainability considerations into the Company’s broader risk management and strategic planning processes.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Practices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provider of financial technology and payment processing services, the Company’s direct environmental impact is limited. The Company monitors and manages its environmental footprint, including energy consumption and greenhouse gas (GHG) emissions, and continues to enhance data collection and reporting processes. Environmental initiatives focus on operational efficiency, including the use of technology to reduce energy consumption and limit business travel where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human capital strategy focuses on attracting, developing, and retaining a global workforce. Employees are located across multiple jurisdictions, and the Company maintains policies and practices designed to support diversity, equal opportunity, and professional development. Compensation and benefits are designed to be competitive within local markets. The Company supports employee engagement through training programs and participation initiatives, including stock ownership plans where applicable. The Company is committed to maintaining safe working conditions and operates in compliance with applicable labor laws and regulations.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Conduct and Ethics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a Code of Business Conduct and Ethics applicable to directors, officers, employees, and business partners. The Code establishes expectations for ethical conduct, compliance with applicable laws and regulations, and accountability. The Company maintains policies that prohibit political contributions using corporate funding.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Data Protection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a cybersecurity risk management program designed to identify, assess, and mitigate risks to its systems and data. Cybersecurity oversight is supported by executive management and the Board of Directors. Information security practices are aligned with internationally recognized standards, including ISO 27001. The Company regularly reviews and updates its controls to address evolving risks.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committed to protecting personal data and complying with applicable data protection laws and regulations across the jurisdictions in which it operates, including the General Data Protection Regulation (GDPR) and relevant U.S. privacy laws. Policies and procedures are in place governing the collection, processing, and storage of personal data, supported by designated data protection personnel.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Regulatory Compliance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tax strategy is based on compliance with applicable tax laws and regulations in all jurisdictions in which it operates. The Company applies the arm’s length principle in transfer pricing and does not engage in tax avoidance practices.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Continuous Improvement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continues to evaluate and enhance its corporate responsibility and sustainability practices, including improvements in data quality, reporting, and governance processes.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Reporting and Disclosure</w:t>
      </w:r>
    </w:p>
    <w:p>
      <w:pPr>
        <w:spacing w:after="0" w:line="31"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The Company maintains a sustainability website that provides additional information regarding its corporate responsibility and sustainability initiatives. Euronet publishes an annual sustainability report, which is informed by internationally recognized sustainability reporting frameworks, including the European Sustainability Reporting Standards (ESRS) and the Task Force on 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Financial Disclosures (TCFD). The Company continues to evaluate evolving sustainability reporting standards and regulatory developments and to enhance its disclosures and data collection processes over time. The sustainability report is available on the Company’s website.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BENEFICIAL OWNERSHIP OF COMMON STOCK</w:t>
      </w:r>
    </w:p>
    <w:p>
      <w:pPr>
        <w:spacing w:after="0" w:line="20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As of the close of business on March 26, 2026 we had 37,966,104 shares of Common Stock issued and outstanding. The following table sets forth certain information with respect to the beneficial ownership of our Common Stock as of March 26, 2026, held by: (i) each Euronet Director, nominee for Director and executive officer named in the summary compensation table, (ii) all Euronet Directors, nominees for Director and executive officers as a group, and (iii) each stockholder known by Euronet beneficially to own more than 5% of our Common Stock.</w:t>
      </w:r>
    </w:p>
    <w:p>
      <w:pPr>
        <w:spacing w:after="0" w:line="200" w:lineRule="exact"/>
        <w:rPr>
          <w:sz w:val="20"/>
          <w:szCs w:val="20"/>
          <w:color w:val="auto"/>
        </w:rPr>
      </w:pPr>
    </w:p>
    <w:tbl>
      <w:tblPr>
        <w:tblLayout w:type="fixed"/>
        <w:tblInd w:w="270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28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24"/>
        </w:trPr>
        <w:tc>
          <w:tcPr>
            <w:tcW w:w="57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r>
      <w:tr>
        <w:trPr>
          <w:trHeight w:val="144"/>
        </w:trPr>
        <w:tc>
          <w:tcPr>
            <w:tcW w:w="576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46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tcBorders>
              <w:top w:val="single" w:sz="8" w:color="auto"/>
            </w:tcBorders>
          </w:tcPr>
          <w:p>
            <w:pPr>
              <w:jc w:val="right"/>
              <w:ind w:right="255"/>
              <w:spacing w:after="0" w:line="145"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20" w:type="dxa"/>
            <w:vAlign w:val="bottom"/>
          </w:tcPr>
          <w:p>
            <w:pPr>
              <w:spacing w:after="0"/>
              <w:rPr>
                <w:sz w:val="12"/>
                <w:szCs w:val="12"/>
                <w:color w:val="auto"/>
              </w:rPr>
            </w:pPr>
          </w:p>
        </w:tc>
      </w:tr>
      <w:tr>
        <w:trPr>
          <w:trHeight w:val="173"/>
        </w:trPr>
        <w:tc>
          <w:tcPr>
            <w:tcW w:w="5760" w:type="dxa"/>
            <w:vAlign w:val="bottom"/>
          </w:tcPr>
          <w:p>
            <w:pPr>
              <w:jc w:val="center"/>
              <w:ind w:right="2733"/>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91"/>
        </w:trPr>
        <w:tc>
          <w:tcPr>
            <w:tcW w:w="5760" w:type="dxa"/>
            <w:vAlign w:val="bottom"/>
          </w:tcPr>
          <w:p>
            <w:pPr>
              <w:jc w:val="center"/>
              <w:ind w:right="2733"/>
              <w:spacing w:after="0" w:line="191" w:lineRule="exact"/>
              <w:rPr>
                <w:sz w:val="20"/>
                <w:szCs w:val="20"/>
                <w:color w:val="auto"/>
              </w:rPr>
            </w:pPr>
            <w:r>
              <w:rPr>
                <w:rFonts w:ascii="Times New Roman" w:cs="Times New Roman" w:eastAsia="Times New Roman" w:hAnsi="Times New Roman"/>
                <w:sz w:val="18"/>
                <w:szCs w:val="18"/>
                <w:color w:val="auto"/>
              </w:rPr>
              <w:t>Directors and Named Executive Officers</w:t>
            </w: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760" w:type="dxa"/>
            <w:vAlign w:val="bottom"/>
          </w:tcPr>
          <w:p>
            <w:pPr>
              <w:jc w:val="center"/>
              <w:ind w:right="2733"/>
              <w:spacing w:after="0"/>
              <w:rPr>
                <w:sz w:val="20"/>
                <w:szCs w:val="20"/>
                <w:color w:val="auto"/>
              </w:rPr>
            </w:pPr>
            <w:r>
              <w:rPr>
                <w:rFonts w:ascii="Times New Roman" w:cs="Times New Roman" w:eastAsia="Times New Roman" w:hAnsi="Times New Roman"/>
                <w:sz w:val="18"/>
                <w:szCs w:val="18"/>
                <w:color w:val="auto"/>
                <w:w w:val="99"/>
              </w:rPr>
              <w:t>Michael J. Brown (2)</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2,612,844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5760" w:type="dxa"/>
            <w:vAlign w:val="bottom"/>
          </w:tcPr>
          <w:p>
            <w:pPr>
              <w:jc w:val="center"/>
              <w:ind w:right="2713"/>
              <w:spacing w:after="0"/>
              <w:rPr>
                <w:sz w:val="20"/>
                <w:szCs w:val="20"/>
                <w:color w:val="auto"/>
              </w:rPr>
            </w:pPr>
            <w:r>
              <w:rPr>
                <w:rFonts w:ascii="Times New Roman" w:cs="Times New Roman" w:eastAsia="Times New Roman" w:hAnsi="Times New Roman"/>
                <w:sz w:val="18"/>
                <w:szCs w:val="18"/>
                <w:color w:val="auto"/>
                <w:w w:val="99"/>
              </w:rPr>
              <w:t>Rick L. Weller (3)</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744,115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760" w:type="dxa"/>
            <w:vAlign w:val="bottom"/>
          </w:tcPr>
          <w:p>
            <w:pPr>
              <w:jc w:val="center"/>
              <w:ind w:right="2733"/>
              <w:spacing w:after="0"/>
              <w:rPr>
                <w:sz w:val="20"/>
                <w:szCs w:val="20"/>
                <w:color w:val="auto"/>
              </w:rPr>
            </w:pPr>
            <w:r>
              <w:rPr>
                <w:rFonts w:ascii="Times New Roman" w:cs="Times New Roman" w:eastAsia="Times New Roman" w:hAnsi="Times New Roman"/>
                <w:sz w:val="18"/>
                <w:szCs w:val="18"/>
                <w:color w:val="auto"/>
                <w:w w:val="99"/>
              </w:rPr>
              <w:t>Nikos Fountas (4)</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474,555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760" w:type="dxa"/>
            <w:vAlign w:val="bottom"/>
          </w:tcPr>
          <w:p>
            <w:pPr>
              <w:jc w:val="center"/>
              <w:ind w:right="2733"/>
              <w:spacing w:after="0"/>
              <w:rPr>
                <w:sz w:val="20"/>
                <w:szCs w:val="20"/>
                <w:color w:val="auto"/>
              </w:rPr>
            </w:pPr>
            <w:r>
              <w:rPr>
                <w:rFonts w:ascii="Times New Roman" w:cs="Times New Roman" w:eastAsia="Times New Roman" w:hAnsi="Times New Roman"/>
                <w:sz w:val="18"/>
                <w:szCs w:val="18"/>
                <w:color w:val="auto"/>
                <w:w w:val="99"/>
              </w:rPr>
              <w:t>Kevin J. Caponecchi (5)</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486,744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r>
      <w:tr>
        <w:trPr>
          <w:trHeight w:val="234"/>
        </w:trPr>
        <w:tc>
          <w:tcPr>
            <w:tcW w:w="5760" w:type="dxa"/>
            <w:vAlign w:val="bottom"/>
          </w:tcPr>
          <w:p>
            <w:pPr>
              <w:jc w:val="center"/>
              <w:ind w:right="2713"/>
              <w:spacing w:after="0"/>
              <w:rPr>
                <w:sz w:val="20"/>
                <w:szCs w:val="20"/>
                <w:color w:val="auto"/>
              </w:rPr>
            </w:pPr>
            <w:r>
              <w:rPr>
                <w:rFonts w:ascii="Times New Roman" w:cs="Times New Roman" w:eastAsia="Times New Roman" w:hAnsi="Times New Roman"/>
                <w:sz w:val="18"/>
                <w:szCs w:val="18"/>
                <w:color w:val="auto"/>
                <w:w w:val="99"/>
              </w:rPr>
              <w:t>Juan C. Bianchi (6)</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386,547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bl>
    <w:p>
      <w:pPr>
        <w:sectPr>
          <w:pgSz w:w="11900" w:h="16838" w:orient="portrait"/>
          <w:cols w:equalWidth="0" w:num="1">
            <w:col w:w="11240"/>
          </w:cols>
          <w:pgMar w:left="320" w:top="121" w:right="339" w:bottom="0" w:gutter="0" w:footer="0" w:header="0"/>
        </w:sectPr>
      </w:pPr>
    </w:p>
    <w:bookmarkStart w:id="6" w:name="page7"/>
    <w:bookmarkEnd w:id="6"/>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58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Thomas A. McDonnell</w:t>
            </w: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92,633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Paul S. Althasen</w:t>
            </w: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58,554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8"/>
              </w:rPr>
              <w:t>Dr. Andrzej Olechowski</w:t>
            </w: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16,321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rPr>
              <w:t>Michael Frumkin</w:t>
            </w: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11,983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Ligia Torres Fentanes</w:t>
            </w: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6,645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Sergi Herrero</w:t>
            </w: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4,608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rPr>
              <w:t>Sara Baack</w:t>
            </w: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Brad Sprong</w:t>
            </w: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2,182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w:t>
            </w: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4,901,224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16"/>
        </w:trPr>
        <w:tc>
          <w:tcPr>
            <w:tcW w:w="58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rPr>
              <w:t>Five Percent Holders:</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BlackRock, Inc. (7)</w:t>
            </w: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3,581,297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580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50 Hudson Yards</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8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New York, NY 10001</w:t>
            </w:r>
          </w:p>
        </w:tc>
        <w:tc>
          <w:tcPr>
            <w:tcW w:w="25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21" w:lineRule="exact"/>
        <w:rPr>
          <w:sz w:val="20"/>
          <w:szCs w:val="20"/>
          <w:color w:val="auto"/>
        </w:rPr>
      </w:pPr>
    </w:p>
    <w:p>
      <w:pPr>
        <w:ind w:left="640" w:hanging="212"/>
        <w:spacing w:after="0"/>
        <w:tabs>
          <w:tab w:leader="none" w:pos="640" w:val="left"/>
        </w:tabs>
        <w:numPr>
          <w:ilvl w:val="1"/>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percentage of shares of Common Stock beneficially owned does not exceed one percent of the shares outstanding.</w:t>
      </w:r>
    </w:p>
    <w:p>
      <w:pPr>
        <w:spacing w:after="0" w:line="197" w:lineRule="exact"/>
        <w:rPr>
          <w:rFonts w:ascii="Times New Roman" w:cs="Times New Roman" w:eastAsia="Times New Roman" w:hAnsi="Times New Roman"/>
          <w:sz w:val="36"/>
          <w:szCs w:val="36"/>
          <w:color w:val="auto"/>
          <w:vertAlign w:val="superscript"/>
        </w:rPr>
      </w:pPr>
    </w:p>
    <w:p>
      <w:pPr>
        <w:jc w:val="both"/>
        <w:ind w:left="460" w:hanging="327"/>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percentage of beneficial ownership includes the assumed exercise of options to purchase Common Stock by only the respective named stockholder that are vested or that will vest within 60 days of March 26, 2026 and any restricted stock units owned by such person that will vest within 60 days of March 26, 2026.</w:t>
      </w:r>
    </w:p>
    <w:p>
      <w:pPr>
        <w:spacing w:after="0" w:line="67" w:lineRule="exact"/>
        <w:rPr>
          <w:rFonts w:ascii="Times New Roman" w:cs="Times New Roman" w:eastAsia="Times New Roman" w:hAnsi="Times New Roman"/>
          <w:sz w:val="18"/>
          <w:szCs w:val="18"/>
          <w:color w:val="auto"/>
        </w:rPr>
      </w:pPr>
    </w:p>
    <w:p>
      <w:pPr>
        <w:jc w:val="both"/>
        <w:ind w:left="460" w:hanging="327"/>
        <w:spacing w:after="0" w:line="261"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649,667 shares of Common Stock issuable pursuant to options exercisable within 60 days of March 26, 2026, (ii) 158,715 shares of Common Stock held by Mr. Brown’s spouse, (iii) 211,245 shares of Common Stock held by Mr. Brown’s spouse as custodian for his children, and (iv) 171,400 shares of Common Stock held by family trusts for the benefit of Mr. Brown's spouse and children, of which Mr. Brown's spouse is the trustee.</w:t>
      </w:r>
    </w:p>
    <w:p>
      <w:pPr>
        <w:spacing w:after="0" w:line="71" w:lineRule="exact"/>
        <w:rPr>
          <w:rFonts w:ascii="Times New Roman" w:cs="Times New Roman" w:eastAsia="Times New Roman" w:hAnsi="Times New Roman"/>
          <w:sz w:val="18"/>
          <w:szCs w:val="18"/>
          <w:color w:val="auto"/>
        </w:rPr>
      </w:pPr>
    </w:p>
    <w:p>
      <w:pPr>
        <w:ind w:left="460" w:hanging="327"/>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439,408 shares of Common Stock issuable pursuant to options exercisable within 60 days of March 26, 2026.</w:t>
      </w:r>
    </w:p>
    <w:p>
      <w:pPr>
        <w:spacing w:after="0" w:line="117" w:lineRule="exact"/>
        <w:rPr>
          <w:rFonts w:ascii="Times New Roman" w:cs="Times New Roman" w:eastAsia="Times New Roman" w:hAnsi="Times New Roman"/>
          <w:sz w:val="18"/>
          <w:szCs w:val="18"/>
          <w:color w:val="auto"/>
        </w:rPr>
      </w:pPr>
    </w:p>
    <w:p>
      <w:pPr>
        <w:ind w:left="460" w:hanging="327"/>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394,562 shares of Common Stock issuable pursuant to options exercisable within 60 days of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-1739265</wp:posOffset>
            </wp:positionV>
            <wp:extent cx="9340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hanging="327"/>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374,803 shares of Common Stock issuable pursuant to options exercisable within 60 days of March 26, 2026.</w:t>
      </w:r>
    </w:p>
    <w:p>
      <w:pPr>
        <w:spacing w:after="0" w:line="117" w:lineRule="exact"/>
        <w:rPr>
          <w:rFonts w:ascii="Times New Roman" w:cs="Times New Roman" w:eastAsia="Times New Roman" w:hAnsi="Times New Roman"/>
          <w:sz w:val="18"/>
          <w:szCs w:val="18"/>
          <w:color w:val="auto"/>
        </w:rPr>
      </w:pPr>
    </w:p>
    <w:p>
      <w:pPr>
        <w:ind w:left="460" w:hanging="327"/>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373,020 shares of Common Stock issuable pursuant to options exercisable within 60 days of March 26, 2026</w:t>
      </w:r>
    </w:p>
    <w:p>
      <w:pPr>
        <w:spacing w:after="0" w:line="117" w:lineRule="exact"/>
        <w:rPr>
          <w:rFonts w:ascii="Times New Roman" w:cs="Times New Roman" w:eastAsia="Times New Roman" w:hAnsi="Times New Roman"/>
          <w:sz w:val="18"/>
          <w:szCs w:val="18"/>
          <w:color w:val="auto"/>
        </w:rPr>
      </w:pPr>
    </w:p>
    <w:p>
      <w:pPr>
        <w:ind w:left="460" w:hanging="327"/>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was supplied on Schedule 13G/A filed with the SEC on March 31, 2025. BlackRock, Inc. has sole power to vote over 3,476,393 shares and sole dispositive power over 3,581,297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own more than 10% of the shares of our common stock to file an initial report of ownership on Form 3 and changes in ownership on Form 4 or Form 5 with the SEC. Such officers, directors and 10% stockholders are also required by SEC rules to furnish us with copies of any Forms 3, 4 or 5 that they file. The SEC rules require us to disclose late filings of initial reports of stock ownership and changes in stock ownership by our directors, executive officers and 10% stockholders. Based solely on a review of copies of the Forms 3, 4 and 5 furnished to us by reporting persons and any written representations furnished by certain reporting persons, we believe that during the fiscal year ended December 31, 2025, all Section 16(a) filing requirements applicable to our directors, executive officers and 10% stockholders were completed in a timely manner.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6EBF"/>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Refreshment</w:t>
      </w:r>
    </w:p>
    <w:p>
      <w:pPr>
        <w:spacing w:after="0" w:line="175"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Over the last five years, the Company has held meetings with the stockholders owning the majority of the Company's stock outstanding. During those meetings, the Company discussed several aspects of corporate governance, including the tenure of the Board. In light of those comments, the Company set out on a path to refresh the Board while also taking into account the need to strike a balance of institutional knowledge while creating opportunities for new ideas. To this end, the Board has added four new board members over the last four years, which reduced the average tenure from approximately 18 years to approximately 13 years - a 28% reduction in tenure over a four year period. With respect to the eight independent Board members serving on our Board after the annual meeting on May 21, 2026 or nominated for election at this annual meeting, four of the eight or half have been added or refreshed, and the average tenure for the independent directors (excluding the CEO) will be approximately 11 years. The Board will contain a wide range of diversity, experience and skills. The Company has achieved a reasonable mix of short, medium and long-term tenures that promote new ideas as well as retain the important historical experiences necessary to ensure effective board oversight leading to stockholder value. See “Stockholder Engagement” for additional information about our meetings with stockholders during 2025.</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Illustration below provides a graphical description of the Board tenure over the last three years:</w:t>
      </w:r>
    </w:p>
    <w:p>
      <w:pPr>
        <w:sectPr>
          <w:pgSz w:w="11900" w:h="16838" w:orient="portrait"/>
          <w:cols w:equalWidth="0" w:num="1">
            <w:col w:w="11240"/>
          </w:cols>
          <w:pgMar w:left="320" w:top="121"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1536700</wp:posOffset>
            </wp:positionH>
            <wp:positionV relativeFrom="page">
              <wp:posOffset>88900</wp:posOffset>
            </wp:positionV>
            <wp:extent cx="4474845" cy="1988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4748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all of the non-employee Directors are “independent” under the listing standards of The Nasdaq Stock Market LLC.</w:t>
      </w:r>
    </w:p>
    <w:p>
      <w:pPr>
        <w:spacing w:after="0" w:line="108"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As highly accomplished individuals in their respective industries, fields and communities, the non-employee Directors are affiliated with numerous corporations, educational institutions and charities, as well as civic organizations and professional associations, many of which have charitable or other relationships with the Company. The Board considered each of these relationships and determined that none of these relationships conflict with the interests of the Company or would impair the relevant non-employee Director’s independence or judgment.</w:t>
      </w:r>
    </w:p>
    <w:p>
      <w:pPr>
        <w:spacing w:after="0" w:line="126"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In the event of Board-level discussions pertaining to a potential transaction, relationship or arrangement involving an organization with which a Director is affiliated, that Director would be expected to recuse themselves from the deliberation and decision-making process.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COMMITTEES OF THE BOARD OF DIRECTORS</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The Board held five meetings during 2025. The Board has established an Audit Committee, a Compensation Committee and a Nominating &amp; Corporate Governance Committee. During 2025, each Director attended at least 75% of the total number of meetings held by the Board and Board committees on which they served (during the period for which he or she was a Director).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 Membership</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committee membership is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40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80" w:type="dxa"/>
            <w:vAlign w:val="bottom"/>
            <w:tcBorders>
              <w:top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0" w:type="dxa"/>
            <w:vAlign w:val="bottom"/>
            <w:tcBorders>
              <w:top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Nominating &amp; Corporate</w:t>
            </w:r>
          </w:p>
        </w:tc>
        <w:tc>
          <w:tcPr>
            <w:tcW w:w="0" w:type="dxa"/>
            <w:vAlign w:val="bottom"/>
          </w:tcPr>
          <w:p>
            <w:pPr>
              <w:spacing w:after="0"/>
              <w:rPr>
                <w:sz w:val="1"/>
                <w:szCs w:val="1"/>
                <w:color w:val="auto"/>
              </w:rPr>
            </w:pPr>
          </w:p>
        </w:tc>
      </w:tr>
      <w:tr>
        <w:trPr>
          <w:trHeight w:val="238"/>
        </w:trPr>
        <w:tc>
          <w:tcPr>
            <w:tcW w:w="34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Michael J. Brown</w:t>
            </w:r>
            <w:r>
              <w:rPr>
                <w:rFonts w:ascii="Times New Roman" w:cs="Times New Roman" w:eastAsia="Times New Roman" w:hAnsi="Times New Roman"/>
                <w:sz w:val="18"/>
                <w:szCs w:val="18"/>
                <w:b w:val="1"/>
                <w:bCs w:val="1"/>
                <w:color w:val="auto"/>
                <w:w w:val="98"/>
              </w:rPr>
              <w:t>*</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Paul S. Althesen - </w:t>
            </w:r>
            <w:r>
              <w:rPr>
                <w:rFonts w:ascii="Times New Roman" w:cs="Times New Roman" w:eastAsia="Times New Roman" w:hAnsi="Times New Roman"/>
                <w:sz w:val="18"/>
                <w:szCs w:val="18"/>
                <w:b w:val="1"/>
                <w:bCs w:val="1"/>
                <w:color w:val="auto"/>
                <w:w w:val="98"/>
              </w:rPr>
              <w:t>I</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Thomas A. McDonnell </w:t>
            </w:r>
            <w:r>
              <w:rPr>
                <w:rFonts w:ascii="Times New Roman" w:cs="Times New Roman" w:eastAsia="Times New Roman" w:hAnsi="Times New Roman"/>
                <w:sz w:val="18"/>
                <w:szCs w:val="18"/>
                <w:b w:val="1"/>
                <w:bCs w:val="1"/>
                <w:color w:val="auto"/>
                <w:w w:val="99"/>
              </w:rPr>
              <w:t>– I , L</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M</w:t>
            </w: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w:t>
            </w: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Dr. Andrzej Olechowski </w:t>
            </w:r>
            <w:r>
              <w:rPr>
                <w:rFonts w:ascii="Times New Roman" w:cs="Times New Roman" w:eastAsia="Times New Roman" w:hAnsi="Times New Roman"/>
                <w:sz w:val="18"/>
                <w:szCs w:val="18"/>
                <w:b w:val="1"/>
                <w:bCs w:val="1"/>
                <w:color w:val="auto"/>
                <w:w w:val="99"/>
              </w:rPr>
              <w:t>– I</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Michael N. Frumkin </w:t>
            </w:r>
            <w:r>
              <w:rPr>
                <w:rFonts w:ascii="Times New Roman" w:cs="Times New Roman" w:eastAsia="Times New Roman" w:hAnsi="Times New Roman"/>
                <w:sz w:val="18"/>
                <w:szCs w:val="18"/>
                <w:b w:val="1"/>
                <w:bCs w:val="1"/>
                <w:color w:val="auto"/>
                <w:w w:val="99"/>
              </w:rPr>
              <w:t>– I</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C</w:t>
            </w: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Sara Baack- </w:t>
            </w:r>
            <w:r>
              <w:rPr>
                <w:rFonts w:ascii="Times New Roman" w:cs="Times New Roman" w:eastAsia="Times New Roman" w:hAnsi="Times New Roman"/>
                <w:sz w:val="18"/>
                <w:szCs w:val="18"/>
                <w:b w:val="1"/>
                <w:bCs w:val="1"/>
                <w:color w:val="auto"/>
              </w:rPr>
              <w:t>I</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M</w:t>
            </w: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Ligia Torres Fentanes – </w:t>
            </w:r>
            <w:r>
              <w:rPr>
                <w:rFonts w:ascii="Times New Roman" w:cs="Times New Roman" w:eastAsia="Times New Roman" w:hAnsi="Times New Roman"/>
                <w:sz w:val="18"/>
                <w:szCs w:val="18"/>
                <w:b w:val="1"/>
                <w:bCs w:val="1"/>
                <w:color w:val="auto"/>
                <w:w w:val="99"/>
              </w:rPr>
              <w:t>I</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M</w:t>
            </w: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Sergi Herrero – </w:t>
            </w:r>
            <w:r>
              <w:rPr>
                <w:rFonts w:ascii="Times New Roman" w:cs="Times New Roman" w:eastAsia="Times New Roman" w:hAnsi="Times New Roman"/>
                <w:sz w:val="18"/>
                <w:szCs w:val="18"/>
                <w:b w:val="1"/>
                <w:bCs w:val="1"/>
                <w:color w:val="auto"/>
              </w:rPr>
              <w:t>I</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w:t>
            </w: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Brad Sprong – </w:t>
            </w:r>
            <w:r>
              <w:rPr>
                <w:rFonts w:ascii="Times New Roman" w:cs="Times New Roman" w:eastAsia="Times New Roman" w:hAnsi="Times New Roman"/>
                <w:sz w:val="18"/>
                <w:szCs w:val="18"/>
                <w:b w:val="1"/>
                <w:bCs w:val="1"/>
                <w:color w:val="auto"/>
                <w:w w:val="99"/>
              </w:rPr>
              <w:t>I</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C</w:t>
            </w: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*Chairman of the Board   C – Committee Chair</w:t>
            </w: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 – Committee Member</w:t>
            </w: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 – Independent Director</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 – Lead Director</w:t>
            </w:r>
          </w:p>
        </w:tc>
        <w:tc>
          <w:tcPr>
            <w:tcW w:w="0" w:type="dxa"/>
            <w:vAlign w:val="bottom"/>
          </w:tcPr>
          <w:p>
            <w:pPr>
              <w:spacing w:after="0"/>
              <w:rPr>
                <w:sz w:val="1"/>
                <w:szCs w:val="1"/>
                <w:color w:val="auto"/>
              </w:rPr>
            </w:pPr>
          </w:p>
        </w:tc>
      </w:tr>
      <w:tr>
        <w:trPr>
          <w:trHeight w:val="32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Company has an Audit Committee established in accordance with the requirements of the Securities Exchange Act of 1934 (the “Exchange Act”). The Audit Committee of the Board, composed solely of independent Directors, met four times in 2025. The following four Directors are members of the Audit Committee: Brad Sprong, Chair, Thomas A. McDonnell, Ligia Torres Fentanes, and Sara Baack. The Audit Committee operates under a written charter adopted by the Board, which is published on Euronet’s website at http://ir.euronetworldwide.com/corporate-governance.</w:t>
      </w:r>
    </w:p>
    <w:p>
      <w:pPr>
        <w:spacing w:after="0" w:line="180"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of the Audit Committee members is independent, as that term is defined under the enhanced independence standards for audit committee members in the Exchange Act and rules promulgated thereunder, as amended and incorporated into the listing standards of The Nasdaq Stock Market LLC.</w:t>
      </w:r>
    </w:p>
    <w:p>
      <w:pPr>
        <w:spacing w:after="0" w:line="135"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of the members of the Audit Committee is an “audit committee financial expert” as that term is defined in the rules promulgated by the SEC pursuant to the Sarbanes-Oxley Act of 2002.</w:t>
      </w:r>
    </w:p>
    <w:p>
      <w:pPr>
        <w:spacing w:after="0" w:line="121" w:lineRule="exact"/>
        <w:rPr>
          <w:sz w:val="20"/>
          <w:szCs w:val="20"/>
          <w:color w:val="auto"/>
        </w:rPr>
      </w:pPr>
    </w:p>
    <w:p>
      <w:pPr>
        <w:jc w:val="both"/>
        <w:ind w:firstLine="415"/>
        <w:spacing w:after="0" w:line="256" w:lineRule="auto"/>
        <w:rPr>
          <w:sz w:val="20"/>
          <w:szCs w:val="20"/>
          <w:color w:val="auto"/>
        </w:rPr>
      </w:pPr>
      <w:r>
        <w:rPr>
          <w:rFonts w:ascii="Times New Roman" w:cs="Times New Roman" w:eastAsia="Times New Roman" w:hAnsi="Times New Roman"/>
          <w:sz w:val="18"/>
          <w:szCs w:val="18"/>
          <w:color w:val="auto"/>
        </w:rPr>
        <w:t>The Audit Committee has oversight responsibilities with respect to our financial reporting process and systems of internal controls regarding finance, accounting and legal compliance. The Audit Committee is responsible for retaining, evaluating and monitoring our independent registered public accounting firm and for providing an audit committee report for inclusion in our Proxy Statement. The Audit Committee is also responsible for maintaining open communication among the Audit Committee, management and our outside auditors. However, the Audit Committee is not responsible for conducting audits, preparing financial statements, or assuring the accuracy of financial statements or filings, all of which is the responsibility of management and/or the outside auditors.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ectPr>
          <w:pgSz w:w="11900" w:h="16838" w:orient="portrait"/>
          <w:cols w:equalWidth="0" w:num="1">
            <w:col w:w="11240"/>
          </w:cols>
          <w:pgMar w:left="320" w:top="1440" w:right="339" w:bottom="0" w:gutter="0" w:footer="0" w:header="0"/>
        </w:sectPr>
      </w:pPr>
    </w:p>
    <w:bookmarkStart w:id="8" w:name="page9"/>
    <w:bookmarkEnd w:id="8"/>
    <w:p>
      <w:pPr>
        <w:jc w:val="both"/>
        <w:ind w:firstLine="415"/>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met four times in 2025 to determine policies regarding the compensation of our executives and to review, determine and recommend to the full Board, as appropriate, the approval of the grant of restricted stock units and cash bonuses to our executives. The purpose of the Compensation Committee is to make determinations and recommendations, as appropriate, to the Board with respect to the compensation of our Chief Executive Officer and other senior executive officers. The following three Directors are members of the Compensation Committee: Michael N. Frumkin, Chair, Thomas A. McDonnell and Sergi Herrero. The Board has determined that all the members of the Compensation Committee are:</w:t>
      </w:r>
    </w:p>
    <w:p>
      <w:pPr>
        <w:spacing w:after="0" w:line="3" w:lineRule="exact"/>
        <w:rPr>
          <w:sz w:val="20"/>
          <w:szCs w:val="20"/>
          <w:color w:val="auto"/>
        </w:rPr>
      </w:pPr>
    </w:p>
    <w:p>
      <w:pPr>
        <w:ind w:firstLine="8"/>
        <w:spacing w:after="0" w:line="260" w:lineRule="auto"/>
        <w:tabs>
          <w:tab w:leader="none" w:pos="2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as defined under the independence standards of the listing standards of The Nasdaq Stock Market LLC both for directors generally and those applicable to members of the Compensation Committee and (ii) “non-employee” directors under Section 16 rules.</w:t>
      </w:r>
    </w:p>
    <w:p>
      <w:pPr>
        <w:spacing w:after="0" w:line="73" w:lineRule="exact"/>
        <w:rPr>
          <w:sz w:val="20"/>
          <w:szCs w:val="20"/>
          <w:color w:val="auto"/>
        </w:rPr>
      </w:pPr>
    </w:p>
    <w:p>
      <w:pPr>
        <w:jc w:val="both"/>
        <w:ind w:firstLine="415"/>
        <w:spacing w:after="0" w:line="282" w:lineRule="auto"/>
        <w:rPr>
          <w:sz w:val="20"/>
          <w:szCs w:val="20"/>
          <w:color w:val="auto"/>
        </w:rPr>
      </w:pPr>
      <w:r>
        <w:rPr>
          <w:rFonts w:ascii="Times New Roman" w:cs="Times New Roman" w:eastAsia="Times New Roman" w:hAnsi="Times New Roman"/>
          <w:sz w:val="18"/>
          <w:szCs w:val="18"/>
          <w:color w:val="auto"/>
        </w:rPr>
        <w:t>The Compensation Committee performs its functions and responsibilities pursuant to a written charter adopted by our Board, which is published on Euronet’s website at http://ir.euronetworldwide.com/corporate-governance.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Its charter authorizes our Compensation Committee to delegate its responsibilities to one or more subcommittees or Directors, in accordance with restrictions set forth in the charter. Under the terms of our incentive plans, our Compensation Committee is authorized to administer the plans and may delegate its authority under such plans to another committee of the Board or a Director.</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Annual Process for Determining Compensation of Executive Officers</w:t>
      </w:r>
    </w:p>
    <w:p>
      <w:pPr>
        <w:spacing w:after="0" w:line="92"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As further described in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our Compensation Committee, together with senior management and outside consultants engaged by the Compensation Committee, conducts an annual review of our overall compensation program for executive officers. With respect to executive officer compensation, our Compensation Committee reviews each of the key components of compensation - base salary and short- and long-term incentives, both within Euronet and as compared to peers and survey data to determine whether each of these components is consistent with our compensation philosophy and its related goals and objectives. Upon the recommendation of our Chief Executive Officer with respect to the compensation of each executive officer who directly reports to him, and, based on the findings of any outside consultants that may be engaged to assist in this review, our Compensation Committee determines or recommends to the full Board, as appropriate, the compensation for all key executives, including our Chief Executive Officer. Executive officers, including the chief executive officer, are not involved in proposing or seeking approval for their own compensation.</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Process for Determining Non-Employee Director Compensation</w:t>
      </w:r>
    </w:p>
    <w:p>
      <w:pPr>
        <w:spacing w:after="0" w:line="121"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Our Compensation Committee makes recommendations to the full Board about Board compensation and benefits for non-employee Directors, including cash, equity-based awards and other compensation based on the recommendations of independent outside compensation consultants who are retained by the Compensation Committee to, among other functions: (i) conduct a competitive assessment of non-employee Director compensation compared to competitive practice, (ii) inform the Compensation Committee of emerging trends in director pay practices, (iii) advise on stock ownership guidelines for non-employee Directors, and (iv) assess the amount of compensation that is adequate to compensate our Directors for their time and effort with respect to Board obligations. If, after the periodic review of non-employee Director compensation by our Compensation Committee, the Compensation Committee accepts recommendations from the outside compensation consultants that any changes should be made to such program, it will recommend such changes to our Board for approval.</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Outside Executive Compensation Consultants</w:t>
      </w:r>
    </w:p>
    <w:p>
      <w:pPr>
        <w:spacing w:after="0" w:line="121" w:lineRule="exact"/>
        <w:rPr>
          <w:sz w:val="20"/>
          <w:szCs w:val="20"/>
          <w:color w:val="auto"/>
        </w:rPr>
      </w:pPr>
    </w:p>
    <w:p>
      <w:pPr>
        <w:jc w:val="both"/>
        <w:ind w:firstLine="414"/>
        <w:spacing w:after="0" w:line="257" w:lineRule="auto"/>
        <w:rPr>
          <w:sz w:val="20"/>
          <w:szCs w:val="20"/>
          <w:color w:val="auto"/>
        </w:rPr>
      </w:pPr>
      <w:r>
        <w:rPr>
          <w:rFonts w:ascii="Times New Roman" w:cs="Times New Roman" w:eastAsia="Times New Roman" w:hAnsi="Times New Roman"/>
          <w:sz w:val="18"/>
          <w:szCs w:val="18"/>
          <w:color w:val="auto"/>
        </w:rPr>
        <w:t>The Compensation Committee directly retained FW Cook as its outside compensation consultant for 2025. FW Cook assisted the Compensation Committee and performed functions in connection with executive compensation matters for the Compensation Committee including: (i) conducting a competitive assessment of key executives’ total direct compensation (e.g., sum of base salary, annual incentive bonus and long-term incentive opportunity),</w:t>
      </w:r>
    </w:p>
    <w:p>
      <w:pPr>
        <w:spacing w:after="0" w:line="1" w:lineRule="exact"/>
        <w:rPr>
          <w:sz w:val="20"/>
          <w:szCs w:val="20"/>
          <w:color w:val="auto"/>
        </w:rPr>
      </w:pPr>
    </w:p>
    <w:p>
      <w:pPr>
        <w:jc w:val="both"/>
        <w:ind w:firstLine="8"/>
        <w:spacing w:after="0" w:line="251"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appropriateness of annual and long-term incentive plan targets and standards, (iii) assessing whether the structure (the mix of cash and equity compensation, as well as annual and long-term incentives) is appropriate and competitive, (iv) comparing Euronet’s annual share utilization and earnings per share dilution for equity-based compensation to competitive practices and institutional investor guidelines, (v) comparing Euronet’s expense for stock-based compensation to its peer companies, (vi) advising the Compensation Committee regarding design changes to compensatory programs and the development of new programs based on strategic goals, competitive assessment, regulatory changes and risk management, (vii) informing the Compensation Committee of emerging trends in executive compensation, the institutional investor climate and corporate governance and accounting developments, (viii) providing and periodically advising on stock ownership or retention guidelines for senior executives, and (ix) providing the Compensation Committee with regular updates regarding changes in regulatory and legislative developments impacting executive compensation.</w:t>
      </w:r>
    </w:p>
    <w:p>
      <w:pPr>
        <w:spacing w:after="0" w:line="86"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Compensation Committee assessed the independence of FW Cook pursuant to Nasdaq's rules and concluded that no conflict of interest exists that would prevent FW Cook from independently advising the Compensation Committee.</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Policies and Practices as They Relate to Risk Management</w:t>
      </w:r>
    </w:p>
    <w:p>
      <w:pPr>
        <w:spacing w:after="0" w:line="121"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Together with management, the Compensation Committee considered the design and operation of the Company’s compensation arrangements, including the performance objectives and target levels used in connection with incentive awards and evaluated the relationship between the Company’s risk management and these arrangements. The Compensation Committee believes that the Company’s compensation policies and practices do not encourage unnecessary or excessive risk taking and that any risks arising from the Company’s compensation policies and practices for its employees are not reasonably likely to have a material adverse effect on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&amp; Corporate Governance Committee</w:t>
      </w:r>
    </w:p>
    <w:p>
      <w:pPr>
        <w:spacing w:after="0" w:line="148"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Nominating &amp; Corporate Governance Committee met three times in 2025. In February 2026, the Nominating &amp; Corporate Governance Committee met to evaluate the performance of the Board during 2025 and consider nominees for election at the Annual Meeting. Paul S. Althasen, Chair, Andrzej Olechowski and Thomas A. McDonnell are the current members of the Nominating &amp; Corporate Governance Committee. The Board has determined that all of the members of the Nominating &amp; Corporate Governance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are independent as defined under the general independence standards of the listing standards of The Nasdaq Stock Market LLC.</w:t>
      </w:r>
    </w:p>
    <w:p>
      <w:pPr>
        <w:spacing w:after="0" w:line="158"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Nominating &amp; Corporate Governance Committee performs the functions of a nominating committee. The Nominating &amp; Corporate Governance Committee’s charter describes the committee’s responsibilities, including developing corporate governance guidelines and seeking, screening and recommending Director candidates for nomination by the Board. The committee charter includes a provision requiring the inclusion of underrepresented individuals in all director searches also known as the "Romney rule". This charter is published on our website at http://ir.euronetworldwide.com/corporate-</w:t>
      </w:r>
    </w:p>
    <w:p>
      <w:pPr>
        <w:sectPr>
          <w:pgSz w:w="11900" w:h="16838" w:orient="portrait"/>
          <w:cols w:equalWidth="0" w:num="1">
            <w:col w:w="11240"/>
          </w:cols>
          <w:pgMar w:left="320" w:top="337" w:right="339" w:bottom="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governance. Euronet’s Corporate Governance Guidelines contain information regarding the selection, qualification and criteria for Director nominees and the composition of the Board, and are published on Euronet’s website at http://ir.euronetworldwide.com/corporate-governance</w:t>
      </w:r>
    </w:p>
    <w:p>
      <w:pPr>
        <w:spacing w:after="0" w:line="94" w:lineRule="exact"/>
        <w:rPr>
          <w:sz w:val="20"/>
          <w:szCs w:val="20"/>
          <w:color w:val="auto"/>
        </w:rPr>
      </w:pPr>
    </w:p>
    <w:p>
      <w:pPr>
        <w:jc w:val="both"/>
        <w:ind w:firstLine="414"/>
        <w:spacing w:after="0" w:line="252" w:lineRule="auto"/>
        <w:rPr>
          <w:sz w:val="20"/>
          <w:szCs w:val="20"/>
          <w:color w:val="auto"/>
        </w:rPr>
      </w:pPr>
      <w:r>
        <w:rPr>
          <w:rFonts w:ascii="Times New Roman" w:cs="Times New Roman" w:eastAsia="Times New Roman" w:hAnsi="Times New Roman"/>
          <w:sz w:val="18"/>
          <w:szCs w:val="18"/>
          <w:color w:val="auto"/>
        </w:rPr>
        <w:t>The Nominating &amp; Corporate Governance Committee evaluates each Director in the context of the Board as a whole, with the objective of recommending a Director who can best perpetuate the success of the business and represent stockholder interests through the exercise of sound judgment using their diversity of experience in various areas. The Nominating &amp; Corporate Governance Committee considers the experience, qualifications, attributes and skills of each Director and nominee, including the person’s particular areas of expertise and other relevant qualifications, and the interplay of such experience, qualifications, attributes and skills with the Board as a whole. As determining the specific qualifications or criteria against which to evaluate the fitness or eligibility of potential Director candidates is necessarily a dynamic and an evolving process, the Board believes that it is not always in the best interests of Euronet or its stockholders to attempt to create an exhaustive list of such qualifications or criteria. Appropriate flexibility is needed to evaluate all relevant facts and circumstances in context of the needs of the Board and Euronet at a particular point in time. Accordingly, the Nominating &amp; Corporate Governance Committee reserves the right to consider those factors as it deems relevant and appropriate, including the current composition of the Board, the balance of management and independent Directors, the need for Audit Committee expertise and the evaluations of other potential Director candidates. The committee is actively engaged in planning for board succession, which is an ongoing and iterative process and one which the committee takes very seriously. The skills and backgrounds collectively represented on the board should reflect the diverse nature of the business environment in which Euronet operates and need to measurably move the Company forward. For purposes of Board composition, diversity includes, but is not limited to, business experience, geography, age, gender, and ethnicity. In determining whether to recommend a Director for re-election, the Nominating &amp; Corporate Governance Committee also considers the Director’s past attendance at meetings and participation in and contributions to the activities of the Board.</w:t>
      </w:r>
    </w:p>
    <w:p>
      <w:pPr>
        <w:spacing w:after="0" w:line="304"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As general guidelines, members of the Board and potential Director candidates for nomination to the Board will be persons with appropriate educational background and training and who:</w:t>
      </w:r>
    </w:p>
    <w:p>
      <w:pPr>
        <w:spacing w:after="0" w:line="54" w:lineRule="exact"/>
        <w:rPr>
          <w:sz w:val="20"/>
          <w:szCs w:val="20"/>
          <w:color w:val="auto"/>
        </w:rPr>
      </w:pPr>
    </w:p>
    <w:p>
      <w:pPr>
        <w:jc w:val="both"/>
        <w:ind w:left="900" w:right="7380"/>
        <w:spacing w:after="0" w:line="257" w:lineRule="auto"/>
        <w:rPr>
          <w:sz w:val="20"/>
          <w:szCs w:val="20"/>
          <w:color w:val="auto"/>
        </w:rPr>
      </w:pPr>
      <w:r>
        <w:rPr>
          <w:rFonts w:ascii="Times New Roman" w:cs="Times New Roman" w:eastAsia="Times New Roman" w:hAnsi="Times New Roman"/>
          <w:sz w:val="18"/>
          <w:szCs w:val="18"/>
          <w:color w:val="auto"/>
        </w:rPr>
        <w:t>have personal and professional integrity; act in a thorough and inquisitive manner; are objective;</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have practical wisdom and mature judgment;</w:t>
      </w:r>
    </w:p>
    <w:p>
      <w:pPr>
        <w:spacing w:after="0" w:line="9" w:lineRule="exact"/>
        <w:rPr>
          <w:sz w:val="20"/>
          <w:szCs w:val="20"/>
          <w:color w:val="auto"/>
        </w:rPr>
      </w:pPr>
    </w:p>
    <w:p>
      <w:pPr>
        <w:ind w:left="840" w:firstLine="57"/>
        <w:spacing w:after="0" w:line="250" w:lineRule="auto"/>
        <w:rPr>
          <w:sz w:val="20"/>
          <w:szCs w:val="20"/>
          <w:color w:val="auto"/>
        </w:rPr>
      </w:pPr>
      <w:r>
        <w:rPr>
          <w:rFonts w:ascii="Times New Roman" w:cs="Times New Roman" w:eastAsia="Times New Roman" w:hAnsi="Times New Roman"/>
          <w:sz w:val="18"/>
          <w:szCs w:val="18"/>
          <w:color w:val="auto"/>
        </w:rPr>
        <w:t>have demonstrated the kind of ability and judgment to work effectively with other members of the Board to serve the long-term interests of the stockholders;</w:t>
      </w:r>
    </w:p>
    <w:p>
      <w:pPr>
        <w:ind w:left="840" w:right="20" w:firstLine="57"/>
        <w:spacing w:after="0" w:line="250" w:lineRule="auto"/>
        <w:rPr>
          <w:sz w:val="20"/>
          <w:szCs w:val="20"/>
          <w:color w:val="auto"/>
        </w:rPr>
      </w:pPr>
      <w:r>
        <w:rPr>
          <w:rFonts w:ascii="Times New Roman" w:cs="Times New Roman" w:eastAsia="Times New Roman" w:hAnsi="Times New Roman"/>
          <w:sz w:val="18"/>
          <w:szCs w:val="18"/>
          <w:color w:val="auto"/>
        </w:rPr>
        <w:t>have a general understanding of management, marketing, accounting, finance and other elements relevant to Euronet’s success in today’s business environment;</w:t>
      </w:r>
    </w:p>
    <w:p>
      <w:pPr>
        <w:ind w:left="600"/>
        <w:spacing w:after="0"/>
        <w:rPr>
          <w:sz w:val="20"/>
          <w:szCs w:val="20"/>
          <w:color w:val="auto"/>
        </w:rPr>
      </w:pPr>
      <w:r>
        <w:rPr>
          <w:rFonts w:ascii="Times New Roman" w:cs="Times New Roman" w:eastAsia="Times New Roman" w:hAnsi="Times New Roman"/>
          <w:sz w:val="18"/>
          <w:szCs w:val="18"/>
          <w:color w:val="auto"/>
        </w:rPr>
        <w:t>have financial and business acumen, relevant experience, and the ability to represent and act on behalf of all stockholders;</w:t>
      </w:r>
    </w:p>
    <w:p>
      <w:pPr>
        <w:spacing w:after="0" w:line="9" w:lineRule="exact"/>
        <w:rPr>
          <w:sz w:val="20"/>
          <w:szCs w:val="20"/>
          <w:color w:val="auto"/>
        </w:rPr>
      </w:pPr>
    </w:p>
    <w:p>
      <w:pPr>
        <w:ind w:left="840" w:firstLine="57"/>
        <w:spacing w:after="0" w:line="250" w:lineRule="auto"/>
        <w:rPr>
          <w:sz w:val="20"/>
          <w:szCs w:val="20"/>
          <w:color w:val="auto"/>
        </w:rPr>
      </w:pPr>
      <w:r>
        <w:rPr>
          <w:rFonts w:ascii="Times New Roman" w:cs="Times New Roman" w:eastAsia="Times New Roman" w:hAnsi="Times New Roman"/>
          <w:sz w:val="18"/>
          <w:szCs w:val="18"/>
          <w:color w:val="auto"/>
        </w:rPr>
        <w:t>are willing to devote sufficient time to carrying out their duties and responsibilities effectively, including advance review of meeting materials; and</w:t>
      </w:r>
    </w:p>
    <w:p>
      <w:pPr>
        <w:ind w:left="600"/>
        <w:spacing w:after="0"/>
        <w:rPr>
          <w:sz w:val="20"/>
          <w:szCs w:val="20"/>
          <w:color w:val="auto"/>
        </w:rPr>
      </w:pPr>
      <w:r>
        <w:rPr>
          <w:rFonts w:ascii="Times New Roman" w:cs="Times New Roman" w:eastAsia="Times New Roman" w:hAnsi="Times New Roman"/>
          <w:sz w:val="18"/>
          <w:szCs w:val="18"/>
          <w:color w:val="auto"/>
        </w:rPr>
        <w:t>are committed to serve on the Board and its committees for an extended period of time.</w:t>
      </w:r>
    </w:p>
    <w:p>
      <w:pPr>
        <w:spacing w:after="0" w:line="72"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In addition, we do not permit any new Directors nominated by the Board (a) who serve as a member of Euronet’s Audit Committee to serve on the audit committee of more than two other boards of public companies, (b) who serve as chief executive officers or in equivalent positions of other public companies to serve on more than two boards of public companies in addition to the Board, and (c) generally to serve on more than four other boards of public companies in addition to the Board.</w:t>
      </w:r>
    </w:p>
    <w:p>
      <w:pPr>
        <w:spacing w:after="0" w:line="180"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Board values the contributions of a Director whose years of service has given him or her insight into Euronet and its operations and believes term limits are not necessary.</w:t>
      </w:r>
    </w:p>
    <w:p>
      <w:pPr>
        <w:spacing w:after="0" w:line="162"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The Board believes that its membership should continue to reflect a diversity of business experience, gender, race, ethnicity, age, sexual orientation and gender identity and the Nominating &amp; Corporate Governance Committee is committed to actively seeking women and minority candidates for the pool from which director candidates are chosen in support of the Board’s commitment to diversity. The Nominating &amp;Corporate Governance Committee has adopted a policy that the initial list of candidates from which new director nominees are chosen must include at least one qualified female and one racially or ethnically diverse candidate.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 Recommendations and Nominations by stockholders</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The Nominating &amp; Corporate Governance Committee’s charter provides that the Nominating &amp; Corporate Governance Committee will consider Director candidate recommendations by stockholders. Director candidates recommended by stockholders are evaluated in the same manner as candidates recommended by the Nominating and Corporate Governance Committee. Stockholders should submit any such recommendations to the Nominating &amp; Corporate Governance Committee through the method described under “</w:t>
      </w:r>
      <w:r>
        <w:rPr>
          <w:rFonts w:ascii="Times New Roman" w:cs="Times New Roman" w:eastAsia="Times New Roman" w:hAnsi="Times New Roman"/>
          <w:sz w:val="18"/>
          <w:szCs w:val="18"/>
          <w:i w:val="1"/>
          <w:iCs w:val="1"/>
          <w:color w:val="auto"/>
        </w:rPr>
        <w:t>Other Matters - Recommendations or Nominations of Individuals to Serve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below. In addition, in accordance with Euronet’s Bylaws, any stockholder of record entitled to vote for the election of Directors at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stockholders may nominate persons for election to the Board of Directors if such stockholder complies with the notice procedures set forth in the Bylaws and summarized in “</w:t>
      </w:r>
      <w:r>
        <w:rPr>
          <w:rFonts w:ascii="Times New Roman" w:cs="Times New Roman" w:eastAsia="Times New Roman" w:hAnsi="Times New Roman"/>
          <w:sz w:val="18"/>
          <w:szCs w:val="18"/>
          <w:i w:val="1"/>
          <w:iCs w:val="1"/>
          <w:color w:val="auto"/>
        </w:rPr>
        <w:t>Other Matters - Deadline to Propose or Nominate Individuals to Serve as Directors</w:t>
      </w:r>
      <w:r>
        <w:rPr>
          <w:rFonts w:ascii="Times New Roman" w:cs="Times New Roman" w:eastAsia="Times New Roman" w:hAnsi="Times New Roman"/>
          <w:sz w:val="18"/>
          <w:szCs w:val="18"/>
          <w:color w:val="auto"/>
        </w:rPr>
        <w:t>”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Under the Company’s Corporate Governance Guidelines, the Board annually selects a Lead Independent Director. The principal responsibilities of the Lead Independent Director are to call for and conduct executive sessions of the Board, serve as liaison between the Chairman of the Board and the independent Directors, approve meeting agendas and schedules for Board meetings, recommend matters to the Chairman for consideration by the Board and be available for consultation and direct communication with stockholders and all interested parties. A full list of the roles and responsibilities is included in the Company’s Corporate Governance Guidelines.</w:t>
      </w:r>
    </w:p>
    <w:p>
      <w:pPr>
        <w:spacing w:after="0" w:line="183"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Board believes that the existence of a Lead Independent Director enhances coordination of decision-making among the independent Directors and communication between them and the Chairman and provides a single point of contact for stockholders and other outside parties to communicate with the Board. In February 2026, the Board unanimously appointed Thomas A. McDonnell as the Board's Lead Independent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Combined CEO and Chairman Role</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Michael J. Brown currently serves as both Chairman of the Board of Directors and Chief Executive Officer and President of the Company. The Nominating &amp; Corporate Governance Committee and the Board have considered the advantages and disadvantages of the combination of these two roles</w:t>
      </w:r>
    </w:p>
    <w:p>
      <w:pPr>
        <w:sectPr>
          <w:pgSz w:w="11900" w:h="16838" w:orient="portrait"/>
          <w:cols w:equalWidth="0" w:num="1">
            <w:col w:w="11240"/>
          </w:cols>
          <w:pgMar w:left="320" w:top="121" w:right="339" w:bottom="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consider it appropriate to maintain the combined roles. In particular, the Board has concluded that this structure promotes unified leadership and direction for the Company and provides a single, clear focus for the chain of command to execute the Company’s business plans and strategies.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The Board has delegated oversight of Euronet’s risk management efforts to the Audit Committee. The Audit Committee’s role in risk oversight includes reviewing information provided by members of senior management on areas of material risk to the Company, or to the success of a particular project or endeavor under consideration, including operational, financial, legal, regulatory, compliance, cybersecurity, strategic and reputational risks. The Audit Committee uses such information to understand the Company’s risk identification, risk management and risk mitigation strategies. The Board believes that risk management is an integral part of Euronet’s annual strategic planning process, which addresses, among other things, the risks and opportunities facing the Company.</w:t>
      </w:r>
    </w:p>
    <w:p>
      <w:pPr>
        <w:spacing w:after="0" w:line="187"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Part of the Audit Committee’s responsibilities, as set forth in its charter, is to review with corporate management, the independent auditors and the internal auditors, if applicable, any legal matters, risks or exposures that could have a significant impact on the financial statements and the steps management has taken to minimize the Company’s exposure. The Company’s management regularly evaluates these controls, and the Audit Committee is provided regular updates regarding the effectiveness of the controls. The Audit Committee regularly reports to the full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Oversight</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Board is responsible for overseeing cybersecurity risk. The Company's Chief Technology Officer routinely discussed with the Board the security and integrity of the Company's systems, including cybersecurity updates on various topics such as on the Company's most critical processing systems, cybersecurity infrastructure and procedures, drills and training of employees, mitigation of cyber risks and assessments by third-party experts.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22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Board has approved a formal policy for stockholders to send communications to the Board or its individual members. stockholders can send communications to the Board and specified individual Directors by mailing a letter to the attention of the Board or a specific Director (c/o the General Counsel) at Euronet Worldwide, Inc., 11400 Tomahawk Creek Parkway, Suite 300, Leawood, Kansas 66211 or by sending an email to directors@euronetworldwide.com.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Upon receipt of a communication for the Board or an individual Director, the General Counsel will promptly forward any such communication to all the members of the Board or the individual Director, as appropriate. If a communication to an individual Director deals with a matter regarding Euronet, the General Counsel will forward the communication to the entire Board, as well as the individual Director. Neither the Board nor a specific Director is required to respond to stockholder communications and when responding shall do so only in compliance with the Corporate Governance Guidelines.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Euronet has a policy encouraging its Directors to attend the Annual Meeting of stockholders. Two directors attended our 2025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Board has adopted a Code of Business Conduct &amp; Ethics for Directors, Officers and Employees (the “Code of Conduct”) that applies to our directors, executive officers and our employees. The Code of Conduct is available on Euronet’s website at http://ir.euronetworldwide.com/corporate-governance. Any amendment to or waiver of the Code of Conduct will be filed on Form 8-K or posted on our website.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PROPOSAL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are as follows: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80" w:type="dxa"/>
            <w:vAlign w:val="bottom"/>
            <w:gridSpan w:val="3"/>
          </w:tcPr>
          <w:p>
            <w:pPr>
              <w:jc w:val="center"/>
              <w:ind w:left="1432"/>
              <w:spacing w:after="0"/>
              <w:rPr>
                <w:sz w:val="20"/>
                <w:szCs w:val="20"/>
                <w:color w:val="auto"/>
              </w:rPr>
            </w:pPr>
            <w:r>
              <w:rPr>
                <w:rFonts w:ascii="Times New Roman" w:cs="Times New Roman" w:eastAsia="Times New Roman" w:hAnsi="Times New Roman"/>
                <w:sz w:val="14"/>
                <w:szCs w:val="14"/>
                <w:b w:val="1"/>
                <w:bCs w:val="1"/>
                <w:color w:val="auto"/>
              </w:rPr>
              <w:t>Age</w:t>
            </w:r>
          </w:p>
        </w:tc>
        <w:tc>
          <w:tcPr>
            <w:tcW w:w="1580" w:type="dxa"/>
            <w:vAlign w:val="bottom"/>
            <w:vMerge w:val="restart"/>
          </w:tcPr>
          <w:p>
            <w:pPr>
              <w:ind w:left="1200"/>
              <w:spacing w:after="0"/>
              <w:rPr>
                <w:sz w:val="20"/>
                <w:szCs w:val="20"/>
                <w:color w:val="auto"/>
              </w:rPr>
            </w:pPr>
            <w:r>
              <w:rPr>
                <w:rFonts w:ascii="Times New Roman" w:cs="Times New Roman" w:eastAsia="Times New Roman" w:hAnsi="Times New Roman"/>
                <w:sz w:val="18"/>
                <w:szCs w:val="18"/>
                <w:color w:val="auto"/>
                <w:w w:val="92"/>
              </w:rPr>
              <w:t>Class</w:t>
            </w:r>
          </w:p>
        </w:tc>
        <w:tc>
          <w:tcPr>
            <w:tcW w:w="2360" w:type="dxa"/>
            <w:vAlign w:val="bottom"/>
            <w:gridSpan w:val="2"/>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6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Michael N. Frumkin</w:t>
            </w:r>
          </w:p>
        </w:tc>
        <w:tc>
          <w:tcPr>
            <w:tcW w:w="1880" w:type="dxa"/>
            <w:vAlign w:val="bottom"/>
            <w:vMerge w:val="continue"/>
          </w:tcPr>
          <w:p>
            <w:pPr>
              <w:spacing w:after="0"/>
              <w:rPr>
                <w:sz w:val="17"/>
                <w:szCs w:val="17"/>
                <w:color w:val="auto"/>
              </w:rPr>
            </w:pPr>
          </w:p>
        </w:tc>
        <w:tc>
          <w:tcPr>
            <w:tcW w:w="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57</w:t>
            </w:r>
          </w:p>
        </w:tc>
        <w:tc>
          <w:tcPr>
            <w:tcW w:w="3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23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III Director</w:t>
            </w:r>
          </w:p>
        </w:tc>
        <w:tc>
          <w:tcPr>
            <w:tcW w:w="8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2027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S. Althasen</w:t>
            </w:r>
          </w:p>
        </w:tc>
        <w:tc>
          <w:tcPr>
            <w:tcW w:w="2120" w:type="dxa"/>
            <w:vAlign w:val="bottom"/>
            <w:gridSpan w:val="2"/>
          </w:tcPr>
          <w:p>
            <w:pPr>
              <w:jc w:val="center"/>
              <w:ind w:left="1772"/>
              <w:spacing w:after="0"/>
              <w:rPr>
                <w:sz w:val="20"/>
                <w:szCs w:val="20"/>
                <w:color w:val="auto"/>
              </w:rPr>
            </w:pPr>
            <w:r>
              <w:rPr>
                <w:rFonts w:ascii="Times New Roman" w:cs="Times New Roman" w:eastAsia="Times New Roman" w:hAnsi="Times New Roman"/>
                <w:sz w:val="18"/>
                <w:szCs w:val="18"/>
                <w:color w:val="auto"/>
                <w:w w:val="99"/>
              </w:rPr>
              <w:t>61</w:t>
            </w:r>
          </w:p>
        </w:tc>
        <w:tc>
          <w:tcPr>
            <w:tcW w:w="360" w:type="dxa"/>
            <w:vAlign w:val="bottom"/>
          </w:tcPr>
          <w:p>
            <w:pPr>
              <w:spacing w:after="0"/>
              <w:rPr>
                <w:sz w:val="19"/>
                <w:szCs w:val="19"/>
                <w:color w:val="auto"/>
              </w:rPr>
            </w:pPr>
          </w:p>
        </w:tc>
        <w:tc>
          <w:tcPr>
            <w:tcW w:w="39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Class III 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A. McDonnell</w:t>
            </w:r>
          </w:p>
        </w:tc>
        <w:tc>
          <w:tcPr>
            <w:tcW w:w="2120" w:type="dxa"/>
            <w:vAlign w:val="bottom"/>
            <w:gridSpan w:val="2"/>
          </w:tcPr>
          <w:p>
            <w:pPr>
              <w:jc w:val="center"/>
              <w:ind w:left="1772"/>
              <w:spacing w:after="0"/>
              <w:rPr>
                <w:sz w:val="20"/>
                <w:szCs w:val="20"/>
                <w:color w:val="auto"/>
              </w:rPr>
            </w:pPr>
            <w:r>
              <w:rPr>
                <w:rFonts w:ascii="Times New Roman" w:cs="Times New Roman" w:eastAsia="Times New Roman" w:hAnsi="Times New Roman"/>
                <w:sz w:val="18"/>
                <w:szCs w:val="18"/>
                <w:color w:val="auto"/>
                <w:w w:val="99"/>
              </w:rPr>
              <w:t>80</w:t>
            </w:r>
          </w:p>
        </w:tc>
        <w:tc>
          <w:tcPr>
            <w:tcW w:w="360" w:type="dxa"/>
            <w:vAlign w:val="bottom"/>
          </w:tcPr>
          <w:p>
            <w:pPr>
              <w:spacing w:after="0"/>
              <w:rPr>
                <w:sz w:val="19"/>
                <w:szCs w:val="19"/>
                <w:color w:val="auto"/>
              </w:rPr>
            </w:pPr>
          </w:p>
        </w:tc>
        <w:tc>
          <w:tcPr>
            <w:tcW w:w="39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Class III 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Andrzej Olechowski</w:t>
            </w:r>
          </w:p>
        </w:tc>
        <w:tc>
          <w:tcPr>
            <w:tcW w:w="2120" w:type="dxa"/>
            <w:vAlign w:val="bottom"/>
            <w:gridSpan w:val="2"/>
          </w:tcPr>
          <w:p>
            <w:pPr>
              <w:jc w:val="center"/>
              <w:ind w:left="1772"/>
              <w:spacing w:after="0"/>
              <w:rPr>
                <w:sz w:val="20"/>
                <w:szCs w:val="20"/>
                <w:color w:val="auto"/>
              </w:rPr>
            </w:pPr>
            <w:r>
              <w:rPr>
                <w:rFonts w:ascii="Times New Roman" w:cs="Times New Roman" w:eastAsia="Times New Roman" w:hAnsi="Times New Roman"/>
                <w:sz w:val="18"/>
                <w:szCs w:val="18"/>
                <w:color w:val="auto"/>
                <w:w w:val="99"/>
              </w:rPr>
              <w:t>78</w:t>
            </w:r>
          </w:p>
        </w:tc>
        <w:tc>
          <w:tcPr>
            <w:tcW w:w="360" w:type="dxa"/>
            <w:vAlign w:val="bottom"/>
          </w:tcPr>
          <w:p>
            <w:pPr>
              <w:spacing w:after="0"/>
              <w:rPr>
                <w:sz w:val="18"/>
                <w:szCs w:val="18"/>
                <w:color w:val="auto"/>
              </w:rPr>
            </w:pPr>
          </w:p>
        </w:tc>
        <w:tc>
          <w:tcPr>
            <w:tcW w:w="39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Class II 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 Baack</w:t>
            </w:r>
          </w:p>
        </w:tc>
        <w:tc>
          <w:tcPr>
            <w:tcW w:w="2120" w:type="dxa"/>
            <w:vAlign w:val="bottom"/>
            <w:gridSpan w:val="2"/>
          </w:tcPr>
          <w:p>
            <w:pPr>
              <w:jc w:val="center"/>
              <w:ind w:left="1772"/>
              <w:spacing w:after="0"/>
              <w:rPr>
                <w:sz w:val="20"/>
                <w:szCs w:val="20"/>
                <w:color w:val="auto"/>
              </w:rPr>
            </w:pPr>
            <w:r>
              <w:rPr>
                <w:rFonts w:ascii="Times New Roman" w:cs="Times New Roman" w:eastAsia="Times New Roman" w:hAnsi="Times New Roman"/>
                <w:sz w:val="18"/>
                <w:szCs w:val="18"/>
                <w:color w:val="auto"/>
                <w:w w:val="99"/>
              </w:rPr>
              <w:t>54</w:t>
            </w:r>
          </w:p>
        </w:tc>
        <w:tc>
          <w:tcPr>
            <w:tcW w:w="360" w:type="dxa"/>
            <w:vAlign w:val="bottom"/>
          </w:tcPr>
          <w:p>
            <w:pPr>
              <w:spacing w:after="0"/>
              <w:rPr>
                <w:sz w:val="19"/>
                <w:szCs w:val="19"/>
                <w:color w:val="auto"/>
              </w:rPr>
            </w:pPr>
          </w:p>
        </w:tc>
        <w:tc>
          <w:tcPr>
            <w:tcW w:w="39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Class II 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Ligia Torres Fentanes</w:t>
            </w:r>
          </w:p>
        </w:tc>
        <w:tc>
          <w:tcPr>
            <w:tcW w:w="2120" w:type="dxa"/>
            <w:vAlign w:val="bottom"/>
            <w:gridSpan w:val="2"/>
          </w:tcPr>
          <w:p>
            <w:pPr>
              <w:jc w:val="center"/>
              <w:ind w:left="1772"/>
              <w:spacing w:after="0"/>
              <w:rPr>
                <w:sz w:val="20"/>
                <w:szCs w:val="20"/>
                <w:color w:val="auto"/>
              </w:rPr>
            </w:pPr>
            <w:r>
              <w:rPr>
                <w:rFonts w:ascii="Times New Roman" w:cs="Times New Roman" w:eastAsia="Times New Roman" w:hAnsi="Times New Roman"/>
                <w:sz w:val="18"/>
                <w:szCs w:val="18"/>
                <w:color w:val="auto"/>
                <w:w w:val="99"/>
              </w:rPr>
              <w:t>71</w:t>
            </w:r>
          </w:p>
        </w:tc>
        <w:tc>
          <w:tcPr>
            <w:tcW w:w="360" w:type="dxa"/>
            <w:vAlign w:val="bottom"/>
          </w:tcPr>
          <w:p>
            <w:pPr>
              <w:spacing w:after="0"/>
              <w:rPr>
                <w:sz w:val="19"/>
                <w:szCs w:val="19"/>
                <w:color w:val="auto"/>
              </w:rPr>
            </w:pPr>
          </w:p>
        </w:tc>
        <w:tc>
          <w:tcPr>
            <w:tcW w:w="39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Class II 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Brown</w:t>
            </w:r>
          </w:p>
        </w:tc>
        <w:tc>
          <w:tcPr>
            <w:tcW w:w="2120" w:type="dxa"/>
            <w:vAlign w:val="bottom"/>
            <w:gridSpan w:val="2"/>
          </w:tcPr>
          <w:p>
            <w:pPr>
              <w:jc w:val="center"/>
              <w:ind w:left="1772"/>
              <w:spacing w:after="0"/>
              <w:rPr>
                <w:sz w:val="20"/>
                <w:szCs w:val="20"/>
                <w:color w:val="auto"/>
              </w:rPr>
            </w:pPr>
            <w:r>
              <w:rPr>
                <w:rFonts w:ascii="Times New Roman" w:cs="Times New Roman" w:eastAsia="Times New Roman" w:hAnsi="Times New Roman"/>
                <w:sz w:val="18"/>
                <w:szCs w:val="18"/>
                <w:color w:val="auto"/>
                <w:w w:val="99"/>
              </w:rPr>
              <w:t>69</w:t>
            </w:r>
          </w:p>
        </w:tc>
        <w:tc>
          <w:tcPr>
            <w:tcW w:w="360" w:type="dxa"/>
            <w:vAlign w:val="bottom"/>
          </w:tcPr>
          <w:p>
            <w:pPr>
              <w:spacing w:after="0"/>
              <w:rPr>
                <w:sz w:val="18"/>
                <w:szCs w:val="18"/>
                <w:color w:val="auto"/>
              </w:rPr>
            </w:pPr>
          </w:p>
        </w:tc>
        <w:tc>
          <w:tcPr>
            <w:tcW w:w="39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Chairman, Chief Executive Officer and</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Class I Director</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Sergi Herrero</w:t>
            </w:r>
          </w:p>
        </w:tc>
        <w:tc>
          <w:tcPr>
            <w:tcW w:w="2120" w:type="dxa"/>
            <w:vAlign w:val="bottom"/>
            <w:gridSpan w:val="2"/>
          </w:tcPr>
          <w:p>
            <w:pPr>
              <w:jc w:val="center"/>
              <w:ind w:left="1772"/>
              <w:spacing w:after="0"/>
              <w:rPr>
                <w:sz w:val="20"/>
                <w:szCs w:val="20"/>
                <w:color w:val="auto"/>
              </w:rPr>
            </w:pPr>
            <w:r>
              <w:rPr>
                <w:rFonts w:ascii="Times New Roman" w:cs="Times New Roman" w:eastAsia="Times New Roman" w:hAnsi="Times New Roman"/>
                <w:sz w:val="18"/>
                <w:szCs w:val="18"/>
                <w:color w:val="auto"/>
                <w:w w:val="99"/>
              </w:rPr>
              <w:t>45</w:t>
            </w:r>
          </w:p>
        </w:tc>
        <w:tc>
          <w:tcPr>
            <w:tcW w:w="360" w:type="dxa"/>
            <w:vAlign w:val="bottom"/>
          </w:tcPr>
          <w:p>
            <w:pPr>
              <w:spacing w:after="0"/>
              <w:rPr>
                <w:sz w:val="19"/>
                <w:szCs w:val="19"/>
                <w:color w:val="auto"/>
              </w:rPr>
            </w:pPr>
          </w:p>
        </w:tc>
        <w:tc>
          <w:tcPr>
            <w:tcW w:w="39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Class I 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Sprong</w:t>
            </w:r>
          </w:p>
        </w:tc>
        <w:tc>
          <w:tcPr>
            <w:tcW w:w="2120" w:type="dxa"/>
            <w:vAlign w:val="bottom"/>
            <w:gridSpan w:val="2"/>
          </w:tcPr>
          <w:p>
            <w:pPr>
              <w:jc w:val="center"/>
              <w:ind w:left="1772"/>
              <w:spacing w:after="0"/>
              <w:rPr>
                <w:sz w:val="20"/>
                <w:szCs w:val="20"/>
                <w:color w:val="auto"/>
              </w:rPr>
            </w:pPr>
            <w:r>
              <w:rPr>
                <w:rFonts w:ascii="Times New Roman" w:cs="Times New Roman" w:eastAsia="Times New Roman" w:hAnsi="Times New Roman"/>
                <w:sz w:val="18"/>
                <w:szCs w:val="18"/>
                <w:color w:val="auto"/>
                <w:w w:val="99"/>
              </w:rPr>
              <w:t>61</w:t>
            </w:r>
          </w:p>
        </w:tc>
        <w:tc>
          <w:tcPr>
            <w:tcW w:w="360" w:type="dxa"/>
            <w:vAlign w:val="bottom"/>
          </w:tcPr>
          <w:p>
            <w:pPr>
              <w:spacing w:after="0"/>
              <w:rPr>
                <w:sz w:val="20"/>
                <w:szCs w:val="20"/>
                <w:color w:val="auto"/>
              </w:rPr>
            </w:pPr>
          </w:p>
        </w:tc>
        <w:tc>
          <w:tcPr>
            <w:tcW w:w="39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Class I 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currently have nine Directors divided among three classes as described above.</w:t>
      </w:r>
    </w:p>
    <w:p>
      <w:pPr>
        <w:spacing w:after="0" w:line="225" w:lineRule="exact"/>
        <w:rPr>
          <w:sz w:val="20"/>
          <w:szCs w:val="20"/>
          <w:color w:val="auto"/>
        </w:rPr>
      </w:pPr>
    </w:p>
    <w:p>
      <w:pPr>
        <w:ind w:firstLine="414"/>
        <w:spacing w:after="0" w:line="282" w:lineRule="auto"/>
        <w:rPr>
          <w:sz w:val="20"/>
          <w:szCs w:val="20"/>
          <w:color w:val="auto"/>
        </w:rPr>
      </w:pPr>
      <w:r>
        <w:rPr>
          <w:rFonts w:ascii="Times New Roman" w:cs="Times New Roman" w:eastAsia="Times New Roman" w:hAnsi="Times New Roman"/>
          <w:sz w:val="18"/>
          <w:szCs w:val="18"/>
          <w:color w:val="auto"/>
        </w:rPr>
        <w:t>The Board has determined that all of the Directors, other than Mr. Brown, are independent Directors as defined in the listing standards for The Nasdaq Stock Market LLC.</w:t>
      </w:r>
    </w:p>
    <w:p>
      <w:pPr>
        <w:sectPr>
          <w:pgSz w:w="11900" w:h="16838" w:orient="portrait"/>
          <w:cols w:equalWidth="0" w:num="1">
            <w:col w:w="11240"/>
          </w:cols>
          <w:pgMar w:left="320" w:top="121" w:right="339" w:bottom="0" w:gutter="0" w:footer="0" w:header="0"/>
        </w:sectPr>
      </w:pPr>
    </w:p>
    <w:bookmarkStart w:id="11" w:name="page12"/>
    <w:bookmarkEnd w:id="11"/>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Three Class II Directors are to be elected at the Annual Meeting for three-year terms ending at the 2029 Annual Meeting of stockholders. The Board has nominated Dr. Andrzej Olechowski, Sara Baack and Ligia Torres Fentanes for election as Class II Directors. Unless otherwise instructed, each valid proxy will be voted for Dr. Andrzej Olechowski, Sara Baack and Ligia Torres Fentanes. Each of the Class II nominees has consented to serve as a Director of Euronet. If a nominee is unable or subsequently declines to serve as a Director at the time of the Annual Meeting, the proxies will be voted for any alternative nominee who shall be designated by the present Board to fill the vacancy. We are not aware of any reason why Dr. Andrzej Olechowski, Sara Baack and Ligia Torres Fentanes will be unable or will decline to serve as a Director.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Annual Meeting</w:t>
      </w:r>
    </w:p>
    <w:p>
      <w:pPr>
        <w:spacing w:after="0" w:line="121"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following is a brief description of the business experience of each nominee for Director and a brief discussion of the specific experience, qualifications, attributes or skills that led to the conclusion that the nominee should continue to serve as a Director for the Company, in light of the Company’s business and structure.</w:t>
      </w:r>
    </w:p>
    <w:p>
      <w:pPr>
        <w:spacing w:after="0" w:line="176"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DR. ANDRZEJ OLECHOWSKI has served on our Board since May 2002. He previously served as a Director of Euronet from its incorporation in December 1996 until May 2000. From 2005 until 2009 when he retired, Dr. Olechowski was the President of Conseil DG, a Polish consulting company. From 1995 until 2008, Dr. Olechowski served as a Senior Advisor for Central Europe Trust, Poland, a consulting firm. He has held several senior positions with the Polish government: from 1993 to 1995, he was Minister of Foreign Affairs and in 1992 he was Minister of Finance. From 1992 to 1993, and again in 1995, he served as economic advisor to President Lech Walesa. From 1991 to 1992, he was Secretary of State in the Ministry of Foreign Economic Relations and from 1989 to 1991 he was Deputy Governor of the National Bank of Poland. From May 1998 to June 2000, Dr. Olechowski served as the Chairman of Bank Handlowy w Warszawie S.A. (Poland). From 2011 to 2020, Dr. Olechowski was a Professor at Vistula University. He is Honorary Chairman of Supervisory Board of Bank Handlowy w Warszawie S.A. (Poland), and sits on the boards of various charitable and educational foundations. He received a Ph.D. in Economics in 1979 from the Central School of Planning and Statistics in Warsaw.</w:t>
      </w:r>
    </w:p>
    <w:p>
      <w:pPr>
        <w:spacing w:after="0" w:line="188"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Board considers Dr. Olechowski’s unique combination of senior governmental leadership, central banking experience and deep knowledge of the Polish and broader Central European financial markets to be highly valuable. His firsthand experience as Poland’s Minister of Finance and Foreign Affairs, coupled with his leadership roles in banking and advisory capacities, provides the Board with distinctive geopolitical insight and regulatory perspective that directly supports the Company’s operations in key European EFT markets.</w:t>
      </w:r>
    </w:p>
    <w:p>
      <w:pPr>
        <w:spacing w:after="0" w:line="180"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SARA BAACK was appointed in February 2024. Since 2022, Ms. Baack has been a Founding Partner at Snowhawk LP, a private investment firm that targets strategic majority investments in businesses that power the economy's digital transition across cloud, connectivity and technology services sectors. She served as Chief Product Officer of Equinix, Inc., a global interconnection and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45"/>
        <w:spacing w:after="0" w:line="266" w:lineRule="auto"/>
        <w:rPr>
          <w:sz w:val="20"/>
          <w:szCs w:val="20"/>
          <w:color w:val="auto"/>
        </w:rPr>
      </w:pPr>
      <w:r>
        <w:rPr>
          <w:rFonts w:ascii="Times New Roman" w:cs="Times New Roman" w:eastAsia="Times New Roman" w:hAnsi="Times New Roman"/>
          <w:sz w:val="18"/>
          <w:szCs w:val="18"/>
          <w:color w:val="auto"/>
        </w:rPr>
        <w:t>center company, from 2019 to 2022. Previously, she was Equinix’s Chief Marketing Officer from 2012 to 2019. Ms. Baack currently serves on the board of cloud management firm ProsperOps, CleanArc Data Centers, and Service Express. Ms. Baack was a director of Splunk Inc. from December 2017 until February 2023. Ms. Baack holds a B.A. from Rice University and an M.B.A. from Harvard Business School where she was a Baker Scholar.</w:t>
      </w:r>
    </w:p>
    <w:p>
      <w:pPr>
        <w:spacing w:after="0" w:line="176"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Board considers Ms. Baack’s unique expertise in digital infrastructure, product innovation and global platform scaling to be particularly valuable. Her leadership roles at Equinix and investment experience at Snowhawk provide differentiated insight into cloud, connectivity and data ecosystems, positioning her to guide the Company’s expansion into technology-driven payment solutions and new digital growth categories.</w:t>
      </w:r>
    </w:p>
    <w:p>
      <w:pPr>
        <w:spacing w:after="0" w:line="176"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LIGIA TORRES FENTANES has served on our Board since December 2022. Ms. Torres' professional experience includes over 30 years in the financial sector across capital markets, wealth management and asset management, where she held operational, managerial and board positions covering Latin America, Asia, Europe, the Middle East and Africa. The last 20 years of her professional career were within the BNP Paribas Group. From 2013 until to her retirement in 2021, she worked in the asset management division where she first led the emerging market activities to subsequently become Chief Executive Officer of the Asia Pacific region based in Hong Kong. At present, she is a non-executive director at the board of Alfred Berg AM (Norway), the board chair of RAM, an alternative asset management company of Medio Banca Group and non-executive director at the Institute Louis Pasteur in the U.K. Ms. Torres has a bachelor’s degree in Business Administration from the Instituto Teconologico Autonomo de Mexico (ITAM) and postgraduate degrees in International Finance and Derivatives from HEC (Paris) and from the University of Paris Dauphine IX. She has followed the Oxford University program on Corporate Sustainability Leadership and the Non-executive Director program of the Financial Times, focused on Corporate Governance. She is fluent in English, Spanish, French and Italian.</w:t>
      </w:r>
    </w:p>
    <w:p>
      <w:pPr>
        <w:spacing w:after="0" w:line="194"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Board considers Ms. Torres’s extensive global leadership across asset management and financial markets, combined with her deep experience in emerging markets and governance frameworks, to be uniquely valuable. Her international perspective across Latin America, Asia and Europe, along with her expertise in risk oversight and sustainability strategy, enhances the Board’s ability to guide long-term growth and governance in a complex global operating environment.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Directors</w:t>
      </w:r>
    </w:p>
    <w:p>
      <w:pPr>
        <w:spacing w:after="0" w:line="121"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following is a brief description of the business experience of each of our other Directors whose term of office will extend beyond the 2026 Annual Meeting, and a brief discussion of the specific experience, qualifications, attributes or skills that led to the conclusion that the other Directors are qualified for service as a Director of the Company, in light of the Company’s business and structure:</w:t>
      </w:r>
    </w:p>
    <w:p>
      <w:pPr>
        <w:spacing w:after="0" w:line="135"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MICHAEL J.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84"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Board considers Mr. Brown’s unique perspective as the Company’s founder and long-serving Chief Executive Officer to be indispensable. His deep institutional knowledge, entrepreneurial vision and direct involvement in building each of the Company’s core business segments provide unmatched strategic continuity and industry expertise, particularly in global transaction processing and payments infrastructure.</w:t>
      </w:r>
    </w:p>
    <w:p>
      <w:pPr>
        <w:spacing w:after="0" w:line="68"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MICHAEL N. FRUMKIN has served on our Board since June 2020. Mr. Frumkin has more than 25 years of experience in technical and management leadership roles in fast-growth, high-performance technology companies, including Silicon Valley icons like NeXT and Google. He was</w:t>
      </w:r>
    </w:p>
    <w:p>
      <w:pPr>
        <w:sectPr>
          <w:pgSz w:w="11900" w:h="16838" w:orient="portrait"/>
          <w:cols w:equalWidth="0" w:num="1">
            <w:col w:w="11240"/>
          </w:cols>
          <w:pgMar w:left="320" w:top="121" w:right="339" w:bottom="0" w:gutter="0" w:footer="0" w:header="0"/>
        </w:sectPr>
      </w:pPr>
    </w:p>
    <w:bookmarkStart w:id="12" w:name="page13"/>
    <w:bookmarkEnd w:id="12"/>
    <w:p>
      <w:pPr>
        <w:jc w:val="both"/>
        <w:spacing w:after="0" w:line="259" w:lineRule="auto"/>
        <w:rPr>
          <w:sz w:val="20"/>
          <w:szCs w:val="20"/>
          <w:color w:val="auto"/>
        </w:rPr>
      </w:pPr>
      <w:r>
        <w:rPr>
          <w:rFonts w:ascii="Times New Roman" w:cs="Times New Roman" w:eastAsia="Times New Roman" w:hAnsi="Times New Roman"/>
          <w:sz w:val="18"/>
          <w:szCs w:val="18"/>
          <w:color w:val="auto"/>
        </w:rPr>
        <w:t>responsible for critical engineering functions at Verity, Excite, and Google, all of whom went from startup to successful IPOs during his tenure. In 1995, he joined a small 10 person startup that built one of the first full scale commercial internet search engines that eventually became Excite@Home, a multi-billion dollar public company. In his tenure at Excite, Mr. Frumkin was responsible for core company functions like web crawl and e-commerce engineering. After Excite, Mr. Frumkin spent several years as the Chief Technology Officer of Gamechange, the seed stage collaboration between Accenture Technology Ventures and Softbank Venture Capital, where he was responsible for technical due diligence and providing management guidance to portfolio companies. In 2002, pursuing a desire to go back to his more technical distributed computing roots, he joined Google where his responsibilities ranged from managing large engineering teams responsible for most of Google’s revenue, to overseeing critical internal software infrastructure projects. At various points in time, he was responsible for the engineering teams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58"/>
        <w:spacing w:after="0" w:line="258" w:lineRule="auto"/>
        <w:rPr>
          <w:sz w:val="20"/>
          <w:szCs w:val="20"/>
          <w:color w:val="auto"/>
        </w:rPr>
      </w:pPr>
      <w:r>
        <w:rPr>
          <w:rFonts w:ascii="Times New Roman" w:cs="Times New Roman" w:eastAsia="Times New Roman" w:hAnsi="Times New Roman"/>
          <w:sz w:val="18"/>
          <w:szCs w:val="18"/>
          <w:color w:val="auto"/>
        </w:rPr>
        <w:t>building and operating AdWords and the initial launch of AdSense, and the building of Google’s personalization infrastructure. In 2012, Mr. Frumkin founded the Google Accelerated Science research team within Google Research. This team worked with leading scientific institutions and universities around the world to increase the pace of discovery in important scientific research by bringing Google’s expertise in machine intelligence and machine perception to bear on fundamental science problems. Mr. Frumkin retired from Google in 2023. Mr. Frumkin holds Bachelor of Science and Master of Science degrees in Computer Science and Engineering from MIT.</w:t>
      </w:r>
    </w:p>
    <w:p>
      <w:pPr>
        <w:spacing w:after="0" w:line="183"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Board considers Mr. Frumkin’s unique background in large-scale engineering, artificial intelligence and internet infrastructure to be highly valuable. His experience leading critical technology platforms at companies such as Google and Excite provides differentiated expertise in data, machine learning and scalable systems, which is directly relevant to the Company’s ongoing digital transformation and innovation initiatives.</w:t>
      </w:r>
    </w:p>
    <w:p>
      <w:pPr>
        <w:spacing w:after="0" w:line="176"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PAUL S. ALTHASEN has served on our Board since May 2003. He joined Euronet in February 2003 in connection with Euronet’s acquisition of e-pay Limited, a UK company. Mr. Althasen served as Executive Vice President of Euronet until his resignation on April 2, 2012. Mr. Althasen is a co-founder and former CEO and Co-Managing Director of e-pay, and he was responsible for the strategic direction of e-pay from its formation in 1999 until April 2012. From 1989 to 1999, Mr. Althasen was a co-founder and Managing Director of MPC Mobile Phone Center, a franchised retailer of cellular phones in the UK. Previously, Mr. Althasen worked for Chemical Bank in London where he traded financial securities. From 2008 to 2016, Mr. Althasen served as a director of Evolve Telecom Ltd., a B2B provider of telecommunication services. Mr. Althasen currently serves as a director of Lodwick Homes Ltd. Since 2008, Mr. Althasen has been a director of Pier Insurance Managed Services Ltd., where he holds joint responsibility for the company’s strategic direction and general management. Mr. Althasen has a B.A. (Honors) degree in business studies from the City of London Business School.</w:t>
      </w:r>
    </w:p>
    <w:p>
      <w:pPr>
        <w:spacing w:after="0" w:line="84"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Board considers Mr. Althasen’s unique entrepreneurial experience in building and scaling prepaid payment businesses, particularly in the UK and European markets, to be highly valuable. As a co-founder of e-pay, he brings deep operational insight into the prepaid and digital payments ecosystem, along with firsthand knowledge of the Company’s epay segment and its strategic evolution.</w:t>
      </w:r>
    </w:p>
    <w:p>
      <w:pPr>
        <w:spacing w:after="0" w:line="176"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THOMAS A. MCDONNELL has been a Director of Euronet since its incorporation in December 1996 and he previously served on the boards of Euronet’s predecessor companies. He has served as Lead Independent Director since September 2014. From October 1984 until September 12, 2012, he served as Chief Executive Officer of DST Systems, Inc., a former stockholder of Euronet. From September 12, 2012 through December 31, 2012, he served as non-executive Chairman of DST Systems, Inc. From 1973 to September 1995, he served as Treasurer of DST Systems, Inc. From January 1, 2013 until his retirement on December 31, 2014, Mr. McDonnell was President and Chief Executive Officer of the Ewing Marion Kauffman Foundation. Mr. McDonnell is currently a director of ENDI Corp., where he is a member of the Audit Committee. Mr. McDonnell has a B.S. in Accounting from Rockhurst University and an M.B.A. from the Wharton School of Finance.</w:t>
      </w:r>
    </w:p>
    <w:p>
      <w:pPr>
        <w:spacing w:after="0" w:line="162"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Board considers Mr. McDonnell’s unique combination of public company leadership, financial expertise and long-standing familiarity with the Company to be especially valuable. His decades of experience as CEO of a transaction processing company and his role as Lead Independent Director provide strong governance leadership, financial oversight and continuity, supporting effective Board decision-making.</w:t>
      </w:r>
    </w:p>
    <w:p>
      <w:pPr>
        <w:spacing w:after="0" w:line="17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BRAD SPRONG has served on our Board since December 4, 2024. Mr. Sprong retired after a nearly 40-year-long career at KPMG, where he most recently served as Managing Partner, National Private Enterprise division. During his time with KPMG, Mr. Sprong guided many of the firm’s clients across a variety of industries through various transformations, regulatory changes, turnarounds and periods of rapid growth. Mr. Sprong holds a Bachelor of Science degree from William Jewell College in Liberty, Missouri.</w:t>
      </w:r>
    </w:p>
    <w:p>
      <w:pPr>
        <w:spacing w:after="0" w:line="72" w:lineRule="exact"/>
        <w:rPr>
          <w:sz w:val="20"/>
          <w:szCs w:val="20"/>
          <w:color w:val="auto"/>
        </w:rPr>
      </w:pPr>
    </w:p>
    <w:p>
      <w:pPr>
        <w:jc w:val="both"/>
        <w:ind w:right="20" w:firstLine="414"/>
        <w:spacing w:after="0" w:line="266" w:lineRule="auto"/>
        <w:rPr>
          <w:sz w:val="20"/>
          <w:szCs w:val="20"/>
          <w:color w:val="auto"/>
        </w:rPr>
      </w:pPr>
      <w:r>
        <w:rPr>
          <w:rFonts w:ascii="Times New Roman" w:cs="Times New Roman" w:eastAsia="Times New Roman" w:hAnsi="Times New Roman"/>
          <w:sz w:val="18"/>
          <w:szCs w:val="18"/>
          <w:color w:val="auto"/>
        </w:rPr>
        <w:t>The Board considers Mr. Sprong’s unique depth of experience in audit, accounting and regulatory matters, developed over nearly four decades at KPMG, to be highly valuable. His expertise in advising companies through complex transformations and compliance environments strengthens the Board’s oversight of financial reporting, risk management and governance practices.</w:t>
      </w:r>
    </w:p>
    <w:p>
      <w:pPr>
        <w:spacing w:after="0" w:line="68"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SERGI HERRERO has served on our Board since June 4, 2024. Mr. Herrero is currently the Chairman of the Board at Intix, a transaction data analytics fintech for banks and securities houses. Mr. Herrero also serves on the board of Ezra, a fintech company based in the Middle East. Previously, he was Meta’s Global Director of Payments and Commerce from 2016 to 2019. At Meta, he created a global partnership team to deploy and grow Meta’s payments and commerce platform. Mr. Herrero holds master’s degrees in management from the University of California, Berkley, and Ramon Llulll University, Spain, and a BS in Electrical Engineering from Ramon Llull University, Spain.</w:t>
      </w:r>
    </w:p>
    <w:p>
      <w:pPr>
        <w:spacing w:after="0" w:line="75"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Board considers Mr. Herrero’s unique experience at the intersection of global payments, technology platforms and fintech innovation to be particularly valuable. His leadership in building and scaling payments ecosystems at Meta, combined with his involvement in fintech companies, provides strategic insight into digital commerce, partnerships and next-generation payment solutions.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Board Recommendation</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Election of the Company’s three nominees for Director requires each Director nominee to receive the affirmative vote of a majority of the votes cast in person, by telephone, mailed in or represented by proxy at the Annual Meeting regarding the election of such Director nominee.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ELECTION OF DR. ANDRZEJ OLECHOWSKI, SARA BAACK AND LIGIA TORRES FENTANES AS CLASS II DIRECTORS OF EURONET.</w:t>
      </w:r>
    </w:p>
    <w:p>
      <w:pPr>
        <w:sectPr>
          <w:pgSz w:w="11900" w:h="16838" w:orient="portrait"/>
          <w:cols w:equalWidth="0" w:num="1">
            <w:col w:w="11240"/>
          </w:cols>
          <w:pgMar w:left="320" w:top="121" w:right="339" w:bottom="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3" w:name="page14"/>
    <w:bookmarkEnd w:id="13"/>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PROPOSAL 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AMENDMENTS TO THE AMENDED 2006 STOCK INCENTIVE PLAN</w:t>
      </w:r>
    </w:p>
    <w:p>
      <w:pPr>
        <w:spacing w:after="0" w:line="219"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We believe that equity compensation aligns the interests of management and employees with the interests of other stockholders. Our Board has adopted, subject to the approval of our stockholders, amendments to the Amended 2006 Stock Incentive Plan, as amended and restated (the “Plan”), which is summarized below. A copy of the Plan, as proposed to be amended and restated, is attached as Appendix B to this Proxy Statement. The following description of the material features of the Plan is qualified in its entirety by reference to the provisions of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PROPOSED 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asking the stockholders to approve the following amendment to the Plan:</w:t>
      </w:r>
    </w:p>
    <w:p>
      <w:pPr>
        <w:spacing w:after="0" w:line="225" w:lineRule="exact"/>
        <w:rPr>
          <w:sz w:val="20"/>
          <w:szCs w:val="20"/>
          <w:color w:val="auto"/>
        </w:rPr>
      </w:pPr>
    </w:p>
    <w:p>
      <w:pPr>
        <w:ind w:left="340" w:firstLine="57"/>
        <w:spacing w:after="0" w:line="256" w:lineRule="auto"/>
        <w:rPr>
          <w:sz w:val="20"/>
          <w:szCs w:val="20"/>
          <w:color w:val="auto"/>
        </w:rPr>
      </w:pPr>
      <w:r>
        <w:rPr>
          <w:rFonts w:ascii="Times New Roman" w:cs="Times New Roman" w:eastAsia="Times New Roman" w:hAnsi="Times New Roman"/>
          <w:sz w:val="18"/>
          <w:szCs w:val="18"/>
          <w:color w:val="auto"/>
        </w:rPr>
        <w:t>Increase in Number of Shares Available for Issuance. We are proposing to amend the Plan to increase the number of shares of Common Stock that are available for issuance under the Plan from 17,400,000 to 19,470,000. We believe that increasing the number of shares available for issuance under the Plan is necessary to ensure that a sufficient reserve of shares is available for future awards under the Plan. As of December 31, 2025, 988,589 shares remained available for issuance in connection with new awards under the Plan and 6,414,074 shares were subject to awards outstanding under the Plan, consisting of 4,908,095 outstanding options with a weighted average exercise price of $105,41 and weighted average remaining term of 5.55 years, and 1,505,979 outstanding full value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The Plan provides for grants of non-qualified stock options and incentive stock options ("ISOs"). The Plan also provides for grants of restricted shares, restricted stock units, bonus shares, stock appreciation rights, performance awards, performance units and performance shares. The objectives of the Plan are to (i) strengthen key employees' commitment to our success, (ii) retain existing key employees, (iii) stimulate key employees' efforts on our behalf, and (iv) help us attract new employees with the education, skills and experience we need.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 of Repricing</w:t>
      </w:r>
    </w:p>
    <w:p>
      <w:pPr>
        <w:spacing w:after="0" w:line="189"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The Plan prohibits the “repricing” of stock options and stock appreciation rights outstanding unless prior Stockholder approval is obtained. Without stockholder approval, the terms of such awards may not be amended to effectively reduce the exercise price of such awards or to cancel such awards in exchange for other stock options or stock appreciation rights with an exercise price that is less than the exercise price of such awards, other awards, or cash. The prohibition does not apply to equitable adjustments of awards in connection with stock splits and similar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 and Limits on Awards</w:t>
      </w:r>
    </w:p>
    <w:p>
      <w:pPr>
        <w:spacing w:after="0" w:line="229" w:lineRule="exact"/>
        <w:rPr>
          <w:sz w:val="20"/>
          <w:szCs w:val="20"/>
          <w:color w:val="auto"/>
        </w:rPr>
      </w:pPr>
    </w:p>
    <w:p>
      <w:pPr>
        <w:jc w:val="both"/>
        <w:ind w:firstLine="415"/>
        <w:spacing w:after="0" w:line="258" w:lineRule="auto"/>
        <w:rPr>
          <w:sz w:val="20"/>
          <w:szCs w:val="20"/>
          <w:color w:val="auto"/>
        </w:rPr>
      </w:pPr>
      <w:r>
        <w:rPr>
          <w:rFonts w:ascii="Times New Roman" w:cs="Times New Roman" w:eastAsia="Times New Roman" w:hAnsi="Times New Roman"/>
          <w:sz w:val="18"/>
          <w:szCs w:val="18"/>
          <w:color w:val="auto"/>
        </w:rPr>
        <w:t>Any director, officer or employee or independent contractor of Euronet or any majority owned subsidiary is eligible to receive awards under the Plan. As of December 31, 2025, there were eight non-employee directors, eight executive officers and approximately 10,800 employees other than executive officers who are potentially eligible to receive awards. No determination has been made as to which of our officers, employees and directors will receive grants under the Plan, as amended, and therefore the benefits to be allocated to any individual or to any group of employees or directors are not presently determinable.</w:t>
      </w:r>
    </w:p>
    <w:p>
      <w:pPr>
        <w:spacing w:after="0" w:line="183"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The Plan places limits on the maximum amount of awards that may be granted to any employee in any one year period. Under the Plan, no employee may receive awards that cover in the aggregate more than 500,000 shares in any one-year period. This limitation includes awards of bonus shares that are paid in that same year on account of the satisfaction of one or more performance goals under our Executive Annual Incentive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89"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The Plan may be administered by our Board or one or more committees of our Board (collectively, the “Plan Committee”). The Plan is currently administered by the Compensation Committee. The Plan Committee selects the eligible participants to whom awards will be granted and sets the terms of such awards, including any performance goals applicable to annual and long-term incentive awards. The Plan Committee may delegate its authority under the Plan to officers of the Company, subject to guidelines prescribed by the Plan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Reserved for Awards</w:t>
      </w:r>
    </w:p>
    <w:p>
      <w:pPr>
        <w:spacing w:after="0" w:line="229" w:lineRule="exact"/>
        <w:rPr>
          <w:sz w:val="20"/>
          <w:szCs w:val="20"/>
          <w:color w:val="auto"/>
        </w:rPr>
      </w:pPr>
    </w:p>
    <w:p>
      <w:pPr>
        <w:jc w:val="both"/>
        <w:ind w:firstLine="415"/>
        <w:spacing w:after="0" w:line="253" w:lineRule="auto"/>
        <w:rPr>
          <w:sz w:val="20"/>
          <w:szCs w:val="20"/>
          <w:color w:val="auto"/>
        </w:rPr>
      </w:pPr>
      <w:r>
        <w:rPr>
          <w:rFonts w:ascii="Times New Roman" w:cs="Times New Roman" w:eastAsia="Times New Roman" w:hAnsi="Times New Roman"/>
          <w:sz w:val="18"/>
          <w:szCs w:val="18"/>
          <w:color w:val="auto"/>
        </w:rPr>
        <w:t>If the proposed amendment is approved, the Plan will provide for up to 19,470,000 shares of Common Stock to be used for awards. The shares issued under the Plan may consist, in whole or in part, of authorized and unissued shares or treasury shares, and to the extent any award under the Plan is exercised, cashed out, terminates, expires or is forfeited without payment being made in the form of shares of Common Stock, the shares subject to such award that were not so paid will again be available for distribution under the Plan. Any shares of Common Stock that are used for full or partial payment of the purchase price of shares of Common Stock with respect to a stock option exercise and any shares of Common Stock withheld by us for the purpose of satisfying any tax withholding obligation will be counted against the authorized limit. Any shares granted in connection with stock options and stock appreciation rights will be counted against the authorized limit as one (1) share for every one (1) stock option or stock appreciation right awarded. Any shares granted in connection with awards other than stock options and stock appreciation rights shall be counted against the authorized limit as two (2) shares for every one (1) share granted in connection with such share award. Unless otherwise determined by the Plan Committee, stock options may be exercised by payment in cash or tendering shares of Common Stock to us in full or partial payment of the exercise price, or by net exercise.</w:t>
      </w:r>
    </w:p>
    <w:p>
      <w:pPr>
        <w:spacing w:after="0" w:line="127" w:lineRule="exact"/>
        <w:rPr>
          <w:sz w:val="20"/>
          <w:szCs w:val="20"/>
          <w:color w:val="auto"/>
        </w:rPr>
      </w:pPr>
    </w:p>
    <w:p>
      <w:pPr>
        <w:jc w:val="both"/>
        <w:ind w:firstLine="415"/>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authorized for awards is subject to adjustment for changes in capitalization, reorganizations, mergers, stock splits, and other corporate transactions as our Board or the Plan Committee determines to require an equitable adjustment. Additionally, shares underlying substitute awards issued in connection with a merger or similar corporate transaction consummated with a third-party are not subject to the Plan's share limitations. The Plan will remain in effect until all the shares available have been used to pay awards, subject to the right of our Board to amend or terminate the Plan at any time. No ISOs may be issued pursuant to the Plan after March 15, 2031, unless the Plan is reapproved by Stockholders before that date.</w:t>
      </w:r>
    </w:p>
    <w:p>
      <w:pPr>
        <w:sectPr>
          <w:pgSz w:w="11900" w:h="16874" w:orient="portrait"/>
          <w:cols w:equalWidth="0" w:num="1">
            <w:col w:w="11240"/>
          </w:cols>
          <w:pgMar w:left="320" w:top="108" w:right="3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General Terms of Awards</w:t>
      </w:r>
    </w:p>
    <w:p>
      <w:pPr>
        <w:spacing w:after="0" w:line="229"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The Plan Committee selects the service providers (officers, employees, non-employee directors and independent contractors) who receive awards and sets the term of each award. The Plan Committee has the power to determine the terms of the awards granted, including the number of shares subject to each award, the form of consideration payable upon exercise, the period in which the award may be exercised after termination of employment, and all other matters.</w:t>
      </w:r>
    </w:p>
    <w:p>
      <w:pPr>
        <w:spacing w:after="0" w:line="180"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The Plan Committee will also set the vesting conditions of the award, including, for example, that an award may be forfeited if the recipient's employment terminates before the award vests; except that vesting will be accelerated if there is a change of control of Euronet and a participant's employment is terminated other than for cause or “Good Reason” as defined in the Plan within one year following such change of control. In addition, no award shall vest and therefore become exercisable unless at least one (1) year has elapsed since the grant date.</w:t>
      </w:r>
    </w:p>
    <w:p>
      <w:pPr>
        <w:spacing w:after="0" w:line="180" w:lineRule="exact"/>
        <w:rPr>
          <w:sz w:val="20"/>
          <w:szCs w:val="20"/>
          <w:color w:val="auto"/>
        </w:rPr>
      </w:pPr>
    </w:p>
    <w:p>
      <w:pPr>
        <w:jc w:val="both"/>
        <w:ind w:firstLine="415"/>
        <w:spacing w:after="0" w:line="258" w:lineRule="auto"/>
        <w:rPr>
          <w:sz w:val="20"/>
          <w:szCs w:val="20"/>
          <w:color w:val="auto"/>
        </w:rPr>
      </w:pPr>
      <w:r>
        <w:rPr>
          <w:rFonts w:ascii="Times New Roman" w:cs="Times New Roman" w:eastAsia="Times New Roman" w:hAnsi="Times New Roman"/>
          <w:sz w:val="18"/>
          <w:szCs w:val="18"/>
          <w:color w:val="auto"/>
        </w:rPr>
        <w:t>Awards granted under the Plan are not generally transferable by the holder except in the event of the employee's death or unless otherwise required by law or provided in an award agreement. An award agreement may provide for the transfer of an award in limited circumstances to certain members of the grantee's family or a trust or trusts established for the benefit of such a family member. Any such transfer, if permitted under the award agreement, cannot be for consideration, other than nominal consideration. Other terms and conditions of each award will be set forth in award agreements, which can be amended by the Plan Committee.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21" w:lineRule="exact"/>
        <w:rPr>
          <w:sz w:val="20"/>
          <w:szCs w:val="20"/>
          <w:color w:val="auto"/>
        </w:rPr>
      </w:pPr>
    </w:p>
    <w:p>
      <w:pPr>
        <w:jc w:val="both"/>
        <w:ind w:firstLine="415"/>
        <w:spacing w:after="0" w:line="256" w:lineRule="auto"/>
        <w:rPr>
          <w:sz w:val="20"/>
          <w:szCs w:val="20"/>
          <w:color w:val="auto"/>
        </w:rPr>
      </w:pPr>
      <w:r>
        <w:rPr>
          <w:rFonts w:ascii="Times New Roman" w:cs="Times New Roman" w:eastAsia="Times New Roman" w:hAnsi="Times New Roman"/>
          <w:sz w:val="18"/>
          <w:szCs w:val="18"/>
          <w:color w:val="auto"/>
        </w:rPr>
        <w:t>Performance unit and performance share awards may be granted under the Plan. Such awards will be earned only if corporate, business unit or individual performance objectives over performance cycles, established by or under the direction of the Plan Committee, are met. Similarly, the exercise, vesting or payment, as the case may be, of stock options, stock appreciation rights, restricted stock and restricted stock units may be made subject to the achievement of performance goals, such awards are referred to in the Plan as “Performance Awards.” The performance objectives may vary from participant to participant, group to group and period to period and may be based on internal or external requirements. Awards may be paid in the form of cash, shares of Common Stock or any combination thereof, as determined by the Plan Committee.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or dividend equivalents will be paid with respect to any unvested awards.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jc w:val="both"/>
        <w:ind w:firstLine="415"/>
        <w:spacing w:after="0" w:line="282" w:lineRule="auto"/>
        <w:rPr>
          <w:sz w:val="20"/>
          <w:szCs w:val="20"/>
          <w:color w:val="auto"/>
        </w:rPr>
      </w:pPr>
      <w:r>
        <w:rPr>
          <w:rFonts w:ascii="Times New Roman" w:cs="Times New Roman" w:eastAsia="Times New Roman" w:hAnsi="Times New Roman"/>
          <w:sz w:val="18"/>
          <w:szCs w:val="18"/>
          <w:color w:val="auto"/>
        </w:rPr>
        <w:t>Restricted shares of Common Stock may also be awarded under the Plan. The restricted shares will vest and become transferable upon the satisfaction of conditions set forth in the respective restricted share award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Restricted stock units (“RSUs”) relating to shares of Common Stock may also be awarded under the Plan. An RSU entitles the holder to receive one share of Common Stock for each RSU that vests. The RSUs will vest and become payable in accordance with the terms of the respective RSU award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The Plan permits the granting of ISOs to eligible employees, which qualify for special tax treatment, and non-qualified stock options. The exercise price for any ISO will not be less than the fair market value of a share of Common Stock on the date of grant. No stock option may be exercised more than ten years after the date of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may be granted either singly (freestanding SARs) or in combination with underlying stock options (tandem SARs). SARs entitle the holder upon exercise to receive an amount equal in value to the excess of the fair market value of the shares covered by such right over the grant price. The payment upon a SAR exercise may be either in cash, in whole shares of equivalent value or both.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Provisions</w:t>
      </w:r>
    </w:p>
    <w:p>
      <w:pPr>
        <w:spacing w:after="0" w:line="229" w:lineRule="exact"/>
        <w:rPr>
          <w:sz w:val="20"/>
          <w:szCs w:val="20"/>
          <w:color w:val="auto"/>
        </w:rPr>
      </w:pPr>
    </w:p>
    <w:p>
      <w:pPr>
        <w:jc w:val="both"/>
        <w:ind w:firstLine="415"/>
        <w:spacing w:after="0" w:line="255" w:lineRule="auto"/>
        <w:rPr>
          <w:sz w:val="20"/>
          <w:szCs w:val="20"/>
          <w:color w:val="auto"/>
        </w:rPr>
      </w:pPr>
      <w:r>
        <w:rPr>
          <w:rFonts w:ascii="Times New Roman" w:cs="Times New Roman" w:eastAsia="Times New Roman" w:hAnsi="Times New Roman"/>
          <w:sz w:val="18"/>
          <w:szCs w:val="18"/>
          <w:color w:val="auto"/>
        </w:rPr>
        <w:t>The Plan provides that, if within the one-year period commencing on a Change of Control (as defined in the Plan), a participant's employment or other relationship with Euronet is terminated and such termination was by Euronet without cause or by the participant with “Good Reason,” then, subject to certain limitations on payment as set forth in the Plan for “specified employees,” all stock options and SARs will become fully vested and immediately exercisable, the restrictions applicable to restricted stock outstanding and other stock-based awards will lapse and Performance Awards outstanding will be vested and paid out on a prorated basis, based on the maximum award opportunity of such awards and the number of months elapsed compared with the total number of months in the performance cycle. The Committee may also make certain adjustments and substitutions in connection with a Change of Control or similar transactions or events as described under "Shares Reserved for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Based on current provisions of the Internal Revenue Code of 1986, as amended (the "Code"), and the existing regulations thereunder, the anticipated U.S. federal income tax consequences of awards granted under the Plan are as described below. The following discussion is not intended to be a complete discussion of applicable law and is based on the U.S. federal income tax laws as in effect on the date hereof:</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Non-Qualified Stock Options. An employee receiving a non-qualified option does not recognize taxable income on the date of grant of the non-qualified option. In general, the employee must recognize ordinary income at the time of exercise of the non-qualified option in the amount of the difference between the fair market value of the shares of Common Stock on the date of exercise and the option price. The ordinary income recognized will constitute compensation for which tax withholding generally will be required. The amount of ordinary income recognized by an employee will be deductible by us in the year that the employee recognizes the income if we comply with the applicable withholding requirements.</w:t>
      </w:r>
    </w:p>
    <w:p>
      <w:pPr>
        <w:sectPr>
          <w:pgSz w:w="11900" w:h="16838" w:orient="portrait"/>
          <w:cols w:equalWidth="0" w:num="1">
            <w:col w:w="11240"/>
          </w:cols>
          <w:pgMar w:left="320" w:top="333" w:right="339" w:bottom="0" w:gutter="0" w:footer="0" w:header="0"/>
        </w:sectPr>
      </w:pPr>
    </w:p>
    <w:bookmarkStart w:id="15" w:name="page16"/>
    <w:bookmarkEnd w:id="15"/>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Shares of Common Stock acquired upon the exercise of a non-qualified option will have a tax basis equal to their fair market value on the exercise date or other relevant date on which ordinary income is recognized, and the holding period for the shares of Common Stock generally will begin on the date of exercise or such other relevant date. Upon subsequent disposition of shares of Common Stock, the employee will recognize long-term capital gain or loss or short-term capital gain or loss depending upon the amount of time that the employee has held the shares of Common Stock.</w:t>
      </w:r>
    </w:p>
    <w:p>
      <w:pPr>
        <w:spacing w:after="0" w:line="112"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If an employee pays the exercise price, in whole or in part, with previously acquired shares of Common Stock, the employee will recognize ordinary income in the amount by which the fair market value of the shares of Common Stock received exceeds the exercise price. The employee will not recognize gain or loss upon delivering the previously acquired shares of Common Stock to us. Shares of Common Stock received by an employee, equal in number to the previously acquired shares of Common Stock exchanged therefore,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will have the same basis and holding period for long-term capital gain purposes as the previously acquired shares of Common Stock. Shares of Common Stock received by an employee in excess of the number of such previously acquired shares of Common Stock will have a basis equal to the fair market value of the additional shares of Common Stock as of the date ordinary income is recognized. The holding period for the additional shares of Common Stock will commence as of the date of exercise or such other relevant date.</w:t>
      </w:r>
    </w:p>
    <w:p>
      <w:pPr>
        <w:spacing w:after="0" w:line="180"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Incentive Stock Options. ISOs are defined by Section 422 of the Code. An employee who is granted an ISO does not recognize taxable income either on the date of grant or on the date of exercise. Upon the exercise of an ISO, the difference between the fair market value of the shares of Common Stock received and the option price is, however, a tax preference item potentially subject to the alternative minimum tax.</w:t>
      </w:r>
    </w:p>
    <w:p>
      <w:pPr>
        <w:spacing w:after="0" w:line="95" w:lineRule="exact"/>
        <w:rPr>
          <w:sz w:val="20"/>
          <w:szCs w:val="20"/>
          <w:color w:val="auto"/>
        </w:rPr>
      </w:pPr>
    </w:p>
    <w:p>
      <w:pPr>
        <w:jc w:val="both"/>
        <w:ind w:firstLine="415"/>
        <w:spacing w:after="0" w:line="253" w:lineRule="auto"/>
        <w:rPr>
          <w:sz w:val="20"/>
          <w:szCs w:val="20"/>
          <w:color w:val="auto"/>
        </w:rPr>
      </w:pPr>
      <w:r>
        <w:rPr>
          <w:rFonts w:ascii="Times New Roman" w:cs="Times New Roman" w:eastAsia="Times New Roman" w:hAnsi="Times New Roman"/>
          <w:sz w:val="18"/>
          <w:szCs w:val="18"/>
          <w:color w:val="auto"/>
        </w:rPr>
        <w:t>Upon disposition of shares of Common Stock acquired from the exercise of an ISO, long-term capital gain or loss is generally recognized in an amount equal to the difference between the amount realized on the sale or disposition and the exercise price. However, if the employee disposes of the shares of Common Stock within two years of the date of grant or within one year of the date of the transfer of the shares of Common Stock to the employee (a “Disqualifying Disposition”), then the employee will recognize ordinary income, as opposed to capital gain, at the time of disposition. In general, the amount of ordinary income recognized will be equal to the lesser of (a) the amount of gain realized on the disposition, or (b) the difference between the fair market value of the shares of Common Stock received on the date of exercise and the exercise price. Any remaining gain or loss is treated as a short-term or long-term capital gain or loss, depending on the period of time the shares of Common Stock have been held. We are not entitled to a tax deduction upon either the exercise of an ISO or the disposition of shares of Common Stock acquired pursuant to the exercise of an ISO, except to the extent that the employee recognizes ordinary income in a Disqualifying Disposition. For alternative minimum taxable income purposes, on the later sale or other disposition of the shares of Common Stock, generally only the difference between the fair market value of the shares of Common Stock on the exercise date and the amount realized on the sale or disposition is includable in alternative minimum taxable income.</w:t>
      </w:r>
    </w:p>
    <w:p>
      <w:pPr>
        <w:spacing w:after="0" w:line="124" w:lineRule="exact"/>
        <w:rPr>
          <w:sz w:val="20"/>
          <w:szCs w:val="20"/>
          <w:color w:val="auto"/>
        </w:rPr>
      </w:pPr>
    </w:p>
    <w:p>
      <w:pPr>
        <w:jc w:val="both"/>
        <w:ind w:firstLine="415"/>
        <w:spacing w:after="0" w:line="253" w:lineRule="auto"/>
        <w:rPr>
          <w:sz w:val="20"/>
          <w:szCs w:val="20"/>
          <w:color w:val="auto"/>
        </w:rPr>
      </w:pPr>
      <w:r>
        <w:rPr>
          <w:rFonts w:ascii="Times New Roman" w:cs="Times New Roman" w:eastAsia="Times New Roman" w:hAnsi="Times New Roman"/>
          <w:sz w:val="18"/>
          <w:szCs w:val="18"/>
          <w:color w:val="auto"/>
        </w:rPr>
        <w:t>If an employee pays the exercise price, in whole or in part, with previously acquired shares of Common Stock, the exchange should not affect the ISO tax treatment of the exercise. Upon the exchange, and except as otherwise described herein, no gain or loss is recognized by the employee upon delivering previously acquired shares of Common Stock to us as payment of the exercise price. The shares of Common Stock received by the employee, equal in number to the previously acquired shares of Common Stock exchanged therefore, will have the same basis and holding period for long-term capital gain purposes as the previously acquired shares of Common Stock. The employee, however, will not be able to utilize the prior holding period for the purpose of satisfying the ISO statutory holding period requirements. Shares of Common Stock received by the employee in excess of the number of previously acquired shares of Common Stock will have a basis of zero and a holding period which commences as of the date the shares of Common Stock are transferred to the employee upon exercise of the ISO. If the exercise of any ISO is effected using shares of Common Stock previously acquired through the exercise of an ISO, the exchange of the previously acquired shares of Common Stock will be considered a disposition of the shares of Common Stock for the purpose of determining whether a Disqualifying Disposition has occurred.</w:t>
      </w:r>
    </w:p>
    <w:p>
      <w:pPr>
        <w:spacing w:after="0" w:line="194" w:lineRule="exact"/>
        <w:rPr>
          <w:sz w:val="20"/>
          <w:szCs w:val="20"/>
          <w:color w:val="auto"/>
        </w:rPr>
      </w:pPr>
    </w:p>
    <w:p>
      <w:pPr>
        <w:jc w:val="both"/>
        <w:ind w:firstLine="415"/>
        <w:spacing w:after="0" w:line="258" w:lineRule="auto"/>
        <w:rPr>
          <w:sz w:val="20"/>
          <w:szCs w:val="20"/>
          <w:color w:val="auto"/>
        </w:rPr>
      </w:pPr>
      <w:r>
        <w:rPr>
          <w:rFonts w:ascii="Times New Roman" w:cs="Times New Roman" w:eastAsia="Times New Roman" w:hAnsi="Times New Roman"/>
          <w:sz w:val="18"/>
          <w:szCs w:val="18"/>
          <w:color w:val="auto"/>
        </w:rPr>
        <w:t>Restricted Stock. The recognition of income from an award of restricted stock for federal income tax purposes depends on the restrictions imposed on the shares. Generally, taxation will be deferred until the first taxable year the shares of Common Stock are no longer subject to substantial risk of forfeiture. At the time the restrictions lapse, the employee will recognize ordinary income equal to the then fair market value of the shares. The employee may, however, make an election to include the value of the shares in gross income in the year of award despite such restrictions. Generally, we will be entitled to deduct the fair market value of the shares transferred to the employee as a business expense in the year the employee includes the compensation in income.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Stock Appreciation Rights. To the extent that the requirements of the Code are met, there are no immediate tax consequences to an employee when a SAR is granted. When an employee exercises the right to the appreciation in fair market value of shares represented by a SAR, payments made in shares of Common Stock are normally includable in the employee's gross income for regular income tax purposes. We will be entitled to deduct the same amount as a business expense in the same year. The includable amount and corresponding deduction each equal the fair market value of the shares of Common Stock payable on the date of exercise.</w:t>
      </w:r>
    </w:p>
    <w:p>
      <w:pPr>
        <w:spacing w:after="0" w:line="183"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Other Stock-Based Performance Awards. Any cash payments or the fair market value of any shares of Common Stock or other property an employee receives in connection with other stock-based awards, incentive awards, or as unrestricted payments equivalent to dividends on unfunded awards or on restricted stock are includable in income in the year received or made available to the employee without substantial limitations or restrictions. Generally, we will be entitled to deduct the amount the employee includes in income as a business expense in the year of payment.</w:t>
      </w:r>
    </w:p>
    <w:p>
      <w:pPr>
        <w:spacing w:after="0" w:line="180"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Deductibility of Awards. Section 162(m) of the Internal Revenue Code ("Section 162(m)") generally provides that publicly held companies may not deduct compensation paid to certain of their top executive officers to the extent such compensation exceeds $1 million per officer in any year. The exemption from the deduction limit under Section 162(m) for "performance-based compensation" has been repealed, effective for taxable years beginning after December 31, 2017, such that compensation paid to our "covered</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firstLine="45"/>
        <w:spacing w:after="0" w:line="282" w:lineRule="auto"/>
        <w:rPr>
          <w:sz w:val="20"/>
          <w:szCs w:val="20"/>
          <w:color w:val="auto"/>
        </w:rPr>
      </w:pPr>
      <w:r>
        <w:rPr>
          <w:rFonts w:ascii="Times New Roman" w:cs="Times New Roman" w:eastAsia="Times New Roman" w:hAnsi="Times New Roman"/>
          <w:sz w:val="18"/>
          <w:szCs w:val="18"/>
          <w:color w:val="auto"/>
        </w:rPr>
        <w:t>employees" in excess of $1 million will not be deductible unless it qualifies for transition relief applicable to certain arrangements in place as of November 2, 2017.</w:t>
      </w:r>
    </w:p>
    <w:p>
      <w:pPr>
        <w:spacing w:after="0" w:line="162"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Other Tax Consequences. State tax consequences may in some cases differ from those described above. Awards under the Plan will in some instances be made to employees who are subject to tax in jurisdictions other than the United States and may result in tax consequences differing from those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ectPr>
          <w:pgSz w:w="11900" w:h="16838" w:orient="portrait"/>
          <w:cols w:equalWidth="0" w:num="1">
            <w:col w:w="11240"/>
          </w:cols>
          <w:pgMar w:left="320" w:top="121" w:right="339" w:bottom="0" w:gutter="0" w:footer="0" w:header="0"/>
        </w:sectPr>
      </w:pPr>
    </w:p>
    <w:bookmarkStart w:id="16" w:name="page17"/>
    <w:bookmarkEnd w:id="16"/>
    <w:p>
      <w:pPr>
        <w:spacing w:after="0" w:line="4" w:lineRule="exact"/>
        <w:rPr>
          <w:sz w:val="20"/>
          <w:szCs w:val="20"/>
          <w:color w:val="auto"/>
        </w:rPr>
      </w:pPr>
    </w:p>
    <w:p>
      <w:pPr>
        <w:jc w:val="both"/>
        <w:ind w:firstLine="415"/>
        <w:spacing w:after="0" w:line="258" w:lineRule="auto"/>
        <w:rPr>
          <w:sz w:val="20"/>
          <w:szCs w:val="20"/>
          <w:color w:val="auto"/>
        </w:rPr>
      </w:pPr>
      <w:r>
        <w:rPr>
          <w:rFonts w:ascii="Times New Roman" w:cs="Times New Roman" w:eastAsia="Times New Roman" w:hAnsi="Times New Roman"/>
          <w:sz w:val="18"/>
          <w:szCs w:val="18"/>
          <w:color w:val="auto"/>
        </w:rPr>
        <w:t>The Plan became effective on May 18, 2006, and will remain in effect, subject to the right of our Board to terminate the Plan (subject to certain limitations set forth in the Plan), until all shares subject to it have been purchased or acquired according to the Plan's provisions. Any awards granted before the Plan is terminated may extend beyond the expiration date. No ISOs will be issued under the 2006 Stock Incentive Plan after March 15, 2031 unless the Plan is reapproved by stockholders before that date. The closing price of our Common Stock on December 31, 2025, as reported by Nasdaq, was $76.11 per share.</w:t>
      </w:r>
    </w:p>
    <w:p>
      <w:pPr>
        <w:spacing w:after="0" w:line="183" w:lineRule="exact"/>
        <w:rPr>
          <w:sz w:val="20"/>
          <w:szCs w:val="20"/>
          <w:color w:val="auto"/>
        </w:rPr>
      </w:pPr>
    </w:p>
    <w:p>
      <w:pPr>
        <w:jc w:val="both"/>
        <w:ind w:firstLine="415"/>
        <w:spacing w:after="0" w:line="258" w:lineRule="auto"/>
        <w:rPr>
          <w:sz w:val="20"/>
          <w:szCs w:val="20"/>
          <w:color w:val="auto"/>
        </w:rPr>
      </w:pPr>
      <w:r>
        <w:rPr>
          <w:rFonts w:ascii="Times New Roman" w:cs="Times New Roman" w:eastAsia="Times New Roman" w:hAnsi="Times New Roman"/>
          <w:sz w:val="18"/>
          <w:szCs w:val="18"/>
          <w:color w:val="auto"/>
        </w:rPr>
        <w:t>Our Board may amend the Plan at any time. However, no amendment may be made without stockholder approval if the approval is required under applicable law, regulation, or stock exchange rule, or, if the amendment would decrease the grant or exercise price of any stock option, SAR or other stock-based award to less than fair market value on the date of grant (except as discussed above under "Shares Reserved for Awards"). No amendment may be made without the written consent of the grantee of an award if the amendment adversely affects in any material way any award previously granted under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415"/>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Plan will be 19,470,000 shares, plus any shares underlying awards that expire, are canceled or are terminated under our prior 2002 Stock Incentive Plan.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the number of shares outstanding and the number of shares available for future grant under the Plan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Data (as of December 31, 2025)</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Metric</w:t>
            </w:r>
          </w:p>
        </w:tc>
        <w:tc>
          <w:tcPr>
            <w:tcW w:w="44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6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4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4,908,095</w:t>
            </w:r>
          </w:p>
        </w:tc>
      </w:tr>
      <w:tr>
        <w:trPr>
          <w:trHeight w:val="209"/>
        </w:trPr>
        <w:tc>
          <w:tcPr>
            <w:tcW w:w="6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4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$105.41</w:t>
            </w:r>
          </w:p>
        </w:tc>
      </w:tr>
      <w:tr>
        <w:trPr>
          <w:trHeight w:val="209"/>
        </w:trPr>
        <w:tc>
          <w:tcPr>
            <w:tcW w:w="6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Remaining Term (years)</w:t>
            </w:r>
          </w:p>
        </w:tc>
        <w:tc>
          <w:tcPr>
            <w:tcW w:w="4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5.55</w:t>
            </w:r>
          </w:p>
        </w:tc>
      </w:tr>
      <w:tr>
        <w:trPr>
          <w:trHeight w:val="210"/>
        </w:trPr>
        <w:tc>
          <w:tcPr>
            <w:tcW w:w="6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Full-Value Awards Outstanding (Unvested)</w:t>
            </w:r>
          </w:p>
        </w:tc>
        <w:tc>
          <w:tcPr>
            <w:tcW w:w="4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1,505,979</w:t>
            </w:r>
          </w:p>
        </w:tc>
      </w:tr>
      <w:tr>
        <w:trPr>
          <w:trHeight w:val="209"/>
        </w:trPr>
        <w:tc>
          <w:tcPr>
            <w:tcW w:w="6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Shares Remaining for Future Grants (998,589 excl. ESPP)</w:t>
            </w:r>
          </w:p>
        </w:tc>
        <w:tc>
          <w:tcPr>
            <w:tcW w:w="4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1,058,931</w:t>
            </w:r>
          </w:p>
        </w:tc>
      </w:tr>
    </w:tbl>
    <w:p>
      <w:pPr>
        <w:spacing w:after="0" w:line="198"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As of the March 26, 2026 record date, the Company had 37,966,104 shares of common stock outstanding. At December 31, 2025, there were 4,908,095 stock options outstanding and 1,505,979 unvested full-value awards outstanding under the Company’s equity compensation plans. In addition, 1,058,931 shares were reported as remaining available for future grants under the Plan; however, 70,342 of these shares were allocated to the Company’s employee stock purchase plan and are not available for grant under the Plan, resulting in 988,589 shares available for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VOTES AND BOARD RECOMMENDATIONS</w:t>
      </w:r>
    </w:p>
    <w:p>
      <w:pPr>
        <w:spacing w:after="0" w:line="229" w:lineRule="exact"/>
        <w:rPr>
          <w:sz w:val="20"/>
          <w:szCs w:val="20"/>
          <w:color w:val="auto"/>
        </w:rPr>
      </w:pPr>
    </w:p>
    <w:p>
      <w:pPr>
        <w:jc w:val="both"/>
        <w:ind w:firstLine="415"/>
        <w:spacing w:after="0" w:line="282" w:lineRule="auto"/>
        <w:rPr>
          <w:sz w:val="20"/>
          <w:szCs w:val="20"/>
          <w:color w:val="auto"/>
        </w:rPr>
      </w:pPr>
      <w:r>
        <w:rPr>
          <w:rFonts w:ascii="Times New Roman" w:cs="Times New Roman" w:eastAsia="Times New Roman" w:hAnsi="Times New Roman"/>
          <w:sz w:val="18"/>
          <w:szCs w:val="18"/>
          <w:color w:val="auto"/>
        </w:rPr>
        <w:t>Approval of the amendments to the Plan require the affirmative vote of a majority of the shares of Common Stock present in person or represented by proxy at the Annual Meeting and voting on such matter.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STOCKHOLDERS VOTE “FOR” THE AMENDMENTS TO THE AMENDED 2006 STOCK INCENTIVE PLAN.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PROPOSAL 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ADVISORY VOTE TO APPROVE EXECUTIVE COMPENSATION</w:t>
      </w:r>
    </w:p>
    <w:p>
      <w:pPr>
        <w:spacing w:after="0" w:line="206"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or the Dodd-Frank Act, enables our stockholders to vote to approve, on a non-binding advisory basis, the compensation of our named executive officers as disclosed in this Proxy Statement in accordance with the SEC’s rules.</w:t>
      </w:r>
    </w:p>
    <w:p>
      <w:pPr>
        <w:spacing w:after="0" w:line="160"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detail below under the heading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our executive compensation programs are designed (i) to align the interests of executive management and stockholders by making individual compensation dependent upon achievement of financial goals and by providing long-term incentives through our equity-based award plans, and (ii) to provide competitive compensation that will help attract, retain and reward highly qualified executives who contribute to our long-term success. The overall compensation program is designed to reward a combination of strong individual performance, strong performance by Euronet in meeting its long-term strategic goals and stock price appreciation.</w:t>
      </w:r>
    </w:p>
    <w:p>
      <w:pPr>
        <w:spacing w:after="0" w:line="185"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Our compensation package for executive officers consists of a balance of base salary, certain employee benefits, annual bonuses under our Executive Annual Incentive Plan, performance-based equity grants and limited perquisites or other benefits. To serve the best interests of stockholders, the Compensation Committee follows an executive compensation philosophy that emphasizes performance-based compensation. This philosophy also aligns the economic interests of executive officers and stockholders by ensuring that nonvested performance-based equity incentive awards represent a substantial portion of an executive officer’s total compensation package. The Compensation Committee periodically reviews our executive compensation practices to ensure they achieve our desired goals.</w:t>
      </w:r>
    </w:p>
    <w:p>
      <w:pPr>
        <w:spacing w:after="0" w:line="187"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At last year’s annual meeting, over 88% of the votes cast on the advisory vote on executive compensation were in favor of the Company’s named executive officer compensation for 2025. While still representing significant support for our executive compensation practices, we nevertheless are interested in understanding and responding to our stockholders' feedback reflected in their vote. As discussed more broadly under "Stockholder Engagement," we had discussions with stockholders representing approximately 38% of total shares outstanding. We have taken steps to make significant changes in elements of our executive compensation, particularly with respect to our long-term equity incentive awards as discussed under “Compensation Discussion and Analysis”. Based on our historical performance-based pay practices together with feedback-driven changes we have taken action on, we are asking our stockholders to again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approve, on an advisory basis, the following resolution:</w:t>
      </w:r>
    </w:p>
    <w:p>
      <w:pPr>
        <w:sectPr>
          <w:pgSz w:w="11900" w:h="16843" w:orient="portrait"/>
          <w:cols w:equalWidth="0" w:num="1">
            <w:col w:w="11240"/>
          </w:cols>
          <w:pgMar w:left="320" w:top="121" w:right="339" w:bottom="0" w:gutter="0" w:footer="0" w:header="0"/>
        </w:sectPr>
      </w:pPr>
    </w:p>
    <w:bookmarkStart w:id="17" w:name="page18"/>
    <w:bookmarkEnd w:id="17"/>
    <w:p>
      <w:pPr>
        <w:spacing w:after="0" w:line="62"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Company’s Proxy Statement for the Annual Meeting of stockholders pursuant to the compensation disclosure rules of the Securities and Exchange Commission, including the Compensation Discussion and Analysis, the compensation tables and related narrative disclosure.”</w:t>
      </w:r>
    </w:p>
    <w:p>
      <w:pPr>
        <w:spacing w:after="0" w:line="176"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our Board of Directors. However, our Board of Directors and Compensation Committee value the opinions of our stockholders and will consider the outcome of the vote when making future executive compensation decisions.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BOARD UNANIMOUSLY RECOMMENDS AN ADVISORY VOTE “FOR” THE APPROVAL OF THE COMPENSATION OF OUR NAMED EXECUTIVE OFFICERS, AS DISCLOSED IN THIS PROXY STATEMENT PURSUANT TO THE COMPENSATION DISCLOSURE RULES OF THE SECURITIES AND EXCHANGE COMMISSION, INCLUDING THE COMPENSATION DISCUSSION AND ANALYSIS, THE COMPENSATION TABLES AND RELATED NARRATIVE DISCLOSURE.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PROPOSAL 4</w:t>
      </w:r>
    </w:p>
    <w:p>
      <w:pPr>
        <w:spacing w:after="0" w:line="13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b w:val="1"/>
          <w:bCs w:val="1"/>
          <w:color w:val="auto"/>
        </w:rPr>
        <w:t>RATIFICATION OF KPMG LLP AS OUR INDEPENDENT REGISTERED PUBLIC ACCOUNTING FIRM FOR THE FISCAL YEAR 2026</w:t>
      </w:r>
    </w:p>
    <w:p>
      <w:pPr>
        <w:spacing w:after="0" w:line="14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are requesting our stockholders ratify the selection by our Audit Committee of KPMG LLP as Euronet’s independent registered public accounting firm for 2026. KPMG LLP will audit the consolidated financial statements of Euronet and its subsidiaries for 2026, review certain reports we will file with the SEC, audit the effectiveness of our internal control over financial reporting, provide our Board and stockholders with certain reports, and provide other services such as our Audit Committee and its Chairperson may approve from time to time.</w:t>
      </w:r>
    </w:p>
    <w:p>
      <w:pPr>
        <w:spacing w:after="0" w:line="180" w:lineRule="exact"/>
        <w:rPr>
          <w:sz w:val="20"/>
          <w:szCs w:val="20"/>
          <w:color w:val="auto"/>
        </w:rPr>
      </w:pPr>
    </w:p>
    <w:p>
      <w:pPr>
        <w:jc w:val="both"/>
        <w:ind w:firstLine="315"/>
        <w:spacing w:after="0" w:line="258" w:lineRule="auto"/>
        <w:rPr>
          <w:sz w:val="20"/>
          <w:szCs w:val="20"/>
          <w:color w:val="auto"/>
        </w:rPr>
      </w:pPr>
      <w:r>
        <w:rPr>
          <w:rFonts w:ascii="Times New Roman" w:cs="Times New Roman" w:eastAsia="Times New Roman" w:hAnsi="Times New Roman"/>
          <w:sz w:val="18"/>
          <w:szCs w:val="18"/>
          <w:color w:val="auto"/>
        </w:rPr>
        <w:t>KPMG LLP served as our independent registered public accounting firm for 2025 and performed professional services for us as described below in the “Audit Matters” section. Representatives of KPMG LLP are expected to be present at the Annual Meeting and will have the opportunity to make a statement if they desire and to respond to appropriate questions. Although our Audit Committee has selected KPMG LLP, it nonetheless may, in its discretion, terminate KPMG’s engagement and retain another independent registered public accounting firm at any time during the year if it concludes that such change would be in the best interests of Euronet and its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Board Recommendation</w:t>
      </w:r>
    </w:p>
    <w:p>
      <w:pPr>
        <w:spacing w:after="0" w:line="229"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Approval of the ratification of KPMG LLP as our independent registered public accounting firm for 2026 requires the affirmative vote of a majority of the shares of Common Stock present in person or represented by proxy at the Annual Meeting and voting on this proposal.</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STOCKHOLDERS VOTE “FOR” THE RATIFICATION OF THE SELECTION OF KPMG LLP AS OUR INDEPENDENT REGISTERED PUBLIC ACCOUNTING FIRM FOR THE FISCAL YEAR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COMPENSATION DISCUSSION AND ANALYSIS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Euronet has a long-standing compensation philosophy that emphasizes performance-based compensation to ensure that the interests of all of our executives, including the named executive officers (NEOs), are aligned with our stockholders. Our program is market-competitive to ensure we attract, retain and reward highly qualified executives who contribute to our success with compensation packages established pursuant to the following principles:</w:t>
      </w:r>
    </w:p>
    <w:p>
      <w:pPr>
        <w:spacing w:after="0" w:line="131" w:lineRule="exact"/>
        <w:rPr>
          <w:sz w:val="20"/>
          <w:szCs w:val="20"/>
          <w:color w:val="auto"/>
        </w:rPr>
      </w:pPr>
    </w:p>
    <w:p>
      <w:pPr>
        <w:ind w:left="740" w:right="20" w:firstLine="57"/>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Market-Competitive </w:t>
      </w:r>
      <w:r>
        <w:rPr>
          <w:rFonts w:ascii="Times New Roman" w:cs="Times New Roman" w:eastAsia="Times New Roman" w:hAnsi="Times New Roman"/>
          <w:sz w:val="18"/>
          <w:szCs w:val="18"/>
          <w:color w:val="auto"/>
        </w:rPr>
        <w:t>- We review and benchmark our compensation opportunities annually to ensure total direct compensation including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salary, an annual cash incentive and target long-term equity incentives are market-competitive.</w:t>
      </w:r>
    </w:p>
    <w:p>
      <w:pPr>
        <w:ind w:left="740" w:firstLine="57"/>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 We emphasize pay for performance with at approximately 80% of NEO target total direct compensation dependent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achievement of annual and long-term Company performance goals.</w:t>
      </w:r>
    </w:p>
    <w:p>
      <w:pPr>
        <w:ind w:left="740" w:right="20" w:firstLine="57"/>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Comprehensive Benefit Programs </w:t>
      </w:r>
      <w:r>
        <w:rPr>
          <w:rFonts w:ascii="Times New Roman" w:cs="Times New Roman" w:eastAsia="Times New Roman" w:hAnsi="Times New Roman"/>
          <w:sz w:val="18"/>
          <w:szCs w:val="18"/>
          <w:color w:val="auto"/>
        </w:rPr>
        <w:t>- We offer our employees a competitive benefit plan that supports retirement, health and wellness. NEOs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have access to the same health and retirement benefits as all of our U.S. employees.</w:t>
      </w:r>
    </w:p>
    <w:p>
      <w:pPr>
        <w:ind w:left="740" w:firstLine="57"/>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Stockholder Value Alignment - </w:t>
      </w:r>
      <w:r>
        <w:rPr>
          <w:rFonts w:ascii="Times New Roman" w:cs="Times New Roman" w:eastAsia="Times New Roman" w:hAnsi="Times New Roman"/>
          <w:sz w:val="18"/>
          <w:szCs w:val="18"/>
          <w:color w:val="auto"/>
        </w:rPr>
        <w:t>We align incentive programs with stockholder value creation by using annual and three-to-five-year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measures that drive stockholder value. Incentive goals are directly aligned with our Board-approved long-term strategic plan.</w:t>
      </w:r>
    </w:p>
    <w:p>
      <w:pPr>
        <w:spacing w:after="0" w:line="141"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Management's primary operating measures are earnings per share and operating income, each adjusted for currency fluctuations and certain pre-defined, non-cash and non-recurring elements approved by the Compensation Committee, which we refer to as "adjusted EPS" and "adjusted operating income,"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2025, the Company achieved strong financial results. Our 2025 financial performance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91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61AA"/>
        </w:rPr>
        <w:t>Top and Bottom-Line Results</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840" w:type="dxa"/>
            <w:vAlign w:val="bottom"/>
          </w:tcPr>
          <w:p>
            <w:pPr>
              <w:jc w:val="center"/>
              <w:ind w:left="804"/>
              <w:spacing w:after="0"/>
              <w:rPr>
                <w:sz w:val="20"/>
                <w:szCs w:val="20"/>
                <w:color w:val="auto"/>
              </w:rPr>
            </w:pPr>
            <w:r>
              <w:rPr>
                <w:rFonts w:ascii="Times New Roman" w:cs="Times New Roman" w:eastAsia="Times New Roman" w:hAnsi="Times New Roman"/>
                <w:sz w:val="20"/>
                <w:szCs w:val="20"/>
                <w:b w:val="1"/>
                <w:bCs w:val="1"/>
                <w:color w:val="0061AA"/>
                <w:w w:val="99"/>
              </w:rPr>
              <w:t>6%</w:t>
            </w:r>
          </w:p>
        </w:tc>
        <w:tc>
          <w:tcPr>
            <w:tcW w:w="900" w:type="dxa"/>
            <w:vAlign w:val="bottom"/>
          </w:tcPr>
          <w:p>
            <w:pPr>
              <w:spacing w:after="0"/>
              <w:rPr>
                <w:sz w:val="22"/>
                <w:szCs w:val="22"/>
                <w:color w:val="auto"/>
              </w:rPr>
            </w:pPr>
          </w:p>
        </w:tc>
        <w:tc>
          <w:tcPr>
            <w:tcW w:w="4520" w:type="dxa"/>
            <w:vAlign w:val="bottom"/>
          </w:tcPr>
          <w:p>
            <w:pPr>
              <w:jc w:val="center"/>
              <w:ind w:right="643"/>
              <w:spacing w:after="0"/>
              <w:rPr>
                <w:sz w:val="20"/>
                <w:szCs w:val="20"/>
                <w:color w:val="auto"/>
              </w:rPr>
            </w:pPr>
            <w:r>
              <w:rPr>
                <w:rFonts w:ascii="Times New Roman" w:cs="Times New Roman" w:eastAsia="Times New Roman" w:hAnsi="Times New Roman"/>
                <w:sz w:val="20"/>
                <w:szCs w:val="20"/>
                <w:b w:val="1"/>
                <w:bCs w:val="1"/>
                <w:color w:val="0061AA"/>
                <w:w w:val="99"/>
              </w:rPr>
              <w:t>9%</w:t>
            </w:r>
          </w:p>
        </w:tc>
        <w:tc>
          <w:tcPr>
            <w:tcW w:w="2980" w:type="dxa"/>
            <w:vAlign w:val="bottom"/>
          </w:tcPr>
          <w:p>
            <w:pPr>
              <w:jc w:val="right"/>
              <w:ind w:right="1561"/>
              <w:spacing w:after="0"/>
              <w:rPr>
                <w:sz w:val="20"/>
                <w:szCs w:val="20"/>
                <w:color w:val="auto"/>
              </w:rPr>
            </w:pPr>
            <w:r>
              <w:rPr>
                <w:rFonts w:ascii="Times New Roman" w:cs="Times New Roman" w:eastAsia="Times New Roman" w:hAnsi="Times New Roman"/>
                <w:sz w:val="20"/>
                <w:szCs w:val="20"/>
                <w:b w:val="1"/>
                <w:bCs w:val="1"/>
                <w:color w:val="0061AA"/>
              </w:rPr>
              <w:t>12%</w:t>
            </w:r>
          </w:p>
        </w:tc>
        <w:tc>
          <w:tcPr>
            <w:tcW w:w="0" w:type="dxa"/>
            <w:vAlign w:val="bottom"/>
          </w:tcPr>
          <w:p>
            <w:pPr>
              <w:spacing w:after="0"/>
              <w:rPr>
                <w:sz w:val="1"/>
                <w:szCs w:val="1"/>
                <w:color w:val="auto"/>
              </w:rPr>
            </w:pPr>
          </w:p>
        </w:tc>
      </w:tr>
      <w:tr>
        <w:trPr>
          <w:trHeight w:val="237"/>
        </w:trPr>
        <w:tc>
          <w:tcPr>
            <w:tcW w:w="3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0061AA"/>
                <w:w w:val="99"/>
              </w:rPr>
              <w:t>Revenue Increase</w:t>
            </w:r>
          </w:p>
        </w:tc>
        <w:tc>
          <w:tcPr>
            <w:tcW w:w="4520" w:type="dxa"/>
            <w:vAlign w:val="bottom"/>
          </w:tcPr>
          <w:p>
            <w:pPr>
              <w:jc w:val="center"/>
              <w:ind w:right="703"/>
              <w:spacing w:after="0"/>
              <w:rPr>
                <w:sz w:val="20"/>
                <w:szCs w:val="20"/>
                <w:color w:val="auto"/>
              </w:rPr>
            </w:pPr>
            <w:r>
              <w:rPr>
                <w:rFonts w:ascii="Times New Roman" w:cs="Times New Roman" w:eastAsia="Times New Roman" w:hAnsi="Times New Roman"/>
                <w:sz w:val="20"/>
                <w:szCs w:val="20"/>
                <w:b w:val="1"/>
                <w:bCs w:val="1"/>
                <w:color w:val="0061AA"/>
                <w:w w:val="98"/>
              </w:rPr>
              <w:t>Adjusted Operating Income</w:t>
            </w:r>
          </w:p>
        </w:tc>
        <w:tc>
          <w:tcPr>
            <w:tcW w:w="2980" w:type="dxa"/>
            <w:vAlign w:val="bottom"/>
            <w:vMerge w:val="restart"/>
          </w:tcPr>
          <w:p>
            <w:pPr>
              <w:jc w:val="center"/>
              <w:ind w:right="641"/>
              <w:spacing w:after="0"/>
              <w:rPr>
                <w:sz w:val="20"/>
                <w:szCs w:val="20"/>
                <w:color w:val="auto"/>
              </w:rPr>
            </w:pPr>
            <w:r>
              <w:rPr>
                <w:rFonts w:ascii="Times New Roman" w:cs="Times New Roman" w:eastAsia="Times New Roman" w:hAnsi="Times New Roman"/>
                <w:sz w:val="20"/>
                <w:szCs w:val="20"/>
                <w:b w:val="1"/>
                <w:bCs w:val="1"/>
                <w:color w:val="0061AA"/>
                <w:w w:val="99"/>
              </w:rPr>
              <w:t>Adjusted EPS Increase</w:t>
            </w:r>
          </w:p>
        </w:tc>
        <w:tc>
          <w:tcPr>
            <w:tcW w:w="0" w:type="dxa"/>
            <w:vAlign w:val="bottom"/>
          </w:tcPr>
          <w:p>
            <w:pPr>
              <w:spacing w:after="0"/>
              <w:rPr>
                <w:sz w:val="1"/>
                <w:szCs w:val="1"/>
                <w:color w:val="auto"/>
              </w:rPr>
            </w:pPr>
          </w:p>
        </w:tc>
      </w:tr>
      <w:tr>
        <w:trPr>
          <w:trHeight w:val="141"/>
        </w:trPr>
        <w:tc>
          <w:tcPr>
            <w:tcW w:w="3740" w:type="dxa"/>
            <w:vAlign w:val="bottom"/>
            <w:gridSpan w:val="2"/>
            <w:vMerge w:val="continue"/>
          </w:tcPr>
          <w:p>
            <w:pPr>
              <w:spacing w:after="0"/>
              <w:rPr>
                <w:sz w:val="12"/>
                <w:szCs w:val="12"/>
                <w:color w:val="auto"/>
              </w:rPr>
            </w:pPr>
          </w:p>
        </w:tc>
        <w:tc>
          <w:tcPr>
            <w:tcW w:w="4520" w:type="dxa"/>
            <w:vAlign w:val="bottom"/>
            <w:vMerge w:val="restart"/>
          </w:tcPr>
          <w:p>
            <w:pPr>
              <w:jc w:val="center"/>
              <w:ind w:right="663"/>
              <w:spacing w:after="0"/>
              <w:rPr>
                <w:sz w:val="20"/>
                <w:szCs w:val="20"/>
                <w:color w:val="auto"/>
              </w:rPr>
            </w:pPr>
            <w:r>
              <w:rPr>
                <w:rFonts w:ascii="Times New Roman" w:cs="Times New Roman" w:eastAsia="Times New Roman" w:hAnsi="Times New Roman"/>
                <w:sz w:val="20"/>
                <w:szCs w:val="20"/>
                <w:b w:val="1"/>
                <w:bCs w:val="1"/>
                <w:color w:val="0061AA"/>
                <w:w w:val="99"/>
              </w:rPr>
              <w:t>Increase</w:t>
            </w: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520" w:type="dxa"/>
            <w:vAlign w:val="bottom"/>
            <w:vMerge w:val="continue"/>
          </w:tcPr>
          <w:p>
            <w:pPr>
              <w:spacing w:after="0"/>
              <w:rPr>
                <w:sz w:val="10"/>
                <w:szCs w:val="10"/>
                <w:color w:val="auto"/>
              </w:rPr>
            </w:pPr>
          </w:p>
        </w:tc>
        <w:tc>
          <w:tcPr>
            <w:tcW w:w="2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740" w:type="dxa"/>
            <w:vAlign w:val="bottom"/>
            <w:tcBorders>
              <w:bottom w:val="single" w:sz="8" w:color="auto"/>
            </w:tcBorders>
            <w:gridSpan w:val="2"/>
          </w:tcPr>
          <w:p>
            <w:pPr>
              <w:jc w:val="center"/>
              <w:spacing w:after="0" w:line="317" w:lineRule="exact"/>
              <w:rPr>
                <w:sz w:val="20"/>
                <w:szCs w:val="20"/>
                <w:color w:val="auto"/>
              </w:rPr>
            </w:pPr>
            <w:r>
              <w:rPr>
                <w:rFonts w:ascii="Times New Roman" w:cs="Times New Roman" w:eastAsia="Times New Roman" w:hAnsi="Times New Roman"/>
                <w:sz w:val="18"/>
                <w:szCs w:val="18"/>
                <w:color w:val="auto"/>
                <w:w w:val="99"/>
              </w:rPr>
              <w:t>4% increase on a constant currency basis</w:t>
            </w:r>
            <w:r>
              <w:rPr>
                <w:rFonts w:ascii="Times New Roman" w:cs="Times New Roman" w:eastAsia="Times New Roman" w:hAnsi="Times New Roman"/>
                <w:sz w:val="29"/>
                <w:szCs w:val="29"/>
                <w:color w:val="auto"/>
                <w:w w:val="99"/>
                <w:vertAlign w:val="superscript"/>
              </w:rPr>
              <w:t>1</w:t>
            </w:r>
          </w:p>
        </w:tc>
        <w:tc>
          <w:tcPr>
            <w:tcW w:w="4520" w:type="dxa"/>
            <w:vAlign w:val="bottom"/>
            <w:tcBorders>
              <w:bottom w:val="single" w:sz="8" w:color="auto"/>
            </w:tcBorders>
          </w:tcPr>
          <w:p>
            <w:pPr>
              <w:jc w:val="center"/>
              <w:ind w:right="643"/>
              <w:spacing w:after="0" w:line="317" w:lineRule="exact"/>
              <w:rPr>
                <w:sz w:val="20"/>
                <w:szCs w:val="20"/>
                <w:color w:val="auto"/>
              </w:rPr>
            </w:pPr>
            <w:r>
              <w:rPr>
                <w:rFonts w:ascii="Times New Roman" w:cs="Times New Roman" w:eastAsia="Times New Roman" w:hAnsi="Times New Roman"/>
                <w:sz w:val="18"/>
                <w:szCs w:val="18"/>
                <w:color w:val="auto"/>
                <w:w w:val="99"/>
              </w:rPr>
              <w:t>5% increase on a constant currency basis</w:t>
            </w:r>
            <w:r>
              <w:rPr>
                <w:rFonts w:ascii="Times New Roman" w:cs="Times New Roman" w:eastAsia="Times New Roman" w:hAnsi="Times New Roman"/>
                <w:sz w:val="29"/>
                <w:szCs w:val="29"/>
                <w:color w:val="auto"/>
                <w:w w:val="99"/>
                <w:vertAlign w:val="superscript"/>
              </w:rPr>
              <w:t>1</w:t>
            </w: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8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840" w:type="dxa"/>
            <w:vAlign w:val="bottom"/>
            <w:tcBorders>
              <w:left w:val="single" w:sz="8" w:color="auto"/>
              <w:right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4520" w:type="dxa"/>
            <w:vAlign w:val="bottom"/>
          </w:tcPr>
          <w:p>
            <w:pPr>
              <w:ind w:left="2220"/>
              <w:spacing w:after="0"/>
              <w:rPr>
                <w:sz w:val="20"/>
                <w:szCs w:val="20"/>
                <w:color w:val="auto"/>
              </w:rPr>
            </w:pPr>
            <w:r>
              <w:rPr>
                <w:rFonts w:ascii="Times New Roman" w:cs="Times New Roman" w:eastAsia="Times New Roman" w:hAnsi="Times New Roman"/>
                <w:sz w:val="20"/>
                <w:szCs w:val="20"/>
                <w:b w:val="1"/>
                <w:bCs w:val="1"/>
                <w:color w:val="006EBF"/>
              </w:rPr>
              <w:t>Total Stockholder Return</w:t>
            </w:r>
          </w:p>
        </w:tc>
        <w:tc>
          <w:tcPr>
            <w:tcW w:w="2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37" w:right="339" w:bottom="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1991360</wp:posOffset>
            </wp:positionH>
            <wp:positionV relativeFrom="page">
              <wp:posOffset>88900</wp:posOffset>
            </wp:positionV>
            <wp:extent cx="82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90"/>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0061AA"/>
                <w:w w:val="99"/>
              </w:rPr>
              <w:t>$663.0 million</w:t>
            </w:r>
          </w:p>
        </w:tc>
        <w:tc>
          <w:tcPr>
            <w:tcW w:w="26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006EBF"/>
                <w:w w:val="97"/>
              </w:rPr>
              <w:t>Year-end 2025</w:t>
            </w:r>
          </w:p>
        </w:tc>
        <w:tc>
          <w:tcPr>
            <w:tcW w:w="2680" w:type="dxa"/>
            <w:vAlign w:val="bottom"/>
            <w:tcBorders>
              <w:bottom w:val="single" w:sz="8" w:color="auto"/>
              <w:right w:val="single" w:sz="8" w:color="auto"/>
            </w:tcBorders>
          </w:tcPr>
          <w:p>
            <w:pPr>
              <w:spacing w:after="0"/>
              <w:rPr>
                <w:sz w:val="24"/>
                <w:szCs w:val="24"/>
                <w:color w:val="auto"/>
              </w:rPr>
            </w:pPr>
          </w:p>
        </w:tc>
      </w:tr>
      <w:tr>
        <w:trPr>
          <w:trHeight w:val="230"/>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0061AA"/>
                <w:w w:val="99"/>
              </w:rPr>
              <w:t>Capital Returned to</w:t>
            </w:r>
          </w:p>
        </w:tc>
        <w:tc>
          <w:tcPr>
            <w:tcW w:w="266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0061AA"/>
                <w:w w:val="98"/>
              </w:rPr>
              <w:t>1-YEAR</w:t>
            </w:r>
          </w:p>
        </w:tc>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0061AA"/>
              </w:rPr>
              <w:t>3-YEAR</w:t>
            </w:r>
          </w:p>
        </w:tc>
        <w:tc>
          <w:tcPr>
            <w:tcW w:w="2680" w:type="dxa"/>
            <w:vAlign w:val="bottom"/>
            <w:tcBorders>
              <w:right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0061AA"/>
              </w:rPr>
              <w:t>5-YEAR</w:t>
            </w:r>
          </w:p>
        </w:tc>
      </w:tr>
      <w:tr>
        <w:trPr>
          <w:trHeight w:val="262"/>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0061AA"/>
                <w:w w:val="98"/>
              </w:rPr>
              <w:t>Stockholders</w:t>
            </w:r>
          </w:p>
        </w:tc>
        <w:tc>
          <w:tcPr>
            <w:tcW w:w="2660" w:type="dxa"/>
            <w:vAlign w:val="bottom"/>
          </w:tcPr>
          <w:p>
            <w:pPr>
              <w:jc w:val="right"/>
              <w:ind w:right="921"/>
              <w:spacing w:after="0"/>
              <w:rPr>
                <w:sz w:val="20"/>
                <w:szCs w:val="20"/>
                <w:color w:val="auto"/>
              </w:rPr>
            </w:pPr>
            <w:r>
              <w:rPr>
                <w:rFonts w:ascii="Times New Roman" w:cs="Times New Roman" w:eastAsia="Times New Roman" w:hAnsi="Times New Roman"/>
                <w:sz w:val="20"/>
                <w:szCs w:val="20"/>
                <w:b w:val="1"/>
                <w:bCs w:val="1"/>
                <w:color w:val="0061AA"/>
              </w:rPr>
              <w:t>(26%)</w:t>
            </w:r>
          </w:p>
        </w:tc>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0061AA"/>
              </w:rPr>
              <w:t>(19%)</w:t>
            </w:r>
          </w:p>
        </w:tc>
        <w:tc>
          <w:tcPr>
            <w:tcW w:w="2680" w:type="dxa"/>
            <w:vAlign w:val="bottom"/>
            <w:tcBorders>
              <w:right w:val="single" w:sz="8" w:color="auto"/>
            </w:tcBorders>
          </w:tcPr>
          <w:p>
            <w:pPr>
              <w:jc w:val="right"/>
              <w:ind w:right="1041"/>
              <w:spacing w:after="0"/>
              <w:rPr>
                <w:sz w:val="20"/>
                <w:szCs w:val="20"/>
                <w:color w:val="auto"/>
              </w:rPr>
            </w:pPr>
            <w:r>
              <w:rPr>
                <w:rFonts w:ascii="Times New Roman" w:cs="Times New Roman" w:eastAsia="Times New Roman" w:hAnsi="Times New Roman"/>
                <w:sz w:val="20"/>
                <w:szCs w:val="20"/>
                <w:b w:val="1"/>
                <w:bCs w:val="1"/>
                <w:color w:val="0061AA"/>
              </w:rPr>
              <w:t>(47%)</w:t>
            </w:r>
          </w:p>
        </w:tc>
      </w:tr>
      <w:tr>
        <w:trPr>
          <w:trHeight w:val="25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(through Share Repurchases)</w:t>
            </w:r>
          </w:p>
        </w:tc>
        <w:tc>
          <w:tcPr>
            <w:tcW w:w="266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680" w:type="dxa"/>
            <w:vAlign w:val="bottom"/>
            <w:tcBorders>
              <w:right w:val="single" w:sz="8" w:color="auto"/>
            </w:tcBorders>
          </w:tcPr>
          <w:p>
            <w:pPr>
              <w:spacing w:after="0"/>
              <w:rPr>
                <w:sz w:val="22"/>
                <w:szCs w:val="22"/>
                <w:color w:val="auto"/>
              </w:rPr>
            </w:pPr>
          </w:p>
        </w:tc>
      </w:tr>
      <w:tr>
        <w:trPr>
          <w:trHeight w:val="60"/>
        </w:trPr>
        <w:tc>
          <w:tcPr>
            <w:tcW w:w="2840" w:type="dxa"/>
            <w:vAlign w:val="bottom"/>
            <w:tcBorders>
              <w:left w:val="single" w:sz="8" w:color="auto"/>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bl>
    <w:p>
      <w:pPr>
        <w:spacing w:after="0" w:line="117" w:lineRule="exact"/>
        <w:rPr>
          <w:sz w:val="20"/>
          <w:szCs w:val="20"/>
          <w:color w:val="auto"/>
        </w:rPr>
      </w:pPr>
    </w:p>
    <w:p>
      <w:pPr>
        <w:jc w:val="both"/>
        <w:ind w:firstLine="414"/>
        <w:spacing w:after="0" w:line="251"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Adjusted operating income, adjusted EPS, revenue on a constant currency basis and adjusted operating income on a constant currency basis are non-GAAP financial measures that exclude certain items. Please refer to Appendix A to this Proxy Statement for a reconciliation of these measures relative to the reported GAAP financial measures. To evaluate performance in a manner consistent with how management evaluates our operational results and trends, the Compensation Committee uses certain non-GAAP performance metrics for both annual incentive and long-term awards. Constant currency financial measures assume foreign currency exchange rates did not change from the prior period, which enables consistent year-over-year financial comparisons and ensures incentive payouts are not artificially inflated or impaired by local country currency fluctuations that are outside the control of management.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The following graph compares Euronet Worldwide, Inc.’s annual percentage change in cumulative total return on common shares over the past five years with the cumulative total return of companies comprising the Nasdaq Composite index and the Nasdaq US Benchmark Financial Services TR Index. This presentation assumes that $100 was invested in shares of the relevant issuers on December 31, 2020, and that dividends received were immediately invested in additional shares. The graph plots the value of the initial $100 investment at one-year intervals for the fiscal years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57150</wp:posOffset>
            </wp:positionV>
            <wp:extent cx="5674995" cy="35058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499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000"/>
        <w:spacing w:after="0" w:line="362" w:lineRule="auto"/>
        <w:rPr>
          <w:sz w:val="20"/>
          <w:szCs w:val="20"/>
          <w:color w:val="auto"/>
        </w:rPr>
      </w:pPr>
      <w:r>
        <w:rPr>
          <w:rFonts w:ascii="Times New Roman" w:cs="Times New Roman" w:eastAsia="Times New Roman" w:hAnsi="Times New Roman"/>
          <w:sz w:val="18"/>
          <w:szCs w:val="18"/>
          <w:b w:val="1"/>
          <w:bCs w:val="1"/>
          <w:color w:val="auto"/>
        </w:rPr>
        <w:t>EXECUTIVE COMPENSATION PROGRAM OBJECTIVES AND STRATEGY Our Industry Environment</w:t>
      </w:r>
    </w:p>
    <w:p>
      <w:pPr>
        <w:spacing w:after="0" w:line="1" w:lineRule="exact"/>
        <w:rPr>
          <w:sz w:val="20"/>
          <w:szCs w:val="20"/>
          <w:color w:val="auto"/>
        </w:rPr>
      </w:pPr>
    </w:p>
    <w:p>
      <w:pPr>
        <w:jc w:val="both"/>
        <w:ind w:firstLine="414"/>
        <w:spacing w:after="0" w:line="281" w:lineRule="auto"/>
        <w:rPr>
          <w:sz w:val="20"/>
          <w:szCs w:val="20"/>
          <w:color w:val="auto"/>
        </w:rPr>
      </w:pPr>
      <w:r>
        <w:rPr>
          <w:rFonts w:ascii="Times New Roman" w:cs="Times New Roman" w:eastAsia="Times New Roman" w:hAnsi="Times New Roman"/>
          <w:sz w:val="18"/>
          <w:szCs w:val="18"/>
          <w:color w:val="auto"/>
        </w:rPr>
        <w:t>The payments industry is changing rapidly and requires companies to be transparent, compliant and competitively priced as well as develop and maintain leading-edge, flexible technology in order to provide consumers with access to their funds in the way they demand it.</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Banks are closing branches, resulting in cash deserts across certain areas in Europe</w:t>
      </w:r>
    </w:p>
    <w:p>
      <w:pPr>
        <w:spacing w:after="0" w:line="27" w:lineRule="exact"/>
        <w:rPr>
          <w:sz w:val="20"/>
          <w:szCs w:val="20"/>
          <w:color w:val="auto"/>
        </w:rPr>
      </w:pPr>
    </w:p>
    <w:p>
      <w:pPr>
        <w:ind w:left="720" w:right="3220"/>
        <w:spacing w:after="0" w:line="265" w:lineRule="auto"/>
        <w:rPr>
          <w:sz w:val="20"/>
          <w:szCs w:val="20"/>
          <w:color w:val="auto"/>
        </w:rPr>
      </w:pPr>
      <w:r>
        <w:rPr>
          <w:rFonts w:ascii="Times New Roman" w:cs="Times New Roman" w:eastAsia="Times New Roman" w:hAnsi="Times New Roman"/>
          <w:sz w:val="17"/>
          <w:szCs w:val="17"/>
          <w:color w:val="auto"/>
        </w:rPr>
        <w:t>Consumers want choice on how to interact with their funds while participating in the global economy Data security, data privacy and compliance are fundamentally important to company success</w:t>
      </w:r>
    </w:p>
    <w:p>
      <w:pPr>
        <w:ind w:left="660" w:right="20" w:firstLine="57"/>
        <w:spacing w:after="0" w:line="260" w:lineRule="auto"/>
        <w:rPr>
          <w:sz w:val="20"/>
          <w:szCs w:val="20"/>
          <w:color w:val="auto"/>
        </w:rPr>
      </w:pPr>
      <w:r>
        <w:rPr>
          <w:rFonts w:ascii="Times New Roman" w:cs="Times New Roman" w:eastAsia="Times New Roman" w:hAnsi="Times New Roman"/>
          <w:sz w:val="18"/>
          <w:szCs w:val="18"/>
          <w:color w:val="auto"/>
        </w:rPr>
        <w:t>Crypto Currencies are causing banks, financial institutions and related financial service providers to re-imagine their products and customer value sets.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page 32-33 for analysis related to the specific payment processing participants performance.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Program Must Reflect the Industry Within Which We Operate, Be Market Competitive and Pay For Performance</w:t>
      </w:r>
    </w:p>
    <w:p>
      <w:pPr>
        <w:spacing w:after="0" w:line="81" w:lineRule="exact"/>
        <w:rPr>
          <w:sz w:val="20"/>
          <w:szCs w:val="20"/>
          <w:color w:val="auto"/>
        </w:rPr>
      </w:pPr>
    </w:p>
    <w:p>
      <w:pPr>
        <w:ind w:firstLine="414"/>
        <w:spacing w:after="0" w:line="282" w:lineRule="auto"/>
        <w:rPr>
          <w:sz w:val="20"/>
          <w:szCs w:val="20"/>
          <w:color w:val="auto"/>
        </w:rPr>
      </w:pPr>
      <w:r>
        <w:rPr>
          <w:rFonts w:ascii="Times New Roman" w:cs="Times New Roman" w:eastAsia="Times New Roman" w:hAnsi="Times New Roman"/>
          <w:sz w:val="18"/>
          <w:szCs w:val="18"/>
          <w:color w:val="auto"/>
        </w:rPr>
        <w:t>We strive to balance the need for market-competitive pay within a framework that provides the appropriate mix of fixed and variable, at-risk compensation to attract, retain and motivate talent and align executive and stockholder interests within our pay-for-performance objectives.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 must: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Support our efforts to attract and retain highly qualified business minds to contribute to our long-term success</w:t>
      </w:r>
    </w:p>
    <w:p>
      <w:pPr>
        <w:spacing w:after="0" w:line="27" w:lineRule="exact"/>
        <w:rPr>
          <w:sz w:val="20"/>
          <w:szCs w:val="20"/>
          <w:color w:val="auto"/>
        </w:rPr>
      </w:pPr>
    </w:p>
    <w:p>
      <w:pPr>
        <w:ind w:left="660" w:firstLine="57"/>
        <w:spacing w:after="0" w:line="250" w:lineRule="auto"/>
        <w:rPr>
          <w:sz w:val="20"/>
          <w:szCs w:val="20"/>
          <w:color w:val="auto"/>
        </w:rPr>
      </w:pPr>
      <w:r>
        <w:rPr>
          <w:rFonts w:ascii="Times New Roman" w:cs="Times New Roman" w:eastAsia="Times New Roman" w:hAnsi="Times New Roman"/>
          <w:sz w:val="18"/>
          <w:szCs w:val="18"/>
          <w:color w:val="auto"/>
        </w:rPr>
        <w:t>Align the interests of our executives with the interests of our stockholders by making individual compensation dependent upon achievement of financial goals and providing long-term incentives through our equity-based award plans</w:t>
      </w:r>
    </w:p>
    <w:p>
      <w:pPr>
        <w:ind w:left="440"/>
        <w:spacing w:after="0"/>
        <w:rPr>
          <w:sz w:val="20"/>
          <w:szCs w:val="20"/>
          <w:color w:val="auto"/>
        </w:rPr>
      </w:pPr>
      <w:r>
        <w:rPr>
          <w:rFonts w:ascii="Times New Roman" w:cs="Times New Roman" w:eastAsia="Times New Roman" w:hAnsi="Times New Roman"/>
          <w:sz w:val="18"/>
          <w:szCs w:val="18"/>
          <w:color w:val="auto"/>
        </w:rPr>
        <w:t>Reward our executives based on the achievement of sustained financial and operating performance and demonstrated leadership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EXECUTIVE COMPENSATION DESIGN AND DECISION-MAKING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ectPr>
          <w:pgSz w:w="11900" w:h="16838" w:orient="portrait"/>
          <w:cols w:equalWidth="0" w:num="1">
            <w:col w:w="11240"/>
          </w:cols>
          <w:pgMar w:left="320" w:top="120" w:right="339" w:bottom="195" w:gutter="0" w:footer="0" w:header="0"/>
        </w:sectPr>
      </w:pPr>
    </w:p>
    <w:bookmarkStart w:id="19" w:name="page20"/>
    <w:bookmarkEnd w:id="19"/>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The Compensation Committee is currently comprised of three independent Directors who each hold a significant amount of Company stock (stock value at December 31, 2025 of Compensation Committee members ranges from four to 71 times the annual cash retainer) and together they administer our executive compensation programs. The Compensation Committee is responsible for recommending policies to the Board that govern both annual cash compensation and equity incentive programs. The Compensation Committee has the authority to retain independent outside consultants or advisors as it deems necessary to provide desired expertise and counsel.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Consultant</w:t>
      </w:r>
    </w:p>
    <w:p>
      <w:pPr>
        <w:spacing w:after="0" w:line="121"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Compensation Committee retained FW Cook as independent compensation consultant for 2025 to advise the Compensation Committee on all matters related to executive officer compensation. FW Cook provided advice regarding current and emerging practices with regard to executive compensation. Representatives from FW Cook attended meetings, as requested by the Committee. FW Cook did not provide any services to the Compensation Committee or the Company outside of its capacity as executive compensation consultant.</w:t>
      </w:r>
    </w:p>
    <w:p>
      <w:pPr>
        <w:spacing w:after="0" w:line="180"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Compensation Committee assessed the independence of FW Cook pursuant to Nasdaq's rules and concluded that no conflict of interest exists that would prevent FW Cook from independently advising the Committee.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and Chief Financial Officer</w:t>
      </w:r>
    </w:p>
    <w:p>
      <w:pPr>
        <w:spacing w:after="0" w:line="121"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The Compensation Committee considers input from our Chief Executive Officer ("CEO") and Chief Financial Officer ("CFO") regarding the responsibilities and accomplishments of individual executive officers, information as to potential achievability of incentive goals and levels of various compensation elements necessary to provide incentives for and to retain executive management. Our CEO makes recommendations to the Compensation Committee on each of the other executive officers' compensation. Executive officers are not involved in proposing or seeking approval for their own compensation. For the CEO's review, the independent Directors meet in an executive session to assess the CEO's performance and determine appropriate compensation levels and performance goals.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Compensation Committee has incorporated the following governance features into our programs:</w:t>
      </w:r>
    </w:p>
    <w:p>
      <w:pPr>
        <w:spacing w:after="0" w:line="144" w:lineRule="exact"/>
        <w:rPr>
          <w:sz w:val="20"/>
          <w:szCs w:val="20"/>
          <w:color w:val="auto"/>
        </w:rPr>
      </w:pPr>
    </w:p>
    <w:p>
      <w:pPr>
        <w:ind w:left="2240"/>
        <w:spacing w:after="0"/>
        <w:tabs>
          <w:tab w:leader="none" w:pos="7480" w:val="left"/>
        </w:tabs>
        <w:rPr>
          <w:sz w:val="20"/>
          <w:szCs w:val="20"/>
          <w:color w:val="auto"/>
        </w:rPr>
      </w:pPr>
      <w:r>
        <w:rPr>
          <w:rFonts w:ascii="Times New Roman" w:cs="Times New Roman" w:eastAsia="Times New Roman" w:hAnsi="Times New Roman"/>
          <w:sz w:val="22"/>
          <w:szCs w:val="22"/>
          <w:b w:val="1"/>
          <w:bCs w:val="1"/>
          <w:color w:val="0061AA"/>
        </w:rPr>
        <w:t>What We Do</w:t>
      </w:r>
      <w:r>
        <w:rPr>
          <w:sz w:val="20"/>
          <w:szCs w:val="20"/>
          <w:color w:val="auto"/>
        </w:rPr>
        <w:tab/>
      </w:r>
      <w:r>
        <w:rPr>
          <w:rFonts w:ascii="Times New Roman" w:cs="Times New Roman" w:eastAsia="Times New Roman" w:hAnsi="Times New Roman"/>
          <w:sz w:val="21"/>
          <w:szCs w:val="21"/>
          <w:b w:val="1"/>
          <w:bCs w:val="1"/>
          <w:color w:val="0061AA"/>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Align pay and stockholder performance</w:t>
      </w:r>
    </w:p>
    <w:p>
      <w:pPr>
        <w:spacing w:after="0" w:line="10" w:lineRule="exact"/>
        <w:rPr>
          <w:sz w:val="20"/>
          <w:szCs w:val="20"/>
          <w:color w:val="auto"/>
        </w:rPr>
      </w:pPr>
    </w:p>
    <w:p>
      <w:pPr>
        <w:ind w:left="180" w:firstLine="57"/>
        <w:spacing w:after="0" w:line="250" w:lineRule="auto"/>
        <w:rPr>
          <w:sz w:val="20"/>
          <w:szCs w:val="20"/>
          <w:color w:val="auto"/>
        </w:rPr>
      </w:pPr>
      <w:r>
        <w:rPr>
          <w:rFonts w:ascii="Times New Roman" w:cs="Times New Roman" w:eastAsia="Times New Roman" w:hAnsi="Times New Roman"/>
          <w:sz w:val="18"/>
          <w:szCs w:val="18"/>
          <w:color w:val="auto"/>
        </w:rPr>
        <w:t>Maintain rigorous stock ownership requirements and holding periods of shares for the CEO and Board</w:t>
      </w:r>
    </w:p>
    <w:p>
      <w:pPr>
        <w:ind w:left="240"/>
        <w:spacing w:after="0" w:line="250" w:lineRule="auto"/>
        <w:rPr>
          <w:sz w:val="20"/>
          <w:szCs w:val="20"/>
          <w:color w:val="auto"/>
        </w:rPr>
      </w:pPr>
      <w:r>
        <w:rPr>
          <w:rFonts w:ascii="Times New Roman" w:cs="Times New Roman" w:eastAsia="Times New Roman" w:hAnsi="Times New Roman"/>
          <w:sz w:val="18"/>
          <w:szCs w:val="18"/>
          <w:color w:val="auto"/>
        </w:rPr>
        <w:t>Establish targets for performance metrics aligned to stockholder interests Require forfeiture of equity awards when a NEO terminates employment</w:t>
      </w:r>
    </w:p>
    <w:p>
      <w:pPr>
        <w:ind w:left="180"/>
        <w:spacing w:after="0" w:line="250" w:lineRule="auto"/>
        <w:rPr>
          <w:sz w:val="20"/>
          <w:szCs w:val="20"/>
          <w:color w:val="auto"/>
        </w:rPr>
      </w:pPr>
      <w:r>
        <w:rPr>
          <w:rFonts w:ascii="Times New Roman" w:cs="Times New Roman" w:eastAsia="Times New Roman" w:hAnsi="Times New Roman"/>
          <w:sz w:val="18"/>
          <w:szCs w:val="18"/>
          <w:color w:val="auto"/>
        </w:rPr>
        <w:t>for any reason other than retirement, disability, death or termination under specific circumstances related to change of control</w:t>
      </w:r>
    </w:p>
    <w:p>
      <w:pPr>
        <w:ind w:left="240" w:right="160"/>
        <w:spacing w:after="0" w:line="250" w:lineRule="auto"/>
        <w:rPr>
          <w:sz w:val="20"/>
          <w:szCs w:val="20"/>
          <w:color w:val="auto"/>
        </w:rPr>
      </w:pPr>
      <w:r>
        <w:rPr>
          <w:rFonts w:ascii="Times New Roman" w:cs="Times New Roman" w:eastAsia="Times New Roman" w:hAnsi="Times New Roman"/>
          <w:sz w:val="18"/>
          <w:szCs w:val="18"/>
          <w:color w:val="auto"/>
        </w:rPr>
        <w:t>Practice responsible use of shares under our long-term incentive program Prohibit pledging without prior approval and hedging</w:t>
      </w:r>
    </w:p>
    <w:p>
      <w:pPr>
        <w:ind w:left="240" w:right="1920"/>
        <w:spacing w:after="0" w:line="250" w:lineRule="auto"/>
        <w:rPr>
          <w:sz w:val="20"/>
          <w:szCs w:val="20"/>
          <w:color w:val="auto"/>
        </w:rPr>
      </w:pPr>
      <w:r>
        <w:rPr>
          <w:rFonts w:ascii="Times New Roman" w:cs="Times New Roman" w:eastAsia="Times New Roman" w:hAnsi="Times New Roman"/>
          <w:sz w:val="18"/>
          <w:szCs w:val="18"/>
          <w:color w:val="auto"/>
        </w:rPr>
        <w:t>Engage an independent compensation consultant Provide limited perquisites</w:t>
      </w:r>
    </w:p>
    <w:p>
      <w:pPr>
        <w:spacing w:after="0"/>
        <w:rPr>
          <w:sz w:val="20"/>
          <w:szCs w:val="20"/>
          <w:color w:val="auto"/>
        </w:rPr>
      </w:pPr>
      <w:r>
        <w:rPr>
          <w:rFonts w:ascii="Times New Roman" w:cs="Times New Roman" w:eastAsia="Times New Roman" w:hAnsi="Times New Roman"/>
          <w:sz w:val="18"/>
          <w:szCs w:val="18"/>
          <w:color w:val="auto"/>
        </w:rPr>
        <w:t>Conduct annual compensation risk assessments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Establish Executive Compensation Levels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60" w:firstLine="57"/>
        <w:spacing w:after="0" w:line="251" w:lineRule="auto"/>
        <w:rPr>
          <w:sz w:val="20"/>
          <w:szCs w:val="20"/>
          <w:color w:val="auto"/>
        </w:rPr>
      </w:pPr>
      <w:r>
        <w:rPr>
          <w:rFonts w:ascii="Times New Roman" w:cs="Times New Roman" w:eastAsia="Times New Roman" w:hAnsi="Times New Roman"/>
          <w:sz w:val="18"/>
          <w:szCs w:val="18"/>
          <w:color w:val="auto"/>
        </w:rPr>
        <w:t>Pay dividends or dividend equivalents on unearned, unvested or unexercised equity compensation</w:t>
      </w:r>
    </w:p>
    <w:p>
      <w:pPr>
        <w:spacing w:after="0"/>
        <w:rPr>
          <w:sz w:val="20"/>
          <w:szCs w:val="20"/>
          <w:color w:val="auto"/>
        </w:rPr>
      </w:pPr>
      <w:r>
        <w:rPr>
          <w:rFonts w:ascii="Times New Roman" w:cs="Times New Roman" w:eastAsia="Times New Roman" w:hAnsi="Times New Roman"/>
          <w:sz w:val="18"/>
          <w:szCs w:val="18"/>
          <w:color w:val="auto"/>
        </w:rPr>
        <w:t>Pay excessive severance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Backdate or reprice stock option awards</w:t>
      </w:r>
    </w:p>
    <w:p>
      <w:pPr>
        <w:spacing w:after="0" w:line="9" w:lineRule="exact"/>
        <w:rPr>
          <w:sz w:val="20"/>
          <w:szCs w:val="20"/>
          <w:color w:val="auto"/>
        </w:rPr>
      </w:pPr>
    </w:p>
    <w:p>
      <w:pPr>
        <w:ind w:left="220" w:right="780"/>
        <w:spacing w:after="0" w:line="250" w:lineRule="auto"/>
        <w:rPr>
          <w:sz w:val="20"/>
          <w:szCs w:val="20"/>
          <w:color w:val="auto"/>
        </w:rPr>
      </w:pPr>
      <w:r>
        <w:rPr>
          <w:rFonts w:ascii="Times New Roman" w:cs="Times New Roman" w:eastAsia="Times New Roman" w:hAnsi="Times New Roman"/>
          <w:sz w:val="18"/>
          <w:szCs w:val="18"/>
          <w:color w:val="auto"/>
        </w:rPr>
        <w:t>Award immediately vested options or RSUs to any employee Make multi-year compensation guarantees</w:t>
      </w:r>
    </w:p>
    <w:p>
      <w:pPr>
        <w:ind w:left="220"/>
        <w:spacing w:after="0" w:line="250" w:lineRule="auto"/>
        <w:rPr>
          <w:sz w:val="20"/>
          <w:szCs w:val="20"/>
          <w:color w:val="auto"/>
        </w:rPr>
      </w:pPr>
      <w:r>
        <w:rPr>
          <w:rFonts w:ascii="Times New Roman" w:cs="Times New Roman" w:eastAsia="Times New Roman" w:hAnsi="Times New Roman"/>
          <w:sz w:val="18"/>
          <w:szCs w:val="18"/>
          <w:color w:val="auto"/>
        </w:rPr>
        <w:t>Grant stock options with an exercise price less than fair market value Provide excise tax gross ups on new or amended agreements since</w:t>
      </w:r>
    </w:p>
    <w:p>
      <w:pPr>
        <w:ind w:left="160"/>
        <w:spacing w:after="0"/>
        <w:rPr>
          <w:sz w:val="20"/>
          <w:szCs w:val="20"/>
          <w:color w:val="auto"/>
        </w:rPr>
      </w:pPr>
      <w:r>
        <w:rPr>
          <w:rFonts w:ascii="Times New Roman" w:cs="Times New Roman" w:eastAsia="Times New Roman" w:hAnsi="Times New Roman"/>
          <w:sz w:val="18"/>
          <w:szCs w:val="18"/>
          <w:color w:val="auto"/>
        </w:rPr>
        <w:t>February 2011</w:t>
      </w:r>
    </w:p>
    <w:p>
      <w:pPr>
        <w:spacing w:after="0" w:line="1070" w:lineRule="exact"/>
        <w:rPr>
          <w:sz w:val="20"/>
          <w:szCs w:val="20"/>
          <w:color w:val="auto"/>
        </w:rPr>
      </w:pPr>
    </w:p>
    <w:p>
      <w:pPr>
        <w:sectPr>
          <w:pgSz w:w="11900" w:h="16838" w:orient="portrait"/>
          <w:cols w:equalWidth="0" w:num="2">
            <w:col w:w="5660" w:space="180"/>
            <w:col w:w="5400"/>
          </w:cols>
          <w:pgMar w:left="320" w:top="121" w:right="339" w:bottom="0" w:gutter="0" w:footer="0" w:header="0"/>
          <w:type w:val="continuous"/>
        </w:sect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In determining the annual compensation of each executive officer, including the Chief Executive Officer, the Compensation Committee considers Euronet’s financial performance both on an absolute basis and relative to comparable companies. In addition, it assesses individual performance against quantitative and qualitative objectives. Factors considered by the Compensation Committee in assessing individual performance include, but are not limited to:</w:t>
      </w:r>
    </w:p>
    <w:p>
      <w:pPr>
        <w:spacing w:after="0" w:line="58" w:lineRule="exact"/>
        <w:rPr>
          <w:sz w:val="20"/>
          <w:szCs w:val="20"/>
          <w:color w:val="auto"/>
        </w:rPr>
      </w:pPr>
    </w:p>
    <w:p>
      <w:pPr>
        <w:jc w:val="both"/>
        <w:ind w:left="700" w:firstLine="57"/>
        <w:spacing w:after="0" w:line="257" w:lineRule="auto"/>
        <w:rPr>
          <w:sz w:val="20"/>
          <w:szCs w:val="20"/>
          <w:color w:val="auto"/>
        </w:rPr>
      </w:pPr>
      <w:r>
        <w:rPr>
          <w:rFonts w:ascii="Times New Roman" w:cs="Times New Roman" w:eastAsia="Times New Roman" w:hAnsi="Times New Roman"/>
          <w:sz w:val="18"/>
          <w:szCs w:val="18"/>
          <w:color w:val="auto"/>
        </w:rPr>
        <w:t>Financial Results — Company and business sector financial results for the most recent relevant period, on an absolute basis and relative to comparable companies with respect to certain financial parameters, including revenue growth, operating income growth, growth in per share earnings and return on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60" w:right="880"/>
        <w:spacing w:after="0" w:line="261" w:lineRule="auto"/>
        <w:rPr>
          <w:sz w:val="20"/>
          <w:szCs w:val="20"/>
          <w:color w:val="auto"/>
        </w:rPr>
      </w:pPr>
      <w:r>
        <w:rPr>
          <w:rFonts w:ascii="Times New Roman" w:cs="Times New Roman" w:eastAsia="Times New Roman" w:hAnsi="Times New Roman"/>
          <w:sz w:val="18"/>
          <w:szCs w:val="18"/>
          <w:color w:val="auto"/>
        </w:rPr>
        <w:t>Strategic Growth and Execution — strategic planning and implementation, business growth, acquisitions, technology and innovation; Leadership and Effectiveness — management development and personal leadership;</w:t>
      </w:r>
    </w:p>
    <w:p>
      <w:pPr>
        <w:ind w:left="700" w:firstLine="57"/>
        <w:spacing w:after="0" w:line="250" w:lineRule="auto"/>
        <w:rPr>
          <w:sz w:val="20"/>
          <w:szCs w:val="20"/>
          <w:color w:val="auto"/>
        </w:rPr>
      </w:pPr>
      <w:r>
        <w:rPr>
          <w:rFonts w:ascii="Times New Roman" w:cs="Times New Roman" w:eastAsia="Times New Roman" w:hAnsi="Times New Roman"/>
          <w:sz w:val="18"/>
          <w:szCs w:val="18"/>
          <w:color w:val="auto"/>
        </w:rPr>
        <w:t>Governance and Controls — corporate reputation and brand, risk management, the strength of the internal control environment and contribution to a culture of ethics and compliance; and</w:t>
      </w:r>
    </w:p>
    <w:p>
      <w:pPr>
        <w:ind w:left="500"/>
        <w:spacing w:after="0"/>
        <w:rPr>
          <w:sz w:val="20"/>
          <w:szCs w:val="20"/>
          <w:color w:val="auto"/>
        </w:rPr>
      </w:pPr>
      <w:r>
        <w:rPr>
          <w:rFonts w:ascii="Times New Roman" w:cs="Times New Roman" w:eastAsia="Times New Roman" w:hAnsi="Times New Roman"/>
          <w:sz w:val="18"/>
          <w:szCs w:val="18"/>
          <w:color w:val="auto"/>
        </w:rPr>
        <w:t>Commitment to and improvements in the Company's long-term sustainability including environmental, social, and governance matters.</w:t>
      </w:r>
    </w:p>
    <w:p>
      <w:pPr>
        <w:spacing w:after="0" w:line="72"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Compensation Committee considers all factors collectively in determining executive officers’ annual compensation. The weight given to a particular factor may vary from year to year depending on the goals and objectives of the organization, thus enabling the Compensation Committee to align annual financial objectives with strategic leadership initiatives.</w:t>
      </w:r>
    </w:p>
    <w:p>
      <w:pPr>
        <w:spacing w:after="0" w:line="68"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it establishes challenging performance goals for executive management incentive plans. The majority of the 2025 grant was tied to operating income and share price appreciation performance targets, which the Compensation Committee believes provides a meaningful incentive for the executives and is strongly correlated with improved stockholder returns.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Our Long-Term Equity Incentive Awards Align with our Stock Performance</w:t>
      </w:r>
    </w:p>
    <w:p>
      <w:pPr>
        <w:spacing w:after="0" w:line="121"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Our long-term equity incentive awards are designed to be aligned with the long-term performance of our stockholders. To properly evaluate our performance, we looked back at the 2019, 2020 and 2021 years where all the vesting terms are complete. We compared the realizable value on the vesting dates to the valuation reported on the grant date in the summary compensation table which is based on the stock price on the grant date for the restricted stock awards and the Black Scholes calculated fair value of the options in accordance with the Financial Accounting Standards Board Accounting Standards Codification Topic 718. On each vesting date, we calculated the realizable value available to executives based on the stock price on the date of vesting. We totaled the vesting date values of both the options and the stock awards and then compared the value to the grant date value reported in the year of the grant in the Summary Compensation table.</w:t>
      </w:r>
    </w:p>
    <w:p>
      <w:pPr>
        <w:spacing w:after="0" w:line="81"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Our CEO Mike Brown’s realizable value on the vesting dates was 16%, 12% and 49% of the grant date value for the respective years of 2019, 2020 and 2021. The table below shows the realizable value on the vesting dates compared to the grant date value included in the Summary Compensation Table:</w:t>
      </w:r>
    </w:p>
    <w:p>
      <w:pPr>
        <w:sectPr>
          <w:pgSz w:w="11900" w:h="16838" w:orient="portrait"/>
          <w:cols w:equalWidth="0" w:num="1">
            <w:col w:w="11240"/>
          </w:cols>
          <w:pgMar w:left="320" w:top="121" w:right="3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9780" w:type="dxa"/>
            <w:vAlign w:val="bottom"/>
            <w:gridSpan w:val="7"/>
          </w:tcPr>
          <w:p>
            <w:pPr>
              <w:ind w:left="2720"/>
              <w:spacing w:after="0"/>
              <w:rPr>
                <w:sz w:val="20"/>
                <w:szCs w:val="20"/>
                <w:color w:val="auto"/>
              </w:rPr>
            </w:pPr>
            <w:r>
              <w:rPr>
                <w:rFonts w:ascii="Times New Roman" w:cs="Times New Roman" w:eastAsia="Times New Roman" w:hAnsi="Times New Roman"/>
                <w:sz w:val="18"/>
                <w:szCs w:val="18"/>
                <w:b w:val="1"/>
                <w:bCs w:val="1"/>
                <w:color w:val="auto"/>
              </w:rPr>
              <w:t>CEO Long-Term Equity Compensation Compared to Value on Vesting Date</w:t>
            </w:r>
          </w:p>
        </w:tc>
        <w:tc>
          <w:tcPr>
            <w:tcW w:w="1460" w:type="dxa"/>
            <w:vAlign w:val="bottom"/>
          </w:tcPr>
          <w:p>
            <w:pPr>
              <w:spacing w:after="0"/>
              <w:rPr>
                <w:sz w:val="20"/>
                <w:szCs w:val="20"/>
                <w:color w:val="auto"/>
              </w:rPr>
            </w:pPr>
          </w:p>
        </w:tc>
      </w:tr>
      <w:tr>
        <w:trPr>
          <w:trHeight w:val="333"/>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Percent of</w:t>
            </w:r>
          </w:p>
        </w:tc>
      </w:tr>
      <w:tr>
        <w:trPr>
          <w:trHeight w:val="216"/>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Summary</w:t>
            </w:r>
          </w:p>
        </w:tc>
      </w:tr>
      <w:tr>
        <w:trPr>
          <w:trHeight w:val="216"/>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r>
      <w:tr>
        <w:trPr>
          <w:trHeight w:val="216"/>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Table Value using</w:t>
            </w:r>
          </w:p>
        </w:tc>
      </w:tr>
      <w:tr>
        <w:trPr>
          <w:trHeight w:val="216"/>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Summary</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Realizable Value</w:t>
            </w:r>
          </w:p>
        </w:tc>
      </w:tr>
      <w:tr>
        <w:trPr>
          <w:trHeight w:val="216"/>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Grant Date Stock</w:t>
            </w: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Table</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Summation of Value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Achieved on the</w:t>
            </w:r>
          </w:p>
        </w:tc>
      </w:tr>
      <w:tr>
        <w:trPr>
          <w:trHeight w:val="234"/>
        </w:trPr>
        <w:tc>
          <w:tcPr>
            <w:tcW w:w="500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Grant Date</w:t>
            </w:r>
          </w:p>
        </w:tc>
        <w:tc>
          <w:tcPr>
            <w:tcW w:w="18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Price</w:t>
            </w:r>
          </w:p>
        </w:tc>
        <w:tc>
          <w:tcPr>
            <w:tcW w:w="24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Vest Date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Vesting Date</w:t>
            </w:r>
          </w:p>
        </w:tc>
      </w:tr>
      <w:tr>
        <w:trPr>
          <w:trHeight w:val="230"/>
        </w:trPr>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154.28</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5,000,107</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812,366</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133.32</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9,673,619</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1,159,306</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116.08</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7,536,992</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3,677,793</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bl>
    <w:p>
      <w:pPr>
        <w:spacing w:after="0" w:line="76"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Our named executive officers comprised of Rick Weller, Nikos Fountas, Kevin J. Caponecchi, and Juan C. Bianchi (the NEO's) had a realizable value on the vesting dates of 33%, 38% and 49%. The table below shows the average realizable value on the vesting dates compared to the average grant date value included in the Summary Compensation Table: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NEOs Average Long-Term Equity Compensation Compared to Value on Vesting Date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Percent of</w:t>
            </w:r>
          </w:p>
        </w:tc>
      </w:tr>
      <w:tr>
        <w:trPr>
          <w:trHeight w:val="216"/>
        </w:trPr>
        <w:tc>
          <w:tcPr>
            <w:tcW w:w="3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Summary</w:t>
            </w:r>
          </w:p>
        </w:tc>
      </w:tr>
      <w:tr>
        <w:trPr>
          <w:trHeight w:val="216"/>
        </w:trPr>
        <w:tc>
          <w:tcPr>
            <w:tcW w:w="3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Average Summary</w:t>
            </w:r>
          </w:p>
        </w:tc>
        <w:tc>
          <w:tcPr>
            <w:tcW w:w="22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Average</w:t>
            </w: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Compensation</w:t>
            </w:r>
          </w:p>
        </w:tc>
      </w:tr>
      <w:tr>
        <w:trPr>
          <w:trHeight w:val="216"/>
        </w:trPr>
        <w:tc>
          <w:tcPr>
            <w:tcW w:w="3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Grant Date Stock</w:t>
            </w:r>
          </w:p>
        </w:tc>
        <w:tc>
          <w:tcPr>
            <w:tcW w:w="2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Compensation</w:t>
            </w:r>
          </w:p>
        </w:tc>
        <w:tc>
          <w:tcPr>
            <w:tcW w:w="22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Summation of</w:t>
            </w: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Table Value on</w:t>
            </w:r>
          </w:p>
        </w:tc>
      </w:tr>
      <w:tr>
        <w:trPr>
          <w:trHeight w:val="234"/>
        </w:trPr>
        <w:tc>
          <w:tcPr>
            <w:tcW w:w="39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Grant Date</w:t>
            </w:r>
          </w:p>
        </w:tc>
        <w:tc>
          <w:tcPr>
            <w:tcW w:w="120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Price</w:t>
            </w:r>
          </w:p>
        </w:tc>
        <w:tc>
          <w:tcPr>
            <w:tcW w:w="20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Table -Value</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Value on Vest Date</w:t>
            </w: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Vesting Date</w:t>
            </w:r>
          </w:p>
        </w:tc>
      </w:tr>
      <w:tr>
        <w:trPr>
          <w:trHeight w:val="229"/>
        </w:trPr>
        <w:tc>
          <w:tcPr>
            <w:tcW w:w="3940" w:type="dxa"/>
            <w:vAlign w:val="bottom"/>
            <w:shd w:val="clear" w:color="auto" w:fill="CCEEFF"/>
          </w:tcPr>
          <w:p>
            <w:pPr>
              <w:jc w:val="right"/>
              <w:ind w:right="3470"/>
              <w:spacing w:after="0"/>
              <w:rPr>
                <w:sz w:val="20"/>
                <w:szCs w:val="20"/>
                <w:color w:val="auto"/>
              </w:rPr>
            </w:pPr>
            <w:r>
              <w:rPr>
                <w:rFonts w:ascii="Times New Roman" w:cs="Times New Roman" w:eastAsia="Times New Roman" w:hAnsi="Times New Roman"/>
                <w:sz w:val="18"/>
                <w:szCs w:val="18"/>
                <w:color w:val="auto"/>
                <w:w w:val="99"/>
              </w:rPr>
              <w:t>2019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6,503,354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2,161,253</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394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w w:val="99"/>
              </w:rPr>
              <w:t>2020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5,721,164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2,179,469</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3940" w:type="dxa"/>
            <w:vAlign w:val="bottom"/>
            <w:shd w:val="clear" w:color="auto" w:fill="CCEEFF"/>
          </w:tcPr>
          <w:p>
            <w:pPr>
              <w:jc w:val="right"/>
              <w:ind w:right="3470"/>
              <w:spacing w:after="0"/>
              <w:rPr>
                <w:sz w:val="20"/>
                <w:szCs w:val="20"/>
                <w:color w:val="auto"/>
              </w:rPr>
            </w:pPr>
            <w:r>
              <w:rPr>
                <w:rFonts w:ascii="Times New Roman" w:cs="Times New Roman" w:eastAsia="Times New Roman" w:hAnsi="Times New Roman"/>
                <w:sz w:val="18"/>
                <w:szCs w:val="18"/>
                <w:color w:val="auto"/>
                <w:w w:val="99"/>
              </w:rPr>
              <w:t>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8,917,394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4,351,446</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446"/>
        </w:trPr>
        <w:tc>
          <w:tcPr>
            <w:tcW w:w="3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20" w:firstLine="415"/>
        <w:spacing w:after="0" w:line="266" w:lineRule="auto"/>
        <w:rPr>
          <w:sz w:val="20"/>
          <w:szCs w:val="20"/>
          <w:color w:val="auto"/>
        </w:rPr>
      </w:pPr>
      <w:r>
        <w:rPr>
          <w:rFonts w:ascii="Times New Roman" w:cs="Times New Roman" w:eastAsia="Times New Roman" w:hAnsi="Times New Roman"/>
          <w:sz w:val="18"/>
          <w:szCs w:val="18"/>
          <w:color w:val="auto"/>
        </w:rPr>
        <w:t>These grants vested at various dates over the last five years. Our stock price was $76.11 at December 31, 2025 compared to $154.28 and $147.66 for the two executive grants in 2019; $133.32 and $98.46 for the two executive grants in 2020, and $116.08 for the 2021 executive grant. As can be seen, the realizable value on the vesting dates was significantly less than awarded value largely due to two factors:</w:t>
      </w:r>
    </w:p>
    <w:p>
      <w:pPr>
        <w:spacing w:after="0" w:line="68" w:lineRule="exact"/>
        <w:rPr>
          <w:sz w:val="20"/>
          <w:szCs w:val="20"/>
          <w:color w:val="auto"/>
        </w:rPr>
      </w:pPr>
    </w:p>
    <w:p>
      <w:pPr>
        <w:ind w:left="640" w:hanging="21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non-achievement of the board approval performance goals and,</w:t>
      </w:r>
    </w:p>
    <w:p>
      <w:pPr>
        <w:spacing w:after="0" w:line="27" w:lineRule="exact"/>
        <w:rPr>
          <w:rFonts w:ascii="Times New Roman" w:cs="Times New Roman" w:eastAsia="Times New Roman" w:hAnsi="Times New Roman"/>
          <w:sz w:val="18"/>
          <w:szCs w:val="18"/>
          <w:color w:val="auto"/>
        </w:rPr>
      </w:pPr>
    </w:p>
    <w:p>
      <w:pPr>
        <w:ind w:left="640" w:hanging="21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appreciation in the Company’s share price.</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Accordingly, this analysis makes it very clear that there is very strong alignment in executive compensation and stockholder value.</w:t>
      </w:r>
    </w:p>
    <w:p>
      <w:pPr>
        <w:spacing w:after="0" w:line="117" w:lineRule="exact"/>
        <w:rPr>
          <w:sz w:val="20"/>
          <w:szCs w:val="20"/>
          <w:color w:val="auto"/>
        </w:rPr>
      </w:pPr>
    </w:p>
    <w:p>
      <w:pPr>
        <w:jc w:val="both"/>
        <w:ind w:right="20" w:firstLine="415"/>
        <w:spacing w:after="0" w:line="266" w:lineRule="auto"/>
        <w:rPr>
          <w:sz w:val="20"/>
          <w:szCs w:val="20"/>
          <w:color w:val="auto"/>
        </w:rPr>
      </w:pPr>
      <w:r>
        <w:rPr>
          <w:rFonts w:ascii="Times New Roman" w:cs="Times New Roman" w:eastAsia="Times New Roman" w:hAnsi="Times New Roman"/>
          <w:sz w:val="18"/>
          <w:szCs w:val="18"/>
          <w:color w:val="auto"/>
        </w:rPr>
        <w:t>Moreover, in that the CEO and the other named executive officers hold significant share positions in the Company, you can clearly see that the Company’s executives are strongly aligned with the stockholders’ interest. In fact, our CEO is the second largest stockholder of the Company. As of December 31, 2025, the CEO held shares valued at 215 times his annual salary.</w:t>
      </w:r>
    </w:p>
    <w:p>
      <w:pPr>
        <w:spacing w:after="0" w:line="68"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And the named executive officers held shares valued at more than 103, 71, 69 and 56 times their respective salaries for Messrs. Weller, Caponecchi, Fountas and Bianchi. In addition to the compensation plan structures including performance goals, which are strongly aligned with stockholder interests, this analysis of executive share ownership, which is not mandated by the Company, clearly demonstrates very strong stockholder alignment.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Group</w:t>
      </w:r>
    </w:p>
    <w:p>
      <w:pPr>
        <w:spacing w:after="0" w:line="121"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it is essential for our continued success that overall compensation policies allow us to be competitive in attracting and retaining executive talent. However, the Committee does not establish compensation targets solely based on peer group compensation amounts, because it believes that individual and company performance should be the primary determinants of annual compensation.</w:t>
      </w:r>
    </w:p>
    <w:p>
      <w:pPr>
        <w:spacing w:after="0" w:line="68"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The Company's peer group (the "Peer Group") listed below, and FW Cook's executive compensation market analysis were used to inform the Compensation Committee's decisions on long-term incentive compensation for our executives for 2025. The Compensation Committee believes the group of companies have similar financial characteristics as Euronet and operate in similar industries.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Members of the current Peer Group were included because they met all of the following criteria:</w:t>
      </w:r>
    </w:p>
    <w:p>
      <w:pPr>
        <w:spacing w:after="0" w:line="198" w:lineRule="exact"/>
        <w:rPr>
          <w:sz w:val="20"/>
          <w:szCs w:val="20"/>
          <w:color w:val="auto"/>
        </w:rPr>
      </w:pPr>
    </w:p>
    <w:p>
      <w:pPr>
        <w:ind w:left="700" w:right="440"/>
        <w:spacing w:after="0" w:line="261" w:lineRule="auto"/>
        <w:rPr>
          <w:sz w:val="20"/>
          <w:szCs w:val="20"/>
          <w:color w:val="auto"/>
        </w:rPr>
      </w:pPr>
      <w:r>
        <w:rPr>
          <w:rFonts w:ascii="Times New Roman" w:cs="Times New Roman" w:eastAsia="Times New Roman" w:hAnsi="Times New Roman"/>
          <w:sz w:val="18"/>
          <w:szCs w:val="18"/>
          <w:color w:val="auto"/>
        </w:rPr>
        <w:t>the company was in the same or similar industry as Euronet, including Data Processing and Outsourced Services, and Application Software, the company was reasonably comparable in revenue and market capitalization size to Euronet,</w:t>
      </w:r>
    </w:p>
    <w:p>
      <w:pPr>
        <w:ind w:left="440"/>
        <w:spacing w:after="0"/>
        <w:rPr>
          <w:sz w:val="20"/>
          <w:szCs w:val="20"/>
          <w:color w:val="auto"/>
        </w:rPr>
      </w:pPr>
      <w:r>
        <w:rPr>
          <w:rFonts w:ascii="Times New Roman" w:cs="Times New Roman" w:eastAsia="Times New Roman" w:hAnsi="Times New Roman"/>
          <w:sz w:val="18"/>
          <w:szCs w:val="18"/>
          <w:color w:val="auto"/>
        </w:rPr>
        <w:t>the company was headquartered in the United States and publicly traded on a major stock exchange, and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had a similar operating structure as Euronet, such as offering similar services and/or having significant foreign sales.</w:t>
      </w:r>
    </w:p>
    <w:p>
      <w:pPr>
        <w:spacing w:after="0" w:line="99"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In 2025, the Compensation Committee, with the assistance of its independent compensation consultant, conducted its annual review of the Company’s compensation peer group to ensure continued alignment with the Company’s size, scale, business mix and competitive market for executive talent. Based on this review and following the recommendation of the Committee’s independent compensation consultant, the Committee approved certain modifications to the peer group used for 2025 compensation decisions.</w:t>
      </w:r>
    </w:p>
    <w:p>
      <w:pPr>
        <w:spacing w:after="0" w:line="139" w:lineRule="exact"/>
        <w:rPr>
          <w:sz w:val="20"/>
          <w:szCs w:val="20"/>
          <w:color w:val="auto"/>
        </w:rPr>
      </w:pPr>
    </w:p>
    <w:p>
      <w:pPr>
        <w:jc w:val="both"/>
        <w:ind w:firstLine="415"/>
        <w:spacing w:after="0" w:line="282" w:lineRule="auto"/>
        <w:rPr>
          <w:sz w:val="20"/>
          <w:szCs w:val="20"/>
          <w:color w:val="auto"/>
        </w:rPr>
      </w:pPr>
      <w:r>
        <w:rPr>
          <w:rFonts w:ascii="Times New Roman" w:cs="Times New Roman" w:eastAsia="Times New Roman" w:hAnsi="Times New Roman"/>
          <w:sz w:val="18"/>
          <w:szCs w:val="18"/>
          <w:color w:val="auto"/>
        </w:rPr>
        <w:t>Specifically, the Committee added Maximus, Inc., Shift4 Payments, Inc. and Toast, Inc. to better reflect companies with similar scale, growth profiles and exposure to payments, processing and technology-enabled services.</w:t>
      </w:r>
    </w:p>
    <w:p>
      <w:pPr>
        <w:spacing w:after="0" w:line="121"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The Committee removed Evertec, Inc., Green Dot Corporation and MoneyGram International, Inc. from the peer group. MoneyGram International was removed following its transition to a privately held company, while Evertec and Green Dot were removed as their size and scale were no longer comparable to the Company. In addition, FleetCor Technologies, Inc., name changed in connection with its rebranding and repositioning as Corpay, Inc., which has been included in the updated peer group.</w:t>
      </w:r>
    </w:p>
    <w:p>
      <w:pPr>
        <w:spacing w:after="0" w:line="153"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Following these changes, the Compensation Committee believes the revised peer group more appropriately reflects the Company’s current operating profile, global footprint and competitive positioning within the payments and financial technology landscape. The peer group is used as a reference point in evaluating executive compensation, although the Committee does not target a specific percentile or rely solely on peer benchmarking in making compensation decisions.</w:t>
      </w:r>
    </w:p>
    <w:p>
      <w:pPr>
        <w:sectPr>
          <w:pgSz w:w="11900" w:h="16838" w:orient="portrait"/>
          <w:cols w:equalWidth="0" w:num="1">
            <w:col w:w="11240"/>
          </w:cols>
          <w:pgMar w:left="320" w:top="117" w:right="339" w:bottom="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414"/>
        <w:spacing w:after="0" w:line="282" w:lineRule="auto"/>
        <w:rPr>
          <w:sz w:val="20"/>
          <w:szCs w:val="20"/>
          <w:color w:val="auto"/>
        </w:rPr>
      </w:pPr>
      <w:r>
        <w:rPr>
          <w:rFonts w:ascii="Times New Roman" w:cs="Times New Roman" w:eastAsia="Times New Roman" w:hAnsi="Times New Roman"/>
          <w:sz w:val="18"/>
          <w:szCs w:val="18"/>
          <w:color w:val="auto"/>
        </w:rPr>
        <w:t>The companies comprising the Peer Group were used to determine long-term incentive compensation for our executives for 2025, all of which had revenues between $1.3 billion and $10 billion and market capitalization between $247 million and $57.8 billion, were:</w:t>
      </w:r>
    </w:p>
    <w:p>
      <w:pPr>
        <w:sectPr>
          <w:pgSz w:w="11900" w:h="16838" w:orient="portrait"/>
          <w:cols w:equalWidth="0" w:num="1">
            <w:col w:w="11240"/>
          </w:cols>
          <w:pgMar w:left="320" w:top="121" w:right="339" w:bottom="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ACI Worldwide,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Bread Financial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Broadridge Financial Solutions,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Conduent Incorporated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Corpay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Jack Henry &amp; Associates,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Maximus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NCR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Shift4 Payments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SS&amp;C Technologies</w:t>
      </w:r>
    </w:p>
    <w:p>
      <w:pPr>
        <w:spacing w:after="0" w:line="23" w:lineRule="exact"/>
        <w:rPr>
          <w:sz w:val="20"/>
          <w:szCs w:val="20"/>
          <w:color w:val="auto"/>
        </w:rPr>
      </w:pPr>
    </w:p>
    <w:p>
      <w:pPr>
        <w:sectPr>
          <w:pgSz w:w="11900" w:h="16838" w:orient="portrait"/>
          <w:cols w:equalWidth="0" w:num="2">
            <w:col w:w="5120" w:space="720"/>
            <w:col w:w="5400"/>
          </w:cols>
          <w:pgMar w:left="320" w:top="121"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xml:space="preserve">• Envestnet </w:t>
      </w:r>
      <w:r>
        <w:rPr>
          <w:rFonts w:ascii="Times New Roman" w:cs="Times New Roman" w:eastAsia="Times New Roman" w:hAnsi="Times New Roman"/>
          <w:sz w:val="14"/>
          <w:szCs w:val="14"/>
          <w:color w:val="auto"/>
        </w:rPr>
        <w:t>(2)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Fair Issac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Genpact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Global Payments, Inc.</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TTEC Holdings,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Western Union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WEX, Inc.</w:t>
      </w:r>
    </w:p>
    <w:p>
      <w:pPr>
        <w:spacing w:after="0" w:line="126" w:lineRule="exact"/>
        <w:rPr>
          <w:sz w:val="20"/>
          <w:szCs w:val="20"/>
          <w:color w:val="auto"/>
        </w:rPr>
      </w:pPr>
    </w:p>
    <w:p>
      <w:pPr>
        <w:sectPr>
          <w:pgSz w:w="11900" w:h="16838" w:orient="portrait"/>
          <w:cols w:equalWidth="0" w:num="2">
            <w:col w:w="5120" w:space="720"/>
            <w:col w:w="5400"/>
          </w:cols>
          <w:pgMar w:left="320" w:top="121" w:right="339" w:bottom="0"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Euronet's revenues and market capitalization ranked at the following percentile as compared to the Peer Group:</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333"/>
        </w:trPr>
        <w:tc>
          <w:tcPr>
            <w:tcW w:w="326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Percentile Rank </w:t>
            </w:r>
            <w:r>
              <w:rPr>
                <w:rFonts w:ascii="Times New Roman" w:cs="Times New Roman" w:eastAsia="Times New Roman" w:hAnsi="Times New Roman"/>
                <w:sz w:val="29"/>
                <w:szCs w:val="29"/>
                <w:color w:val="auto"/>
                <w:vertAlign w:val="superscript"/>
              </w:rPr>
              <w:t>(1)</w:t>
            </w:r>
          </w:p>
        </w:tc>
      </w:tr>
      <w:tr>
        <w:trPr>
          <w:trHeight w:val="277"/>
        </w:trPr>
        <w:tc>
          <w:tcPr>
            <w:tcW w:w="3260" w:type="dxa"/>
            <w:vAlign w:val="bottom"/>
          </w:tcPr>
          <w:p>
            <w:pPr>
              <w:spacing w:after="0"/>
              <w:rPr>
                <w:sz w:val="24"/>
                <w:szCs w:val="24"/>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Revenues</w:t>
            </w:r>
          </w:p>
        </w:tc>
        <w:tc>
          <w:tcPr>
            <w:tcW w:w="18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Market Capitalization</w:t>
            </w:r>
          </w:p>
        </w:tc>
      </w:tr>
      <w:tr>
        <w:trPr>
          <w:trHeight w:val="26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Euronet Worldwide, Inc.</w:t>
            </w:r>
          </w:p>
        </w:tc>
        <w:tc>
          <w:tcPr>
            <w:tcW w:w="32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53%</w:t>
            </w:r>
          </w:p>
        </w:tc>
        <w:tc>
          <w:tcPr>
            <w:tcW w:w="4720" w:type="dxa"/>
            <w:vAlign w:val="bottom"/>
            <w:gridSpan w:val="2"/>
          </w:tcPr>
          <w:p>
            <w:pPr>
              <w:jc w:val="right"/>
              <w:ind w:right="2010"/>
              <w:spacing w:after="0"/>
              <w:rPr>
                <w:sz w:val="20"/>
                <w:szCs w:val="20"/>
                <w:color w:val="auto"/>
              </w:rPr>
            </w:pPr>
            <w:r>
              <w:rPr>
                <w:rFonts w:ascii="Times New Roman" w:cs="Times New Roman" w:eastAsia="Times New Roman" w:hAnsi="Times New Roman"/>
                <w:sz w:val="18"/>
                <w:szCs w:val="18"/>
                <w:color w:val="auto"/>
              </w:rPr>
              <w:t>36%</w:t>
            </w:r>
          </w:p>
        </w:tc>
      </w:tr>
    </w:tbl>
    <w:p>
      <w:pPr>
        <w:spacing w:after="0" w:line="7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latest four quarters revenues as of June 30, 2024, and market capitalization as of November 30, 2024.</w:t>
      </w:r>
    </w:p>
    <w:p>
      <w:pPr>
        <w:spacing w:after="0" w:line="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Envestnet was taken private on November 25, 2024</w:t>
      </w:r>
    </w:p>
    <w:p>
      <w:pPr>
        <w:spacing w:after="0" w:line="57"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The Compensation Committee evaluates whether the compensation opportunities for executives are appropriate and competitive by comparing each named executive officer’s target total compensation opportunity, which represents the sum of the executive’s base salary and target award amounts under the Executive Annual Incentive Plan and Stock Incentive Plan, to the target total compensation opportunities for executives in comparable positions at peer companies. The Compensation Committee references the 50th percentile of the Peer Group when making this comparison, although a named executive officer’s total compensation opportunity may be higher or lower depending upon the executive’s tenure, overall level of responsibility and performance. The Compensation Committee believes that the 50th percentile is an appropriate market reference point for total compensation opportunity because of Euronet's size relative to the Peer Group.</w:t>
      </w:r>
    </w:p>
    <w:p>
      <w:pPr>
        <w:spacing w:after="0" w:line="18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Compensation Committee decided to maintain 2025 base salaries and annual incentives (bonus) at the 2024 levels. The Compensation Committee's determination of 2025 salaries and target annual incentive opportunities was informed by competitive data compiled by the independent compensation consultant in late 2024, which compared target total direct compensation opportunities for our named executive officers with the median statistics for target total direct compensation among similarly situated executives within the relevant peer data.</w:t>
      </w:r>
    </w:p>
    <w:p>
      <w:pPr>
        <w:spacing w:after="0" w:line="180" w:lineRule="exact"/>
        <w:rPr>
          <w:sz w:val="20"/>
          <w:szCs w:val="20"/>
          <w:color w:val="auto"/>
        </w:rPr>
      </w:pPr>
    </w:p>
    <w:p>
      <w:pPr>
        <w:jc w:val="both"/>
        <w:ind w:firstLine="415"/>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reviewed a competitive analysis of target total direct compensation opportunities for our named executive officers, to inform their decision to increase the base salaries of the CEO and the Named Executive Officers (NEOs). The CEO and the NEOs had not received base salary increases for several years. The executive officers had not received base salary increases for several years. The competitive analysis indicated that base salaries for our executive officers were below the median of our peers while our target non-equity compensation was comparable to the median of our peers. Further, target long-term incentive grant values were comparable to the median of our peers.</w:t>
      </w:r>
    </w:p>
    <w:p>
      <w:pPr>
        <w:spacing w:after="0" w:line="75"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In 2025, we enhanced our long-term incentive program to better align compensation with stockholder returns and operational performance. In April 2025, we granted performance-based restricted stock awards to our Named Executive Officers. The payout opportunity is tied to stock price performance (a proxy for total stockholder return), operating income and adjusted EPS.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award consists of three components:</w:t>
      </w:r>
    </w:p>
    <w:p>
      <w:pPr>
        <w:spacing w:after="0" w:line="19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Operating Income Component (40%)</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Forty percent of the award will vest based on the Company’s ability to generate cumulative adjusted operating income of $200 million over the three-year performance period ending December 31, 2027. This component reinforces a focus on </w:t>
      </w:r>
      <w:r>
        <w:rPr>
          <w:rFonts w:ascii="Times New Roman" w:cs="Times New Roman" w:eastAsia="Times New Roman" w:hAnsi="Times New Roman"/>
          <w:sz w:val="18"/>
          <w:szCs w:val="18"/>
          <w:b w:val="1"/>
          <w:bCs w:val="1"/>
          <w:color w:val="auto"/>
        </w:rPr>
        <w:t>sustained profitability and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discipline</w:t>
      </w:r>
      <w:r>
        <w:rPr>
          <w:rFonts w:ascii="Times New Roman" w:cs="Times New Roman" w:eastAsia="Times New Roman" w:hAnsi="Times New Roman"/>
          <w:sz w:val="18"/>
          <w:szCs w:val="18"/>
          <w:color w:val="auto"/>
        </w:rPr>
        <w:t>, independent of per-share metrics.</w:t>
      </w:r>
    </w:p>
    <w:p>
      <w:pPr>
        <w:spacing w:after="0" w:line="141" w:lineRule="exact"/>
        <w:rPr>
          <w:rFonts w:ascii="Times New Roman" w:cs="Times New Roman" w:eastAsia="Times New Roman" w:hAnsi="Times New Roman"/>
          <w:sz w:val="18"/>
          <w:szCs w:val="18"/>
          <w:color w:val="auto"/>
        </w:rPr>
      </w:pPr>
    </w:p>
    <w:p>
      <w:pPr>
        <w:ind w:left="660" w:hanging="263"/>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Constant Currency Earnings Per Share Component (24%)</w:t>
      </w:r>
    </w:p>
    <w:p>
      <w:pPr>
        <w:spacing w:after="0" w:line="31"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Twenty-four percent of the award will vest at the end of the three-year performance period based on the Company’s achievement of compounded annual growth rates (“CAGR”) in adjusted constant currency earnings per share. One-third will vest at a 10% CAGR (threshold), two-thirds at a 12% CAGR (target), and 100% at a 14% CAGR (maximum). Vesting will occur upon the filing of the Company’s Annual Report on Form 10-K for the year ended December 31, 2027.</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  Stock Price and Operating Income Component (36%)</w:t>
      </w:r>
    </w:p>
    <w:p>
      <w:pPr>
        <w:spacing w:after="0" w:line="3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Thirty-six percent of the award is directly tied to </w:t>
      </w:r>
      <w:r>
        <w:rPr>
          <w:rFonts w:ascii="Times New Roman" w:cs="Times New Roman" w:eastAsia="Times New Roman" w:hAnsi="Times New Roman"/>
          <w:sz w:val="18"/>
          <w:szCs w:val="18"/>
          <w:b w:val="1"/>
          <w:bCs w:val="1"/>
          <w:color w:val="auto"/>
        </w:rPr>
        <w:t>total shareholder return, as reflected in stock price performance</w:t>
      </w:r>
      <w:r>
        <w:rPr>
          <w:rFonts w:ascii="Times New Roman" w:cs="Times New Roman" w:eastAsia="Times New Roman" w:hAnsi="Times New Roman"/>
          <w:sz w:val="18"/>
          <w:szCs w:val="18"/>
          <w:color w:val="auto"/>
        </w:rPr>
        <w:t>, and will vest only if both (i) the Company achieves cumulative adjusted operating income of $200 million for the three-year period and (ii) the Company’s stock price meets specified performance thresholds. One-third of this component will vest if the stock price reaches $113.12, two-thirds at $122.81, and 100% at $133.04. The stock price goal will be deemed achieved only if the Company’s stock closes at or above the applicable threshold for 30 consecutive trading days at any time prior to the third anniversary of the grant date.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2025, the Compensation Committee completed the award of equity incentive compensation grants to selected managers and key contributors to the success of the Company’s achievements, including the CEO and other NEOs. The Committee decided that the April 2025 awards of the other NEOs were appropriate for 2025 and, accordingly, made no additional awards. Moreover, the Committee decided that they would make no awards to the CEO.</w:t>
      </w:r>
    </w:p>
    <w:p>
      <w:pPr>
        <w:spacing w:after="0" w:line="180"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this structure is appropriate for our executive officers as it emphasizes performance-based stock compensation consistent with our compensation philosophy and is directly aligned with stockholders.</w:t>
      </w:r>
    </w:p>
    <w:p>
      <w:pPr>
        <w:sectPr>
          <w:pgSz w:w="11900" w:h="16838" w:orient="portrait"/>
          <w:cols w:equalWidth="0" w:num="1">
            <w:col w:w="11240"/>
          </w:cols>
          <w:pgMar w:left="320" w:top="121" w:right="339" w:bottom="0" w:gutter="0" w:footer="0" w:header="0"/>
          <w:type w:val="continuous"/>
        </w:sectPr>
      </w:pPr>
    </w:p>
    <w:bookmarkStart w:id="22" w:name="page23"/>
    <w:bookmarkEnd w:id="22"/>
    <w:p>
      <w:pPr>
        <w:ind w:left="42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Key elements of our Named Executive Officer compensation programs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550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4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Characteristics</w:t>
            </w:r>
          </w:p>
        </w:tc>
        <w:tc>
          <w:tcPr>
            <w:tcW w:w="0" w:type="dxa"/>
            <w:vAlign w:val="bottom"/>
          </w:tcPr>
          <w:p>
            <w:pPr>
              <w:spacing w:after="0"/>
              <w:rPr>
                <w:sz w:val="1"/>
                <w:szCs w:val="1"/>
                <w:color w:val="auto"/>
              </w:rPr>
            </w:pPr>
          </w:p>
        </w:tc>
      </w:tr>
      <w:tr>
        <w:trPr>
          <w:trHeight w:val="264"/>
        </w:trPr>
        <w:tc>
          <w:tcPr>
            <w:tcW w:w="2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Base Salaries</w:t>
            </w:r>
          </w:p>
        </w:tc>
        <w:tc>
          <w:tcPr>
            <w:tcW w:w="5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Compensate executives for their level of responsibility and individual</w:t>
            </w: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Fixed component; evaluated annually</w:t>
            </w:r>
          </w:p>
        </w:tc>
        <w:tc>
          <w:tcPr>
            <w:tcW w:w="0" w:type="dxa"/>
            <w:vAlign w:val="bottom"/>
          </w:tcPr>
          <w:p>
            <w:pPr>
              <w:spacing w:after="0"/>
              <w:rPr>
                <w:sz w:val="1"/>
                <w:szCs w:val="1"/>
                <w:color w:val="auto"/>
              </w:rPr>
            </w:pPr>
          </w:p>
        </w:tc>
      </w:tr>
      <w:tr>
        <w:trPr>
          <w:trHeight w:val="162"/>
        </w:trPr>
        <w:tc>
          <w:tcPr>
            <w:tcW w:w="226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ind w:left="400"/>
              <w:spacing w:after="0" w:line="162" w:lineRule="exact"/>
              <w:rPr>
                <w:sz w:val="20"/>
                <w:szCs w:val="20"/>
                <w:color w:val="auto"/>
              </w:rPr>
            </w:pPr>
            <w:r>
              <w:rPr>
                <w:rFonts w:ascii="Times New Roman" w:cs="Times New Roman" w:eastAsia="Times New Roman" w:hAnsi="Times New Roman"/>
                <w:sz w:val="18"/>
                <w:szCs w:val="18"/>
                <w:color w:val="auto"/>
              </w:rPr>
              <w:t>performance. It also helps attract and retain strong talent.</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Annual Non-Equity</w:t>
            </w:r>
          </w:p>
        </w:tc>
        <w:tc>
          <w:tcPr>
            <w:tcW w:w="5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Promotes achieving our annual corporate and business division goals.</w:t>
            </w: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Performance-based cash opportunity; amount</w:t>
            </w:r>
          </w:p>
        </w:tc>
        <w:tc>
          <w:tcPr>
            <w:tcW w:w="0" w:type="dxa"/>
            <w:vAlign w:val="bottom"/>
          </w:tcPr>
          <w:p>
            <w:pPr>
              <w:spacing w:after="0"/>
              <w:rPr>
                <w:sz w:val="1"/>
                <w:szCs w:val="1"/>
                <w:color w:val="auto"/>
              </w:rPr>
            </w:pPr>
          </w:p>
        </w:tc>
      </w:tr>
      <w:tr>
        <w:trPr>
          <w:trHeight w:val="203"/>
        </w:trPr>
        <w:tc>
          <w:tcPr>
            <w:tcW w:w="2260" w:type="dxa"/>
            <w:vAlign w:val="bottom"/>
            <w:tcBorders>
              <w:bottom w:val="single" w:sz="8" w:color="auto"/>
            </w:tcBorders>
          </w:tcPr>
          <w:p>
            <w:pPr>
              <w:ind w:left="360"/>
              <w:spacing w:after="0" w:line="202" w:lineRule="exact"/>
              <w:rPr>
                <w:sz w:val="20"/>
                <w:szCs w:val="20"/>
                <w:color w:val="auto"/>
              </w:rPr>
            </w:pPr>
            <w:r>
              <w:rPr>
                <w:rFonts w:ascii="Times New Roman" w:cs="Times New Roman" w:eastAsia="Times New Roman" w:hAnsi="Times New Roman"/>
                <w:sz w:val="18"/>
                <w:szCs w:val="18"/>
                <w:b w:val="1"/>
                <w:bCs w:val="1"/>
                <w:color w:val="auto"/>
              </w:rPr>
              <w:t>Incentives</w:t>
            </w:r>
          </w:p>
        </w:tc>
        <w:tc>
          <w:tcPr>
            <w:tcW w:w="550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varies based on Company performance.</w:t>
            </w: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3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Performance-based equity opportunity in the</w:t>
            </w:r>
          </w:p>
        </w:tc>
        <w:tc>
          <w:tcPr>
            <w:tcW w:w="0" w:type="dxa"/>
            <w:vAlign w:val="bottom"/>
          </w:tcPr>
          <w:p>
            <w:pPr>
              <w:spacing w:after="0"/>
              <w:rPr>
                <w:sz w:val="1"/>
                <w:szCs w:val="1"/>
                <w:color w:val="auto"/>
              </w:rPr>
            </w:pPr>
          </w:p>
        </w:tc>
      </w:tr>
      <w:tr>
        <w:trPr>
          <w:trHeight w:val="216"/>
        </w:trPr>
        <w:tc>
          <w:tcPr>
            <w:tcW w:w="22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Stock Incentives</w:t>
            </w:r>
          </w:p>
        </w:tc>
        <w:tc>
          <w:tcPr>
            <w:tcW w:w="55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Promotes (a) achieving our long-term corporate financial goals and</w:t>
            </w: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stock options and/or performance</w:t>
            </w: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5500" w:type="dxa"/>
            <w:vAlign w:val="bottom"/>
            <w:vMerge w:val="continue"/>
          </w:tcPr>
          <w:p>
            <w:pPr>
              <w:spacing w:after="0"/>
              <w:rPr>
                <w:sz w:val="9"/>
                <w:szCs w:val="9"/>
                <w:color w:val="auto"/>
              </w:rPr>
            </w:pPr>
          </w:p>
        </w:tc>
        <w:tc>
          <w:tcPr>
            <w:tcW w:w="3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RSUs; amounts earned/realized will vary from</w:t>
            </w: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55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(b) stockholder value creation.</w:t>
            </w: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6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3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the targeted grant-date fair value based on</w:t>
            </w:r>
          </w:p>
        </w:tc>
        <w:tc>
          <w:tcPr>
            <w:tcW w:w="0" w:type="dxa"/>
            <w:vAlign w:val="bottom"/>
          </w:tcPr>
          <w:p>
            <w:pPr>
              <w:spacing w:after="0"/>
              <w:rPr>
                <w:sz w:val="1"/>
                <w:szCs w:val="1"/>
                <w:color w:val="auto"/>
              </w:rPr>
            </w:pPr>
          </w:p>
        </w:tc>
      </w:tr>
      <w:tr>
        <w:trPr>
          <w:trHeight w:val="90"/>
        </w:trPr>
        <w:tc>
          <w:tcPr>
            <w:tcW w:w="2260" w:type="dxa"/>
            <w:vAlign w:val="bottom"/>
          </w:tcPr>
          <w:p>
            <w:pPr>
              <w:spacing w:after="0"/>
              <w:rPr>
                <w:sz w:val="7"/>
                <w:szCs w:val="7"/>
                <w:color w:val="auto"/>
              </w:rPr>
            </w:pPr>
          </w:p>
        </w:tc>
        <w:tc>
          <w:tcPr>
            <w:tcW w:w="550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actual financial and stock price performance.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firstLine="414"/>
        <w:spacing w:after="0" w:line="282" w:lineRule="auto"/>
        <w:rPr>
          <w:sz w:val="20"/>
          <w:szCs w:val="20"/>
          <w:color w:val="auto"/>
        </w:rPr>
      </w:pPr>
      <w:r>
        <w:rPr>
          <w:rFonts w:ascii="Times New Roman" w:cs="Times New Roman" w:eastAsia="Times New Roman" w:hAnsi="Times New Roman"/>
          <w:sz w:val="18"/>
          <w:szCs w:val="18"/>
          <w:color w:val="auto"/>
        </w:rPr>
        <w:t>Each element of compensation is described below, including a discussion of the specific actions taken by the Compensation Committee for 2025 concerning the CEO and other NEOs.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Salaries for Named Executive Officers</w:t>
      </w:r>
    </w:p>
    <w:p>
      <w:pPr>
        <w:spacing w:after="0" w:line="121" w:lineRule="exact"/>
        <w:rPr>
          <w:sz w:val="20"/>
          <w:szCs w:val="20"/>
          <w:color w:val="auto"/>
        </w:rPr>
      </w:pPr>
    </w:p>
    <w:p>
      <w:pPr>
        <w:jc w:val="both"/>
        <w:ind w:right="40" w:firstLine="414"/>
        <w:spacing w:after="0" w:line="261" w:lineRule="auto"/>
        <w:rPr>
          <w:sz w:val="20"/>
          <w:szCs w:val="20"/>
          <w:color w:val="auto"/>
        </w:rPr>
      </w:pPr>
      <w:r>
        <w:rPr>
          <w:rFonts w:ascii="Times New Roman" w:cs="Times New Roman" w:eastAsia="Times New Roman" w:hAnsi="Times New Roman"/>
          <w:sz w:val="18"/>
          <w:szCs w:val="18"/>
          <w:color w:val="auto"/>
        </w:rPr>
        <w:t>In determining salary adjustments for the Named Executive Officers, the Compensation Committee considered each executive officer's individual performance and targeted base salary levels within a +/- 15% range around the median base salary paid for executives with similar responsibilities within the Peer Group and survey data. Adjustments are not made each year. As previously discussed, the Compensation Committee did not increase the 2025 salaries for the CEO and the Named Executive Officers.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table below shows the salaries for the named executive officers:</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42"/>
        </w:trPr>
        <w:tc>
          <w:tcPr>
            <w:tcW w:w="6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365F91"/>
              </w:rPr>
              <w:t>FY2024 Salary</w:t>
            </w:r>
          </w:p>
        </w:tc>
        <w:tc>
          <w:tcPr>
            <w:tcW w:w="26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365F91"/>
              </w:rPr>
              <w:t>FY2025 Salary</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365F91"/>
              </w:rPr>
              <w:t>Merit %</w:t>
            </w:r>
          </w:p>
        </w:tc>
        <w:tc>
          <w:tcPr>
            <w:tcW w:w="240" w:type="dxa"/>
            <w:vAlign w:val="bottom"/>
          </w:tcPr>
          <w:p>
            <w:pPr>
              <w:spacing w:after="0"/>
              <w:rPr>
                <w:sz w:val="24"/>
                <w:szCs w:val="24"/>
                <w:color w:val="auto"/>
              </w:rPr>
            </w:pPr>
          </w:p>
        </w:tc>
      </w:tr>
      <w:tr>
        <w:trPr>
          <w:trHeight w:val="238"/>
        </w:trPr>
        <w:tc>
          <w:tcPr>
            <w:tcW w:w="6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0061AA"/>
              </w:rPr>
              <w:t>Name</w:t>
            </w:r>
          </w:p>
        </w:tc>
        <w:tc>
          <w:tcPr>
            <w:tcW w:w="7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365F91"/>
                <w:w w:val="99"/>
              </w:rPr>
              <w:t>(000s)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365F91"/>
                <w:w w:val="99"/>
              </w:rPr>
              <w:t>(000s)</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365F91"/>
              </w:rPr>
              <w:t>Increase</w:t>
            </w:r>
          </w:p>
        </w:tc>
        <w:tc>
          <w:tcPr>
            <w:tcW w:w="240" w:type="dxa"/>
            <w:vAlign w:val="bottom"/>
            <w:tcBorders>
              <w:bottom w:val="single" w:sz="8" w:color="auto"/>
            </w:tcBorders>
          </w:tcPr>
          <w:p>
            <w:pPr>
              <w:spacing w:after="0"/>
              <w:rPr>
                <w:sz w:val="20"/>
                <w:szCs w:val="20"/>
                <w:color w:val="auto"/>
              </w:rPr>
            </w:pPr>
          </w:p>
        </w:tc>
      </w:tr>
      <w:tr>
        <w:trPr>
          <w:trHeight w:val="250"/>
        </w:trPr>
        <w:tc>
          <w:tcPr>
            <w:tcW w:w="6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Michael J. Brown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6"/>
              </w:rPr>
              <w:t>925</w:t>
            </w:r>
          </w:p>
        </w:tc>
        <w:tc>
          <w:tcPr>
            <w:tcW w:w="11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Rick L. Weller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550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550</w:t>
            </w: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Nikos Fountas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6"/>
              </w:rPr>
              <w:t>525</w:t>
            </w:r>
          </w:p>
        </w:tc>
        <w:tc>
          <w:tcPr>
            <w:tcW w:w="11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Kevin J. Caponecchi</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525</w:t>
            </w: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Juan C. Bianchi</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6"/>
              </w:rPr>
              <w:t>525</w:t>
            </w:r>
          </w:p>
        </w:tc>
        <w:tc>
          <w:tcPr>
            <w:tcW w:w="11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Non-Equity Incentive Compensation</w:t>
      </w:r>
    </w:p>
    <w:p>
      <w:pPr>
        <w:spacing w:after="0" w:line="121" w:lineRule="exact"/>
        <w:rPr>
          <w:sz w:val="20"/>
          <w:szCs w:val="20"/>
          <w:color w:val="auto"/>
        </w:rPr>
      </w:pPr>
    </w:p>
    <w:p>
      <w:pPr>
        <w:jc w:val="both"/>
        <w:ind w:right="40" w:firstLine="414"/>
        <w:spacing w:after="0" w:line="258" w:lineRule="auto"/>
        <w:rPr>
          <w:sz w:val="20"/>
          <w:szCs w:val="20"/>
          <w:color w:val="auto"/>
        </w:rPr>
      </w:pPr>
      <w:r>
        <w:rPr>
          <w:rFonts w:ascii="Times New Roman" w:cs="Times New Roman" w:eastAsia="Times New Roman" w:hAnsi="Times New Roman"/>
          <w:sz w:val="18"/>
          <w:szCs w:val="18"/>
          <w:color w:val="auto"/>
        </w:rPr>
        <w:t>Certain members of senior and executive management, including the Named Executive Officers participate in our stockholder approved Executive Annual Incentive Plan through which they are eligible to earn non-equity (cash) incentive awards. In determining annual non-equity incentive compensation, the Compensation Committee considers the overall performance of Euronet and the individual performance of each executive officer. In measuring individual performance, the Compensation Committee measures the level of responsibility of an executive officer against his base salary and other elements of compensation to determine whether overall compensation is sufficient to retain and motivate highly qualified individuals.</w:t>
      </w:r>
    </w:p>
    <w:p>
      <w:pPr>
        <w:spacing w:after="0" w:line="75" w:lineRule="exact"/>
        <w:rPr>
          <w:sz w:val="20"/>
          <w:szCs w:val="20"/>
          <w:color w:val="auto"/>
        </w:rPr>
      </w:pPr>
    </w:p>
    <w:p>
      <w:pPr>
        <w:jc w:val="both"/>
        <w:ind w:right="40" w:firstLine="415"/>
        <w:spacing w:after="0" w:line="282" w:lineRule="auto"/>
        <w:rPr>
          <w:sz w:val="20"/>
          <w:szCs w:val="20"/>
          <w:color w:val="auto"/>
        </w:rPr>
      </w:pPr>
      <w:r>
        <w:rPr>
          <w:rFonts w:ascii="Times New Roman" w:cs="Times New Roman" w:eastAsia="Times New Roman" w:hAnsi="Times New Roman"/>
          <w:sz w:val="18"/>
          <w:szCs w:val="18"/>
          <w:color w:val="auto"/>
        </w:rPr>
        <w:t>Non-equity incentive compensation to executive officers applies Company-wide performance criteria that executives directly influence, to ensure a link between annual performance and actual incentive payments. In December 2024, the Compensation</w:t>
      </w:r>
    </w:p>
    <w:p>
      <w:pPr>
        <w:spacing w:after="0" w:line="5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Committee established 2025 incentive targets for Messrs. Brown, Weller, Fountas, Caponecchi and Bianchi based on predetermined adjusted EPS targets on a constant currency basis.</w:t>
      </w:r>
    </w:p>
    <w:p>
      <w:pPr>
        <w:spacing w:after="0" w:line="40" w:lineRule="exact"/>
        <w:rPr>
          <w:sz w:val="20"/>
          <w:szCs w:val="20"/>
          <w:color w:val="auto"/>
        </w:rPr>
      </w:pPr>
    </w:p>
    <w:p>
      <w:pPr>
        <w:jc w:val="both"/>
        <w:ind w:right="40" w:firstLine="414"/>
        <w:spacing w:after="0" w:line="256" w:lineRule="auto"/>
        <w:rPr>
          <w:sz w:val="20"/>
          <w:szCs w:val="20"/>
          <w:color w:val="auto"/>
        </w:rPr>
      </w:pPr>
      <w:r>
        <w:rPr>
          <w:rFonts w:ascii="Times New Roman" w:cs="Times New Roman" w:eastAsia="Times New Roman" w:hAnsi="Times New Roman"/>
          <w:sz w:val="18"/>
          <w:szCs w:val="18"/>
          <w:color w:val="auto"/>
        </w:rPr>
        <w:t>For 2025, adjusted EPS on a constant currency basis of $9.00, $9.30 or $9.60 would result in a payout as a percentage of base salary of 75%, 150% or 300%, respectively, for Mr. Brown, 62.5%, 125% or 250%, respectively, for Mr. Weller and 50%, 100% or 200%, respectively, for each of Messrs. Fountas, Caponecchi and Bianchi. Amounts achieved between target and maximum were calculated based on the proportionate achievement. The threshold, target and maximum adjusted EPS objectives for 2025 represent a 5%, 8% and 11% increase, respectively, over adjusted EPS of $8.61 for 2024. For 2025, the Company achieved adjusted EPS of $9.61 ($9.40 on a constant currency basis), which resulted in annual incentive compensation of $1,850,000, $916,667, $700,000, $700,000 and $700,0000 being paid to Messrs. Brown, Weller, Fountas, Caponecchi and Bianchi,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365F91"/>
              </w:rPr>
              <w:t>2024 Annual</w:t>
            </w:r>
          </w:p>
        </w:tc>
        <w:tc>
          <w:tcPr>
            <w:tcW w:w="30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365F91"/>
              </w:rPr>
              <w:t>2025 Annual</w:t>
            </w:r>
          </w:p>
        </w:tc>
        <w:tc>
          <w:tcPr>
            <w:tcW w:w="136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365F91"/>
                <w:w w:val="99"/>
              </w:rPr>
              <w:t>Incentive Plan</w:t>
            </w:r>
          </w:p>
        </w:tc>
        <w:tc>
          <w:tcPr>
            <w:tcW w:w="30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365F91"/>
                <w:w w:val="99"/>
              </w:rPr>
              <w:t>Incentive Plan</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365F91"/>
              </w:rPr>
              <w:t>% Increase /</w:t>
            </w:r>
          </w:p>
        </w:tc>
      </w:tr>
      <w:tr>
        <w:trPr>
          <w:trHeight w:val="238"/>
        </w:trPr>
        <w:tc>
          <w:tcPr>
            <w:tcW w:w="4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0061AA"/>
              </w:rPr>
              <w:t>Name</w:t>
            </w:r>
          </w:p>
        </w:tc>
        <w:tc>
          <w:tcPr>
            <w:tcW w:w="2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365F91"/>
                <w:w w:val="99"/>
              </w:rPr>
              <w:t>Payout</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365F91"/>
                <w:w w:val="99"/>
              </w:rPr>
              <w:t>Payout</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365F91"/>
              </w:rPr>
              <w:t>(Decrease</w:t>
            </w:r>
            <w:r>
              <w:rPr>
                <w:rFonts w:ascii="Times New Roman" w:cs="Times New Roman" w:eastAsia="Times New Roman" w:hAnsi="Times New Roman"/>
                <w:sz w:val="18"/>
                <w:szCs w:val="18"/>
                <w:color w:val="000000"/>
              </w:rPr>
              <w:t>)</w:t>
            </w:r>
          </w:p>
        </w:tc>
      </w:tr>
      <w:tr>
        <w:trPr>
          <w:trHeight w:val="250"/>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Michael J. Brown</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2,775,000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1,850,000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6"/>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Rick L. Weller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1,375,000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916,667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6"/>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Nikos Fountas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1,050,000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700,000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6"/>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Kevin J. Caponecchi</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1,050,000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700,000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6"/>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Juan C. Bianchi</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1,050,000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700,000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Programs</w:t>
      </w:r>
    </w:p>
    <w:p>
      <w:pPr>
        <w:spacing w:after="0" w:line="108" w:lineRule="exact"/>
        <w:rPr>
          <w:sz w:val="20"/>
          <w:szCs w:val="20"/>
          <w:color w:val="auto"/>
        </w:rPr>
      </w:pPr>
    </w:p>
    <w:p>
      <w:pPr>
        <w:jc w:val="both"/>
        <w:ind w:right="40" w:firstLine="414"/>
        <w:spacing w:after="0" w:line="255" w:lineRule="auto"/>
        <w:rPr>
          <w:sz w:val="20"/>
          <w:szCs w:val="20"/>
          <w:color w:val="auto"/>
        </w:rPr>
      </w:pPr>
      <w:r>
        <w:rPr>
          <w:rFonts w:ascii="Times New Roman" w:cs="Times New Roman" w:eastAsia="Times New Roman" w:hAnsi="Times New Roman"/>
          <w:sz w:val="18"/>
          <w:szCs w:val="18"/>
          <w:color w:val="auto"/>
        </w:rPr>
        <w:t>Our stock incentive plans are designed to promote an alignment of long-term interests between our employees and our stockholders and to assist in the retention and motivation of employees. The Compensation Committee can grant to key employees of Euronet and its subsidiaries a variety of stock incentives, including non qualified stock options, incentive stock options, stock appreciation rights, restricted stock, performance awards and other stock-based incentives. Grants are usually approved by the Compensation Committee for recommendation to the Board during regularly scheduled committee meetings, of which there are typically four per year occurring at regular intervals. The Compensation Committee intends that performance-based stock incentives serve as a significant portion of our executive officers’ total compensation package. Stock incentives offer the executive officers significant long-term incentives to increase their efforts on behalf of Euronet and its subsidiaries, to focus managerial efforts on enhancing stockholder value and to</w:t>
      </w:r>
    </w:p>
    <w:p>
      <w:pPr>
        <w:sectPr>
          <w:pgSz w:w="11900" w:h="16838" w:orient="portrait"/>
          <w:cols w:equalWidth="0" w:num="1">
            <w:col w:w="11280"/>
          </w:cols>
          <w:pgMar w:left="320" w:top="117" w:right="299" w:bottom="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align the interests of the executive officers with the stockholders. Grants of stock incentives are designed to be competitive with the companies in the Peer Group for the level of job the executive officer holds and to motivate the executive officer to contribute to an increase in our stock price over time.</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right="20" w:firstLine="414"/>
        <w:spacing w:after="0" w:line="258" w:lineRule="auto"/>
        <w:rPr>
          <w:sz w:val="20"/>
          <w:szCs w:val="20"/>
          <w:color w:val="auto"/>
        </w:rPr>
      </w:pPr>
      <w:r>
        <w:rPr>
          <w:rFonts w:ascii="Times New Roman" w:cs="Times New Roman" w:eastAsia="Times New Roman" w:hAnsi="Times New Roman"/>
          <w:sz w:val="18"/>
          <w:szCs w:val="18"/>
          <w:color w:val="auto"/>
        </w:rPr>
        <w:t>Under the terms of the Stock Incentive Plan, last approved by the stockholders in May 2021, the exercise price of all option awards made to our Named Executive Officers or any of our other employees is fixed at the closing trading price on the date of grant. We do not have a program, plan or practice of awarding options and setting the exercise price based on the stock’s price on a date other than the grant date, and we do not have a practice of determining the exercise price of option grants by using average prices (or lowest prices) of our common stock in a period preceding or following the grant date.</w:t>
      </w:r>
    </w:p>
    <w:p>
      <w:pPr>
        <w:spacing w:after="0" w:line="8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In addition to the Company’s Peer Group which is based on similar industry participants, similar size market capitalization, revenue and service offerings, the Compensation Committee evaluated Euronet’s performance against a group of 24 Payment Processing Industry Participants. Companies comprising the Payment Processing Industry Participants were:</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Adyen NV</w:t>
            </w:r>
          </w:p>
        </w:tc>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Marqeta Inc</w:t>
            </w:r>
          </w:p>
        </w:tc>
        <w:tc>
          <w:tcPr>
            <w:tcW w:w="2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Paysafe Ltd</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Bill Holdings Inc</w:t>
            </w:r>
          </w:p>
        </w:tc>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Meridianlink Inc (delisted in 2025)</w:t>
            </w:r>
          </w:p>
        </w:tc>
        <w:tc>
          <w:tcPr>
            <w:tcW w:w="2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Remitly Global Inc</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Fidelity National Information Services Inc</w:t>
            </w:r>
          </w:p>
        </w:tc>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Nu Holdings Ltd</w:t>
            </w:r>
          </w:p>
        </w:tc>
        <w:tc>
          <w:tcPr>
            <w:tcW w:w="22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 Shift 4 payments Inc</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First Advantage Corp</w:t>
            </w:r>
          </w:p>
        </w:tc>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OFX Group Limited</w:t>
            </w:r>
          </w:p>
        </w:tc>
        <w:tc>
          <w:tcPr>
            <w:tcW w:w="2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Toast Inc</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Fiserv Inc</w:t>
            </w:r>
          </w:p>
        </w:tc>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Paychex Inc</w:t>
            </w:r>
          </w:p>
        </w:tc>
        <w:tc>
          <w:tcPr>
            <w:tcW w:w="2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Western Union Co</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Flywire Corp</w:t>
            </w:r>
          </w:p>
        </w:tc>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Payments Holdings Inc</w:t>
            </w:r>
          </w:p>
        </w:tc>
        <w:tc>
          <w:tcPr>
            <w:tcW w:w="2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WEX Inc</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Global Payments Inc</w:t>
            </w:r>
          </w:p>
        </w:tc>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Payoneer Global Inc</w:t>
            </w:r>
          </w:p>
        </w:tc>
        <w:tc>
          <w:tcPr>
            <w:tcW w:w="2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Wise PLC</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Kaspi.kz AO- ADR</w:t>
            </w:r>
          </w:p>
        </w:tc>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PayPal Holdings Inc</w:t>
            </w:r>
          </w:p>
        </w:tc>
        <w:tc>
          <w:tcPr>
            <w:tcW w:w="2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Worldline SA</w:t>
            </w:r>
          </w:p>
        </w:tc>
      </w:tr>
    </w:tbl>
    <w:p>
      <w:pPr>
        <w:spacing w:after="0" w:line="171"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Compensation Committee considered the performance of this group of 24 publicly traded companies against Euronet’s performance considering the total shareholder return from December 31, 2022, compared to December 31, 2025. On December 31,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2022, Euronet stock price was $94.38 and at December 31, 2025 it was $76.11. Investment in Euronet decreased 19% over the three year period. If you consider the individual performance of each stock in the group of 24, 14 performed better than Euronet and 10 performed worse. Generally, Euronet was about in the middle or performing generally "in line" with the Payment Processing Industry Participants.</w:t>
      </w:r>
    </w:p>
    <w:p>
      <w:pPr>
        <w:spacing w:after="0" w:line="14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Next the Compensation Committee considered the operating results performance of Euronet compared to the Payment Processing Industry Participants. Euronet’s EBITDA for the year ended December 31, 2022, was $496.0 million compared to $671.2 million for the year ended December 31, 2025. Euronet’s EBITDA was 35% higher for 2025, compared to 2022. In comparison, utilizing the Payment Processing Industry Participants, Euronet’s EBITDA growth comparing 2025 to 2022 was better than 14 of the 24 Payment Processing Industry Participants. .</w:t>
      </w:r>
    </w:p>
    <w:p>
      <w:pPr>
        <w:spacing w:after="0" w:line="139"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In summary, over the three years Euronet's share price performed at about the 40th percentile of the Payment Processing Industry Participants despite its operating results, based on its EBITDA growth, performing in the top 44% of the Payment Processing Industry Participants.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 Awards</w:t>
      </w:r>
    </w:p>
    <w:p>
      <w:pPr>
        <w:spacing w:after="0" w:line="121"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In December 2025, the Compensation Committee, together in consultation with its compensation consultants, completed the award of equity incentive compensation grants to selected managers and key contributors to the success of the Company’s achievements, including the CEO and other NEOs. The Committee decided that the April 2025 awards of the other NEOs were appropriate for 2025 and, accordingly, made no additional awards. Moreover, the Committee decided that they would make no awards to the CEO and, as is done annually, consider in 2026 awards believed to be appropriate and necessary.</w:t>
      </w:r>
    </w:p>
    <w:p>
      <w:pPr>
        <w:spacing w:after="0" w:line="75"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As described above, the Compensation Committee reviewed Euronet’s performance in recent years in relation to the executives' incentive targets to confirm that the performance measures the Compensation Committee previously set for performance-based incentive stock awards were sufficiently rigorous and demanding as demonstrated by incentive goal performance ranging from zero achieved to partial achievement to full achievement. After this review, the Compensation Committee determined that the targets and the associated level of compensation awarded to the executive officers have generally been appropriate and challenging. As demonstrated by annual incentive achievements over the past three years that range from zero achievement to maximum achievement. Moreover, long-term share-based compensation performance achievements likewise ranged from zero achievement to maximum achievement.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We reported and included the grant date fair value of each year’s award as compensation in the summary compensation tables. These historical awards, while reported as compensation, are theoretical valuations assuming stock appreciation and anticipated achievement of the established performance goals as of the date of the grant. The value realized will depend on three important factors — from three to four year vesting period for equity awards, achievement of the predetermined performance goals, and stock price appreciation. Therefore, actual compensation will differ from theoretical compensation based upon continued operating performance and market performance of our stock price.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Mix</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Compensation Committee concluded that for 2025 executive compensation reflected an appropriate mix of base salary, incentive bonuses, and performance-based equity compensation that provides sufficient retentive and motivational value to align the interests of executives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6377940" cy="130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77940" cy="13004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88900</wp:posOffset>
            </wp:positionV>
            <wp:extent cx="6377940" cy="608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77940" cy="6083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121"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Our employees in the United States are entitled to receive medical, dental, vision, life and short-term and long-term disability insurance benefits and may participate in our 401(k) plan. For 401(k) participants, we match 50% of participant deferrals on the first six percent or four percent of a participant’s deferrals, depending on which subsidiary’s plan the employee participates. Generally, employees outside the United States are covered by social benefit programs of their respective countries. Our executive officers generally participate in these benefit plans on the same basis as our other employees.</w:t>
      </w:r>
    </w:p>
    <w:p>
      <w:pPr>
        <w:spacing w:after="0" w:line="72"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Nearly all of our employees are entitled to participate in the Employee Stock Purchase Plan ("ESPP"), which was adopted in 2001. This plan, which has been established in accordance with certain federal income tax rules set forth in Section 423 of the Internal Revenue Code of 1986, as amended (the “Code”), permits employees to purchase stock from us at a price that is equal to 85% of the lower of the trading price on the opening or closing of certain three-month “offering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sponsor a defined benefit pension plan or any other deferred compensation plans for executives or any of our other employees.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and Other Benefits</w:t>
      </w:r>
    </w:p>
    <w:p>
      <w:pPr>
        <w:spacing w:after="0" w:line="175"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Perquisites and other benefits have been a very small part of our executive compensation program. The aggregate incremental cost to the Company of providing perquisites and other benefits to our CEO and the other NEOs as a group in 2025 was $11,575 and $172,151, respectively, and is included in the “All Other Compensation” column of the Summary Compensation Table on page 42. As a part of Mr. Fountas' relocation to London, UK in 2018, the Compensation Committee approved the reimbursement of certain personal costs, which for 2025 consisted of housing costs. The Compensation Committee believes this reimbursement is appropriate to locate Mr. Fountas in a significant European financial center near companies important to the growth plans of Euronet and to better facilitate</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international travel necessary for his duties. Mr. Fountas relocated back to Greece during 2025 and will not be receiving any reimbursement for housing costs in 2026. Considered both individually and, in the aggregate, the Compensation Committee believes that the perquisites and other benefits we offer to our Named Executive Officers are reasonable and appropriate.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Policy</w:t>
      </w:r>
    </w:p>
    <w:p>
      <w:pPr>
        <w:spacing w:after="0" w:line="121"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Euronet has a change in control provision in our Stock Incentive Plan that applies to all plan participants, including our NEOs. The change in control provisions were adopted to mitigate the concern that, in the event the Company is considering a change in control transaction, the employees involved in considering the transaction will be motivated to act in their own interests rather than the interests of the stockholders. Employees may not be in a position to influence the Company’s performance after a change in control and may not be in a position to earn their incentive awards or vest in their equity awards. Thus, the provisions are designed to make any transaction neutral to the employees’ economic interests. For a more detailed discussion of change in control arrangements with our NEOs, see the "Employment Agreements" section below.</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and Director Stock Ownership and Hedging Policy</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Euronet also encourages broad-based employee stock ownership through various stockholder approved stock compensation plans. More than 350 employees have received awards in a combination of stock options and restricted stock. This means that, like other stockholders, employees broadly participate in both the upside opportunity and the downside risk of our performance. Key components of the Stock Ownership and Hedging Policy include:</w:t>
      </w:r>
    </w:p>
    <w:p>
      <w:pPr>
        <w:spacing w:after="0" w:line="68" w:lineRule="exact"/>
        <w:rPr>
          <w:sz w:val="20"/>
          <w:szCs w:val="20"/>
          <w:color w:val="auto"/>
        </w:rPr>
      </w:pPr>
    </w:p>
    <w:p>
      <w:pPr>
        <w:ind w:left="640" w:firstLine="57"/>
        <w:spacing w:after="0" w:line="266" w:lineRule="auto"/>
        <w:rPr>
          <w:sz w:val="20"/>
          <w:szCs w:val="20"/>
          <w:color w:val="auto"/>
        </w:rPr>
      </w:pPr>
      <w:r>
        <w:rPr>
          <w:rFonts w:ascii="Times New Roman" w:cs="Times New Roman" w:eastAsia="Times New Roman" w:hAnsi="Times New Roman"/>
          <w:sz w:val="18"/>
          <w:szCs w:val="18"/>
          <w:color w:val="auto"/>
        </w:rPr>
        <w:t>The allocation of stock awards to employees is progressive so that as an employee's level of responsibility and corresponding total compensation opportunity increases, an increasing percentage of total compensation is paid in performance based restricted stock and/or stock options to better align leadership with stockholders.</w:t>
      </w:r>
    </w:p>
    <w:p>
      <w:pPr>
        <w:spacing w:after="0" w:line="148" w:lineRule="exact"/>
        <w:rPr>
          <w:sz w:val="20"/>
          <w:szCs w:val="20"/>
          <w:color w:val="auto"/>
        </w:rPr>
      </w:pPr>
    </w:p>
    <w:p>
      <w:pPr>
        <w:ind w:left="640" w:firstLine="57"/>
        <w:spacing w:after="0" w:line="258" w:lineRule="auto"/>
        <w:rPr>
          <w:sz w:val="20"/>
          <w:szCs w:val="20"/>
          <w:color w:val="auto"/>
        </w:rPr>
      </w:pPr>
      <w:r>
        <w:rPr>
          <w:rFonts w:ascii="Times New Roman" w:cs="Times New Roman" w:eastAsia="Times New Roman" w:hAnsi="Times New Roman"/>
          <w:sz w:val="18"/>
          <w:szCs w:val="18"/>
          <w:color w:val="auto"/>
        </w:rPr>
        <w:t>Euronet has established an insider trading policy which applies to all directors, officers, employees, contractors, consultants and advisers of the Company, which are collectively referred to as “covered persons.” All covered persons are prohibited from trading in puts, calls or similar options on our stock or selling our stock “short.” In addition, covered persons may not purchase financial instruments (including prepaid variable forward contracts, equity swaps, collars and exchange funds) or otherwise engage in transactions that are designed to or have the effect of hedging or offsetting any decrease in the market value of our securities.</w:t>
      </w:r>
    </w:p>
    <w:p>
      <w:pPr>
        <w:spacing w:after="0" w:line="142" w:lineRule="exact"/>
        <w:rPr>
          <w:sz w:val="20"/>
          <w:szCs w:val="20"/>
          <w:color w:val="auto"/>
        </w:rPr>
      </w:pPr>
    </w:p>
    <w:p>
      <w:pPr>
        <w:ind w:left="640" w:right="20" w:firstLine="57"/>
        <w:spacing w:after="0" w:line="282" w:lineRule="auto"/>
        <w:rPr>
          <w:sz w:val="20"/>
          <w:szCs w:val="20"/>
          <w:color w:val="auto"/>
        </w:rPr>
      </w:pPr>
      <w:r>
        <w:rPr>
          <w:rFonts w:ascii="Times New Roman" w:cs="Times New Roman" w:eastAsia="Times New Roman" w:hAnsi="Times New Roman"/>
          <w:sz w:val="18"/>
          <w:szCs w:val="18"/>
          <w:color w:val="auto"/>
        </w:rPr>
        <w:t>Any Award granted to the Chief Executive Officer will contain a requirement that any shares issued upon the vesting of the Award will be held for a minimum of one (1) year subsequent to the date of vesting, unless the Chief Executive Officer retires or is terminated prior to such time.</w:t>
      </w:r>
    </w:p>
    <w:p>
      <w:pPr>
        <w:spacing w:after="0" w:line="121" w:lineRule="exact"/>
        <w:rPr>
          <w:sz w:val="20"/>
          <w:szCs w:val="20"/>
          <w:color w:val="auto"/>
        </w:rPr>
      </w:pPr>
    </w:p>
    <w:p>
      <w:pPr>
        <w:ind w:left="640" w:firstLine="57"/>
        <w:spacing w:after="0" w:line="261" w:lineRule="auto"/>
        <w:rPr>
          <w:sz w:val="20"/>
          <w:szCs w:val="20"/>
          <w:color w:val="auto"/>
        </w:rPr>
      </w:pPr>
      <w:r>
        <w:rPr>
          <w:rFonts w:ascii="Times New Roman" w:cs="Times New Roman" w:eastAsia="Times New Roman" w:hAnsi="Times New Roman"/>
          <w:sz w:val="18"/>
          <w:szCs w:val="18"/>
          <w:color w:val="auto"/>
        </w:rPr>
        <w:t>Euronet’s insider trading policy prohibits directors, executive officers, employees that report directly to an executive officer and certain other designated employees from holding Euronet securities in a margin account or pledging Euronet securities as collateral for a loan. Exceptions to this restriction on pledging may be granted by the General Counsel under limited circumstances when the pledgor demonstrates the financial capacity to repay a loan without resorting to the pledged securities., None of the NEOs had shares pledged at December 31, 2025.</w:t>
      </w:r>
    </w:p>
    <w:p>
      <w:pPr>
        <w:spacing w:after="0" w:line="152" w:lineRule="exact"/>
        <w:rPr>
          <w:sz w:val="20"/>
          <w:szCs w:val="20"/>
          <w:color w:val="auto"/>
        </w:rPr>
      </w:pPr>
    </w:p>
    <w:p>
      <w:pPr>
        <w:ind w:left="640" w:firstLine="57"/>
        <w:spacing w:after="0" w:line="266" w:lineRule="auto"/>
        <w:rPr>
          <w:sz w:val="20"/>
          <w:szCs w:val="20"/>
          <w:color w:val="auto"/>
        </w:rPr>
      </w:pPr>
      <w:r>
        <w:rPr>
          <w:rFonts w:ascii="Times New Roman" w:cs="Times New Roman" w:eastAsia="Times New Roman" w:hAnsi="Times New Roman"/>
          <w:sz w:val="18"/>
          <w:szCs w:val="18"/>
          <w:color w:val="auto"/>
        </w:rPr>
        <w:t>The Compensation Committee has adopted stock ownership guidelines for the Chief Executive Officer and the non-executive Directors after a compliance period of five years. The requirements for each party and their current stock ownership position are as follows based on the stock price at December 31,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0061AA"/>
              </w:rPr>
              <w:t>Director</w:t>
            </w:r>
          </w:p>
        </w:tc>
        <w:tc>
          <w:tcPr>
            <w:tcW w:w="3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365F91"/>
              </w:rPr>
              <w:t>Required Stock Ownership</w:t>
            </w:r>
          </w:p>
        </w:tc>
        <w:tc>
          <w:tcPr>
            <w:tcW w:w="49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365F91"/>
              </w:rPr>
              <w:t>Current Stock Ownership Position</w:t>
            </w:r>
          </w:p>
        </w:tc>
      </w:tr>
      <w:tr>
        <w:trPr>
          <w:trHeight w:val="22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Brown</w:t>
            </w:r>
          </w:p>
        </w:tc>
        <w:tc>
          <w:tcPr>
            <w:tcW w:w="3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 times base salary</w:t>
            </w:r>
          </w:p>
        </w:tc>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215 times base salary</w:t>
            </w: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Paul S. Althasen</w:t>
            </w:r>
          </w:p>
        </w:tc>
        <w:tc>
          <w:tcPr>
            <w:tcW w:w="3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 times cash portion of annual retainer</w:t>
            </w:r>
          </w:p>
        </w:tc>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45 times cash portion of annual retainer</w:t>
            </w:r>
          </w:p>
        </w:tc>
      </w:tr>
      <w:tr>
        <w:trPr>
          <w:trHeight w:val="22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A. McDonnell</w:t>
            </w:r>
          </w:p>
        </w:tc>
        <w:tc>
          <w:tcPr>
            <w:tcW w:w="3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 times cash portion of annual retainer</w:t>
            </w:r>
          </w:p>
        </w:tc>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71 times cash portion of annual retainer</w:t>
            </w: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Dr. Andrej Olechowski</w:t>
            </w:r>
          </w:p>
        </w:tc>
        <w:tc>
          <w:tcPr>
            <w:tcW w:w="3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 times cash portion of annual retainer</w:t>
            </w:r>
          </w:p>
        </w:tc>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12 times cash portion of annual retainer</w:t>
            </w:r>
          </w:p>
        </w:tc>
      </w:tr>
      <w:tr>
        <w:trPr>
          <w:trHeight w:val="23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N. Frumkin</w:t>
            </w:r>
          </w:p>
        </w:tc>
        <w:tc>
          <w:tcPr>
            <w:tcW w:w="3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 times cash portion of annual retainer</w:t>
            </w:r>
          </w:p>
        </w:tc>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 times cash portion of annual retainer</w:t>
            </w: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Ligia Torres Fentanes</w:t>
            </w:r>
          </w:p>
        </w:tc>
        <w:tc>
          <w:tcPr>
            <w:tcW w:w="3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Not applicable</w:t>
            </w:r>
          </w:p>
        </w:tc>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 times cash portion of annual retainer</w:t>
            </w: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Sara Baack (1)</w:t>
            </w:r>
          </w:p>
        </w:tc>
        <w:tc>
          <w:tcPr>
            <w:tcW w:w="394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Not applicable</w:t>
            </w:r>
          </w:p>
        </w:tc>
        <w:tc>
          <w:tcPr>
            <w:tcW w:w="490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3 times cash portion of annual retainer</w:t>
            </w:r>
          </w:p>
        </w:tc>
      </w:tr>
    </w:tbl>
    <w:p>
      <w:pPr>
        <w:sectPr>
          <w:pgSz w:w="11900" w:h="16900" w:orient="portrait"/>
          <w:cols w:equalWidth="0" w:num="1">
            <w:col w:w="11240"/>
          </w:cols>
          <w:pgMar w:left="320" w:top="1440" w:right="3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Sergi Herrero (1)</w:t>
            </w:r>
          </w:p>
        </w:tc>
        <w:tc>
          <w:tcPr>
            <w:tcW w:w="3300" w:type="dxa"/>
            <w:vAlign w:val="bottom"/>
            <w:tcBorders>
              <w:top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Not applicable</w:t>
            </w:r>
          </w:p>
        </w:tc>
        <w:tc>
          <w:tcPr>
            <w:tcW w:w="5760" w:type="dxa"/>
            <w:vAlign w:val="bottom"/>
            <w:tcBorders>
              <w:top w:val="single" w:sz="8" w:color="CCEEFF"/>
            </w:tcBorders>
          </w:tcPr>
          <w:p>
            <w:pPr>
              <w:ind w:left="1340"/>
              <w:spacing w:after="0"/>
              <w:rPr>
                <w:sz w:val="20"/>
                <w:szCs w:val="20"/>
                <w:color w:val="auto"/>
              </w:rPr>
            </w:pPr>
            <w:r>
              <w:rPr>
                <w:rFonts w:ascii="Times New Roman" w:cs="Times New Roman" w:eastAsia="Times New Roman" w:hAnsi="Times New Roman"/>
                <w:sz w:val="18"/>
                <w:szCs w:val="18"/>
                <w:color w:val="auto"/>
              </w:rPr>
              <w:t>4 times cash portion of annual retainer</w:t>
            </w:r>
          </w:p>
        </w:tc>
      </w:tr>
      <w:tr>
        <w:trPr>
          <w:trHeight w:val="23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Sprong (1)</w:t>
            </w:r>
          </w:p>
        </w:tc>
        <w:tc>
          <w:tcPr>
            <w:tcW w:w="3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Not applicable</w:t>
            </w:r>
          </w:p>
        </w:tc>
        <w:tc>
          <w:tcPr>
            <w:tcW w:w="57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2 times cash portion of annual retainer</w:t>
            </w:r>
          </w:p>
        </w:tc>
      </w:tr>
    </w:tbl>
    <w:p>
      <w:pPr>
        <w:spacing w:after="0" w:line="90" w:lineRule="exact"/>
        <w:rPr>
          <w:sz w:val="20"/>
          <w:szCs w:val="20"/>
          <w:color w:val="auto"/>
        </w:rPr>
      </w:pPr>
    </w:p>
    <w:p>
      <w:pPr>
        <w:jc w:val="both"/>
        <w:ind w:firstLine="8"/>
        <w:spacing w:after="0" w:line="266"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Sara Baack, Sergi Herrero, and Brad Sprong were appointed to the Board of Directors in February 2024, June 2024, and December 2024, respectively, and therefore are in the initial five-year compliance period and are required to retain 100% of vested shares net of tax until the ownership requirement is met.</w:t>
      </w:r>
    </w:p>
    <w:p>
      <w:pPr>
        <w:spacing w:after="0" w:line="94" w:lineRule="exact"/>
        <w:rPr>
          <w:rFonts w:ascii="Times New Roman" w:cs="Times New Roman" w:eastAsia="Times New Roman" w:hAnsi="Times New Roman"/>
          <w:sz w:val="18"/>
          <w:szCs w:val="18"/>
          <w:color w:val="auto"/>
        </w:rPr>
      </w:pPr>
    </w:p>
    <w:p>
      <w:pPr>
        <w:ind w:left="640" w:firstLine="57"/>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stock ownership guidelines do not apply to the other NEOs, all of the other NEOs currently have stock ownership levels well in excess of generally established guidelines (approximately two to four times their annual salary): As of December 31, 2025, Messrs. Weller, Caponecchi, Fountas and Bianchi hold shares (stock owned, stock issuable pursuant to options exercisable within 60 days of March 26, 2026 and beneficially owned stock at risk) valued at approximately 103, 71, 69, and 56 times their annual salaries,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Compensation policies and practices are designed to discourage inappropriate risk-taking including:</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ownership requirements for our CEO and Board of Directors.</w:t>
      </w:r>
    </w:p>
    <w:p>
      <w:pPr>
        <w:spacing w:after="0" w:line="27" w:lineRule="exact"/>
        <w:rPr>
          <w:sz w:val="20"/>
          <w:szCs w:val="20"/>
          <w:color w:val="auto"/>
        </w:rPr>
      </w:pPr>
    </w:p>
    <w:p>
      <w:pPr>
        <w:ind w:left="640" w:firstLine="57"/>
        <w:spacing w:after="0" w:line="250" w:lineRule="auto"/>
        <w:rPr>
          <w:sz w:val="20"/>
          <w:szCs w:val="20"/>
          <w:color w:val="auto"/>
        </w:rPr>
      </w:pPr>
      <w:r>
        <w:rPr>
          <w:rFonts w:ascii="Times New Roman" w:cs="Times New Roman" w:eastAsia="Times New Roman" w:hAnsi="Times New Roman"/>
          <w:sz w:val="18"/>
          <w:szCs w:val="18"/>
          <w:color w:val="auto"/>
        </w:rPr>
        <w:t>Incentive plans more heavily weighted toward long-term performance to reduce the incentive to impair the prospects for long-term performance in favor of maximizing performance in one year.</w:t>
      </w:r>
    </w:p>
    <w:p>
      <w:pPr>
        <w:ind w:left="640" w:firstLine="57"/>
        <w:spacing w:after="0" w:line="250" w:lineRule="auto"/>
        <w:rPr>
          <w:sz w:val="20"/>
          <w:szCs w:val="20"/>
          <w:color w:val="auto"/>
        </w:rPr>
      </w:pPr>
      <w:r>
        <w:rPr>
          <w:rFonts w:ascii="Times New Roman" w:cs="Times New Roman" w:eastAsia="Times New Roman" w:hAnsi="Times New Roman"/>
          <w:sz w:val="18"/>
          <w:szCs w:val="18"/>
          <w:color w:val="auto"/>
        </w:rPr>
        <w:t>Short-term and long-term incentive performance targets are established prior to the beginning of each performance period and are not subject to change.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40" w:firstLine="57"/>
        <w:spacing w:after="0" w:line="266" w:lineRule="auto"/>
        <w:rPr>
          <w:sz w:val="20"/>
          <w:szCs w:val="20"/>
          <w:color w:val="auto"/>
        </w:rPr>
      </w:pPr>
      <w:r>
        <w:rPr>
          <w:rFonts w:ascii="Times New Roman" w:cs="Times New Roman" w:eastAsia="Times New Roman" w:hAnsi="Times New Roman"/>
          <w:sz w:val="18"/>
          <w:szCs w:val="18"/>
          <w:color w:val="auto"/>
        </w:rPr>
        <w:t>The Compensation Committee annually reviews fixed versus variable pay mix, incentive plan metrics, and payout formulas as well as governance and compliance mechanisms such as approval authorities. The review completed in December 2023 found that no compensation programs, policies or practices were likely to have a material adverse impact on Euronet.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and Transfer of Awards</w:t>
      </w:r>
    </w:p>
    <w:p>
      <w:pPr>
        <w:spacing w:after="0" w:line="202" w:lineRule="exact"/>
        <w:rPr>
          <w:sz w:val="20"/>
          <w:szCs w:val="20"/>
          <w:color w:val="auto"/>
        </w:rPr>
      </w:pPr>
    </w:p>
    <w:p>
      <w:pPr>
        <w:jc w:val="both"/>
        <w:ind w:firstLine="414"/>
        <w:spacing w:after="0" w:line="281" w:lineRule="auto"/>
        <w:rPr>
          <w:sz w:val="20"/>
          <w:szCs w:val="20"/>
          <w:color w:val="auto"/>
        </w:rPr>
      </w:pPr>
      <w:r>
        <w:rPr>
          <w:rFonts w:ascii="Times New Roman" w:cs="Times New Roman" w:eastAsia="Times New Roman" w:hAnsi="Times New Roman"/>
          <w:sz w:val="18"/>
          <w:szCs w:val="18"/>
          <w:color w:val="auto"/>
        </w:rPr>
        <w:t>All stock option, restricted stock unit and performance-based restricted stock awards are granted under plans that specifically prohibit the sale, assignment and transfer of awards with limited exceptions such as the death of the award recipient. In addition, the Compensation Committee may allow an award holder to assign or transfer an award.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Recoupment/Clawback Policy</w:t>
      </w:r>
    </w:p>
    <w:p>
      <w:pPr>
        <w:spacing w:after="0" w:line="148"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In 2023, our Compensation Committee adopted our stand-alone clawback policy to comply with Nasdaq and SEC rules and to otherwise align with the prevailing market practice with respect to clawback policies. Under the policy, if Euronet is required to prepare an accounting restatement due to material noncompliance with any financial reporting requirement under the U.S. federal securities laws, the Compensation Committee shall, subject to limited exceptions, seek to recover “excess incentive-based compensation” from each individual who is a Section 16 officer or was a Section 16 officer during the performance period for such incentive-based compensation. For this purpose, excess incentive-based compensation generally is the amount of incentive-based compensation that is based on a financial performance measure that is in excess of the amount that otherwise would have been received had such incentive-based compensation been determined based on restated amounts in the accounting restatement. The clawback policy applies to incentive-based compensation for which the financial performance metric was attained during the three-year period preceding the date of the accounting restatement.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Treatment</w:t>
      </w:r>
    </w:p>
    <w:p>
      <w:pPr>
        <w:spacing w:after="0" w:line="135" w:lineRule="exact"/>
        <w:rPr>
          <w:sz w:val="20"/>
          <w:szCs w:val="20"/>
          <w:color w:val="auto"/>
        </w:rPr>
      </w:pPr>
    </w:p>
    <w:p>
      <w:pPr>
        <w:jc w:val="both"/>
        <w:ind w:firstLine="414"/>
        <w:spacing w:after="0" w:line="252" w:lineRule="auto"/>
        <w:rPr>
          <w:sz w:val="20"/>
          <w:szCs w:val="20"/>
          <w:color w:val="auto"/>
        </w:rPr>
      </w:pPr>
      <w:r>
        <w:rPr>
          <w:rFonts w:ascii="Times New Roman" w:cs="Times New Roman" w:eastAsia="Times New Roman" w:hAnsi="Times New Roman"/>
          <w:sz w:val="18"/>
          <w:szCs w:val="18"/>
          <w:color w:val="auto"/>
        </w:rPr>
        <w:t>Section 162(m) of the Internal Revenue Code (“Section 162(m)”) generally provides that publicly held companies may not deduct compensation paid to certain of their top executive officers to the extent such compensation exceeds $1 million per officer in any year. The exemption from the deduction limit under Section 162(m) for “performance-based compensation” has been repealed, effective for taxable years beginning after December 31, 2017, such that compensation paid to our “covered employees” in excess of $1 million will not be deductible unless it qualifies for transition relief applicable to certain arrangements in place as of November 2, 2017. The Compensation Committee will continue to monitor the applicability of Section 162(m) of the Code to its ongoing compensation arrangements. Because of ambiguities and uncertainties as to the application and interpretation of Section 162(m) and the regulations issued thereunder, including the uncertain scope of the transition relief under the legislation repealing the “performance-based compensation” exemption from the deduction limit, no assurance can be given that any compensation that may have been (or if granted under a binding written contract in place as of November 2, 2017 may be) intended to satisfy the requirements for exemption from Section 162(m), in fact will be exempt. In determining the form and amount of compensation for our NEOs, the Compensation Committee may continue to consider all elements of the cost of such compensation, including the potential impact of Section 162(m). While the Compensation Committee considers the deductibility of awards as one factor in determining executive compensation, the Compensation Committee may also look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Advisory Vote on Executive Compensation and our response to Stockholder outreach for Executive Compensation</w:t>
      </w:r>
    </w:p>
    <w:p>
      <w:pPr>
        <w:spacing w:after="0" w:line="135"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The Company conducts an advisory vote on executive compensation every year at its annual meeting. While the vote is not binding on the Company, the Board or the Compensation Committee, the Compensation Committee believes that an annual advisory vote on executive compensation offers stockholders the opportunity to express their views regarding the Company’s compensation program and the Compensation Committee’s decisions on executive compensation. The Board and the Compensation Committee value the opinions of stockholders and the Compensation Committee will consider stockholders’ concerns and evaluate whether any actions are necessary to address those concerns. We also understand that many of our stockholders cast their votes based on the recommendations of proxy advisory firms. After reaching out to the firms, we had a very productive engagement with ISS where they shared the rationale and logic behind their proxy vote recommendations. Their comments were considered along with input from our stockholders in shaping our governance and compensation structures.</w:t>
      </w:r>
    </w:p>
    <w:p>
      <w:pPr>
        <w:spacing w:after="0" w:line="97"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At last year's annual meeting of stockholders, we held an advisory vote on our executive compensation program, and approximately 88% of the votes cast were in support of the program. While still representing significant support of our compensation practices, we were nonetheless interested in continuing to improve, and we focused on understanding and responding to our stockholders' feedback reflected in this vote.</w:t>
      </w:r>
    </w:p>
    <w:p>
      <w:pPr>
        <w:sectPr>
          <w:pgSz w:w="11900" w:h="16838" w:orient="portrait"/>
          <w:cols w:equalWidth="0" w:num="1">
            <w:col w:w="11240"/>
          </w:cols>
          <w:pgMar w:left="320" w:top="120" w:right="339" w:bottom="299"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299" w:gutter="0" w:footer="0" w:header="0"/>
          <w:type w:val="continuous"/>
        </w:sectPr>
      </w:pPr>
    </w:p>
    <w:bookmarkStart w:id="26" w:name="page27"/>
    <w:bookmarkEnd w:id="26"/>
    <w:p>
      <w:pPr>
        <w:spacing w:after="0" w:line="70"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Throughout 2025, we conducted an extensive and proactive stockholder discussions focused on governance, executive compensation, and Board structure. These efforts were led by senior management, including our Chief Executive Officer (CEO), General Counsel and/or the Chief Financial Officer CFO, and were designed to ensure that we clearly understand and appropriately respond to stockholder priorities.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engagement during 2025 included:</w:t>
      </w:r>
    </w:p>
    <w:p>
      <w:pPr>
        <w:spacing w:after="0" w:line="140" w:lineRule="exact"/>
        <w:rPr>
          <w:sz w:val="20"/>
          <w:szCs w:val="20"/>
          <w:color w:val="auto"/>
        </w:rPr>
      </w:pPr>
    </w:p>
    <w:p>
      <w:pPr>
        <w:ind w:left="660" w:firstLine="57"/>
        <w:spacing w:after="0" w:line="263" w:lineRule="auto"/>
        <w:rPr>
          <w:sz w:val="20"/>
          <w:szCs w:val="20"/>
          <w:color w:val="auto"/>
        </w:rPr>
      </w:pPr>
      <w:r>
        <w:rPr>
          <w:rFonts w:ascii="Times New Roman" w:cs="Times New Roman" w:eastAsia="Times New Roman" w:hAnsi="Times New Roman"/>
          <w:sz w:val="18"/>
          <w:szCs w:val="18"/>
          <w:color w:val="auto"/>
        </w:rPr>
        <w:t xml:space="preserve">discussions with stockholders representing approximately </w:t>
      </w:r>
      <w:r>
        <w:rPr>
          <w:rFonts w:ascii="Times New Roman" w:cs="Times New Roman" w:eastAsia="Times New Roman" w:hAnsi="Times New Roman"/>
          <w:sz w:val="18"/>
          <w:szCs w:val="18"/>
          <w:b w:val="1"/>
          <w:bCs w:val="1"/>
          <w:color w:val="auto"/>
        </w:rPr>
        <w:t>38% of our outstanding common stock</w:t>
      </w:r>
      <w:r>
        <w:rPr>
          <w:rFonts w:ascii="Times New Roman" w:cs="Times New Roman" w:eastAsia="Times New Roman" w:hAnsi="Times New Roman"/>
          <w:sz w:val="18"/>
          <w:szCs w:val="18"/>
          <w:color w:val="auto"/>
        </w:rPr>
        <w:t>, covering topics such as Board refreshment, environmental, social and governance matters, executive compensation, and Board structure; and</w:t>
      </w:r>
    </w:p>
    <w:p>
      <w:pPr>
        <w:ind w:left="660" w:firstLine="57"/>
        <w:spacing w:after="0" w:line="260" w:lineRule="auto"/>
        <w:rPr>
          <w:sz w:val="20"/>
          <w:szCs w:val="20"/>
          <w:color w:val="auto"/>
        </w:rPr>
      </w:pPr>
      <w:r>
        <w:rPr>
          <w:rFonts w:ascii="Times New Roman" w:cs="Times New Roman" w:eastAsia="Times New Roman" w:hAnsi="Times New Roman"/>
          <w:sz w:val="18"/>
          <w:szCs w:val="18"/>
          <w:color w:val="auto"/>
        </w:rPr>
        <w:t xml:space="preserve">participation by our Chief Executive Officer and/or Chief Financial Officer in </w:t>
      </w:r>
      <w:r>
        <w:rPr>
          <w:rFonts w:ascii="Times New Roman" w:cs="Times New Roman" w:eastAsia="Times New Roman" w:hAnsi="Times New Roman"/>
          <w:sz w:val="18"/>
          <w:szCs w:val="18"/>
          <w:b w:val="1"/>
          <w:bCs w:val="1"/>
          <w:color w:val="auto"/>
        </w:rPr>
        <w:t>more than 174 meetings</w:t>
      </w:r>
      <w:r>
        <w:rPr>
          <w:rFonts w:ascii="Times New Roman" w:cs="Times New Roman" w:eastAsia="Times New Roman" w:hAnsi="Times New Roman"/>
          <w:sz w:val="18"/>
          <w:szCs w:val="18"/>
          <w:color w:val="auto"/>
        </w:rPr>
        <w:t xml:space="preserve"> with existing and prospective stockholders.</w:t>
      </w:r>
    </w:p>
    <w:p>
      <w:pPr>
        <w:spacing w:after="0" w:line="87"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These discussions provided valuable insight into stockholder expectations, particularly with respect to executive compensation design, Board composition and refreshment, and governance practices. Our Board and its committees carefully considered this feedback and, where appropriate, took meaningful actions to enhance our governance framework and strengthen alignment between executive compensation and long-term stockholder value.</w:t>
      </w:r>
    </w:p>
    <w:p>
      <w:pPr>
        <w:spacing w:after="0" w:line="81"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In response to stockholder feedback emphasizing alignment of executive compensation with total shareholder return and performance measures beyond adjusted EPS, the Company granted performance-based restricted stock awards to its Named Executive Officers in April 2025. The awards are designed so that a majority of the payout is tied to stock price performance and operating income.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award consists of three components:</w:t>
      </w:r>
    </w:p>
    <w:p>
      <w:pPr>
        <w:spacing w:after="0" w:line="12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Operating Income Component (40%)</w:t>
      </w:r>
    </w:p>
    <w:p>
      <w:pPr>
        <w:spacing w:after="0" w:line="31" w:lineRule="exact"/>
        <w:rPr>
          <w:rFonts w:ascii="Times New Roman" w:cs="Times New Roman" w:eastAsia="Times New Roman" w:hAnsi="Times New Roman"/>
          <w:sz w:val="18"/>
          <w:szCs w:val="18"/>
          <w:color w:val="auto"/>
        </w:rPr>
      </w:pPr>
    </w:p>
    <w:p>
      <w:pPr>
        <w:jc w:val="both"/>
        <w:ind w:left="3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Forty percent of the award will vest based on the Company’s ability to generate cumulative adjusted operating income of $200 million over the three-year performance period ending December 31, 2027. This component reinforces a focus on sustained profitability and operating discipline, independent of per-share metrics.</w:t>
      </w:r>
    </w:p>
    <w:p>
      <w:pPr>
        <w:spacing w:after="0" w:line="10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Constant Currency Earnings Per Share Component (24%)</w:t>
      </w:r>
    </w:p>
    <w:p>
      <w:pPr>
        <w:spacing w:after="0" w:line="31" w:lineRule="exact"/>
        <w:rPr>
          <w:rFonts w:ascii="Times New Roman" w:cs="Times New Roman" w:eastAsia="Times New Roman" w:hAnsi="Times New Roman"/>
          <w:sz w:val="18"/>
          <w:szCs w:val="18"/>
          <w:color w:val="auto"/>
        </w:rPr>
      </w:pPr>
    </w:p>
    <w:p>
      <w:pPr>
        <w:jc w:val="both"/>
        <w:ind w:left="3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Twenty-four percent of the award will vest at the end of the three-year performance period based on the Company’s achievement of compounded annual growth rates (“CAGR”) in adjusted constant currency earnings per share. One-third will vest at a 10% CAGR (threshold), two-thirds at a 12% CAGR (target), and 100% at a 14% CAGR (maximum). Vesting will occur upon the filing of the Company’s Annual Report on Form 10-K for the year ended December 31, 2027.</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Price and Operating Income Component (36%)</w:t>
      </w:r>
    </w:p>
    <w:p>
      <w:pPr>
        <w:spacing w:after="0" w:line="31" w:lineRule="exact"/>
        <w:rPr>
          <w:rFonts w:ascii="Times New Roman" w:cs="Times New Roman" w:eastAsia="Times New Roman" w:hAnsi="Times New Roman"/>
          <w:sz w:val="18"/>
          <w:szCs w:val="18"/>
          <w:color w:val="auto"/>
        </w:rPr>
      </w:pPr>
    </w:p>
    <w:p>
      <w:pPr>
        <w:jc w:val="both"/>
        <w:ind w:left="3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Thirty-six percent of the award is directly tied to total shareholder return, as reflected in stock price performance, and will vest only if both (i) the Company achieves cumulative adjusted operating income of $200 million for the three-year period and (ii) the Company’s stock price meets specified performance thresholds. One-third of this component will vest if the stock price reaches $113.12, two-thirds at $122.81, and 100% at $133.04. The stock price goal will be deemed achieved only if the Company’s stock closes at or above the applicable threshold for 30 consecutive trading days at any time prior to the third anniversary of the grant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COMPENSATION COMMITTEE REPORT</w:t>
      </w:r>
    </w:p>
    <w:p>
      <w:pPr>
        <w:spacing w:after="0" w:line="219" w:lineRule="exact"/>
        <w:rPr>
          <w:sz w:val="20"/>
          <w:szCs w:val="20"/>
          <w:color w:val="auto"/>
        </w:rPr>
      </w:pPr>
    </w:p>
    <w:p>
      <w:pPr>
        <w:ind w:right="300" w:firstLine="639"/>
        <w:spacing w:after="0" w:line="282" w:lineRule="auto"/>
        <w:rPr>
          <w:sz w:val="20"/>
          <w:szCs w:val="20"/>
          <w:color w:val="auto"/>
        </w:rPr>
      </w:pPr>
      <w:r>
        <w:rPr>
          <w:rFonts w:ascii="Times New Roman" w:cs="Times New Roman" w:eastAsia="Times New Roman" w:hAnsi="Times New Roman"/>
          <w:sz w:val="18"/>
          <w:szCs w:val="18"/>
          <w:color w:val="auto"/>
        </w:rPr>
        <w:t>The Compensation Committee has reviewed the Compensation Discussion and Analysis presented above with management, and, based on that review, has recommended to the Board that the Compensation Discussion and Analysis be included in this proxy statement.</w:t>
      </w:r>
    </w:p>
    <w:p>
      <w:pPr>
        <w:spacing w:after="0" w:line="10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Michael N. Frumkin, Chair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Thomas A. McDonnell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Sergi Herrero</w:t>
      </w:r>
    </w:p>
    <w:p>
      <w:pPr>
        <w:spacing w:after="0" w:line="207" w:lineRule="exact"/>
        <w:rPr>
          <w:sz w:val="20"/>
          <w:szCs w:val="20"/>
          <w:color w:val="auto"/>
        </w:rPr>
      </w:pPr>
    </w:p>
    <w:p>
      <w:pPr>
        <w:jc w:val="both"/>
        <w:ind w:firstLine="279"/>
        <w:spacing w:after="0" w:line="282" w:lineRule="auto"/>
        <w:rPr>
          <w:sz w:val="20"/>
          <w:szCs w:val="20"/>
          <w:color w:val="auto"/>
        </w:rPr>
      </w:pPr>
      <w:r>
        <w:rPr>
          <w:rFonts w:ascii="Times New Roman" w:cs="Times New Roman" w:eastAsia="Times New Roman" w:hAnsi="Times New Roman"/>
          <w:sz w:val="18"/>
          <w:szCs w:val="18"/>
          <w:color w:val="auto"/>
        </w:rPr>
        <w:t>The Compensation Committee report and the “Compensation Discussion and Analysis” are not deemed “soliciting material” and is not deemed filed with the SEC or subject to Regulation 14A or the liabilities under Section 18 of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COMPENSATION TABLES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awarded or paid to our Chief Executive Officer, our Chief Financial Officer and the three other most highly compensated of our executive officers (the “Named Executive Officers”) for the year ended December 31, 2025 for the periods indicated: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3"/>
                <w:szCs w:val="13"/>
                <w:color w:val="auto"/>
              </w:rPr>
            </w:pPr>
          </w:p>
        </w:tc>
        <w:tc>
          <w:tcPr>
            <w:tcW w:w="130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vMerge w:val="restart"/>
          </w:tcPr>
          <w:p>
            <w:pPr>
              <w:spacing w:after="0"/>
              <w:rPr>
                <w:sz w:val="12"/>
                <w:szCs w:val="12"/>
                <w:color w:val="auto"/>
              </w:rPr>
            </w:pP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Awards(2)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Michael J. Brown</w:t>
            </w: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00" w:type="dxa"/>
            <w:vAlign w:val="bottom"/>
            <w:vMerge w:val="continue"/>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925,000</w:t>
            </w:r>
          </w:p>
        </w:tc>
        <w:tc>
          <w:tcPr>
            <w:tcW w:w="11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11,575(4)$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2,786,575</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Chairman, Chief Executive Officer and</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925,000</w:t>
            </w:r>
          </w:p>
        </w:tc>
        <w:tc>
          <w:tcPr>
            <w:tcW w:w="100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5,202,124</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5,202,073</w:t>
            </w: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2,775,000</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11,425</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14,115,622</w:t>
            </w:r>
          </w:p>
        </w:tc>
        <w:tc>
          <w:tcPr>
            <w:tcW w:w="0" w:type="dxa"/>
            <w:vAlign w:val="bottom"/>
          </w:tcPr>
          <w:p>
            <w:pPr>
              <w:spacing w:after="0"/>
              <w:rPr>
                <w:sz w:val="1"/>
                <w:szCs w:val="1"/>
                <w:color w:val="auto"/>
              </w:rPr>
            </w:pPr>
          </w:p>
        </w:tc>
      </w:tr>
      <w:tr>
        <w:trPr>
          <w:trHeight w:val="104"/>
        </w:trPr>
        <w:tc>
          <w:tcPr>
            <w:tcW w:w="26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President</w:t>
            </w:r>
          </w:p>
        </w:tc>
        <w:tc>
          <w:tcPr>
            <w:tcW w:w="9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tcBorders>
              <w:right w:val="single" w:sz="8" w:color="CCEEFF"/>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600" w:type="dxa"/>
            <w:vAlign w:val="bottom"/>
            <w:vMerge w:val="continue"/>
            <w:shd w:val="clear" w:color="auto" w:fill="CCEEFF"/>
          </w:tcPr>
          <w:p>
            <w:pPr>
              <w:spacing w:after="0"/>
              <w:rPr>
                <w:sz w:val="7"/>
                <w:szCs w:val="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850,000</w:t>
            </w:r>
          </w:p>
        </w:tc>
        <w:tc>
          <w:tcPr>
            <w:tcW w:w="100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7"/>
                <w:szCs w:val="7"/>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5,202,163</w:t>
            </w:r>
          </w:p>
        </w:tc>
        <w:tc>
          <w:tcPr>
            <w:tcW w:w="140" w:type="dxa"/>
            <w:vAlign w:val="bottom"/>
            <w:shd w:val="clear" w:color="auto" w:fill="CCEEFF"/>
          </w:tcPr>
          <w:p>
            <w:pPr>
              <w:spacing w:after="0"/>
              <w:rPr>
                <w:sz w:val="7"/>
                <w:szCs w:val="7"/>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5,202,097</w:t>
            </w:r>
          </w:p>
        </w:tc>
        <w:tc>
          <w:tcPr>
            <w:tcW w:w="100" w:type="dxa"/>
            <w:vAlign w:val="bottom"/>
            <w:shd w:val="clear" w:color="auto" w:fill="CCEEFF"/>
          </w:tcPr>
          <w:p>
            <w:pPr>
              <w:spacing w:after="0"/>
              <w:rPr>
                <w:sz w:val="7"/>
                <w:szCs w:val="7"/>
                <w:color w:val="auto"/>
              </w:rPr>
            </w:pPr>
          </w:p>
        </w:tc>
        <w:tc>
          <w:tcPr>
            <w:tcW w:w="10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2,550,000</w:t>
            </w:r>
          </w:p>
        </w:tc>
        <w:tc>
          <w:tcPr>
            <w:tcW w:w="100" w:type="dxa"/>
            <w:vAlign w:val="bottom"/>
            <w:shd w:val="clear" w:color="auto" w:fill="CCEEFF"/>
          </w:tcPr>
          <w:p>
            <w:pPr>
              <w:spacing w:after="0"/>
              <w:rPr>
                <w:sz w:val="7"/>
                <w:szCs w:val="7"/>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12,008</w:t>
            </w:r>
          </w:p>
        </w:tc>
        <w:tc>
          <w:tcPr>
            <w:tcW w:w="22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13,816,268</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Rick L. Weller</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550,000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5,402,072</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916,667</w:t>
            </w: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11,575(4)</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6,880,314</w:t>
            </w:r>
          </w:p>
        </w:tc>
        <w:tc>
          <w:tcPr>
            <w:tcW w:w="0" w:type="dxa"/>
            <w:vAlign w:val="bottom"/>
          </w:tcPr>
          <w:p>
            <w:pPr>
              <w:spacing w:after="0"/>
              <w:rPr>
                <w:sz w:val="1"/>
                <w:szCs w:val="1"/>
                <w:color w:val="auto"/>
              </w:rPr>
            </w:pPr>
          </w:p>
        </w:tc>
      </w:tr>
      <w:tr>
        <w:trPr>
          <w:trHeight w:val="149"/>
        </w:trPr>
        <w:tc>
          <w:tcPr>
            <w:tcW w:w="26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Executive Vice President and Chief</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550,000</w:t>
            </w:r>
          </w:p>
        </w:tc>
        <w:tc>
          <w:tcPr>
            <w:tcW w:w="10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2,000,048</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2,000,016</w:t>
            </w:r>
          </w:p>
        </w:tc>
        <w:tc>
          <w:tcPr>
            <w:tcW w:w="100" w:type="dxa"/>
            <w:vAlign w:val="bottom"/>
          </w:tcPr>
          <w:p>
            <w:pPr>
              <w:spacing w:after="0"/>
              <w:rPr>
                <w:sz w:val="12"/>
                <w:szCs w:val="12"/>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1,375,000</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11,425</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5,936,489</w:t>
            </w:r>
          </w:p>
        </w:tc>
        <w:tc>
          <w:tcPr>
            <w:tcW w:w="0" w:type="dxa"/>
            <w:vAlign w:val="bottom"/>
          </w:tcPr>
          <w:p>
            <w:pPr>
              <w:spacing w:after="0"/>
              <w:rPr>
                <w:sz w:val="1"/>
                <w:szCs w:val="1"/>
                <w:color w:val="auto"/>
              </w:rPr>
            </w:pPr>
          </w:p>
        </w:tc>
      </w:tr>
      <w:tr>
        <w:trPr>
          <w:trHeight w:val="121"/>
        </w:trPr>
        <w:tc>
          <w:tcPr>
            <w:tcW w:w="2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Financial Officer</w:t>
            </w:r>
          </w:p>
        </w:tc>
        <w:tc>
          <w:tcPr>
            <w:tcW w:w="10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00" w:type="dxa"/>
            <w:vAlign w:val="bottom"/>
            <w:vMerge w:val="continue"/>
          </w:tcPr>
          <w:p>
            <w:pPr>
              <w:spacing w:after="0"/>
              <w:rPr>
                <w:sz w:val="5"/>
                <w:szCs w:val="5"/>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5"/>
                <w:szCs w:val="5"/>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10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5"/>
                <w:szCs w:val="5"/>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1,582,968</w:t>
            </w:r>
          </w:p>
        </w:tc>
        <w:tc>
          <w:tcPr>
            <w:tcW w:w="140" w:type="dxa"/>
            <w:vAlign w:val="bottom"/>
          </w:tcPr>
          <w:p>
            <w:pPr>
              <w:spacing w:after="0"/>
              <w:rPr>
                <w:sz w:val="5"/>
                <w:szCs w:val="5"/>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1,582,934</w:t>
            </w:r>
          </w:p>
        </w:tc>
        <w:tc>
          <w:tcPr>
            <w:tcW w:w="100" w:type="dxa"/>
            <w:vAlign w:val="bottom"/>
          </w:tcPr>
          <w:p>
            <w:pPr>
              <w:spacing w:after="0"/>
              <w:rPr>
                <w:sz w:val="5"/>
                <w:szCs w:val="5"/>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1,250,000</w:t>
            </w:r>
          </w:p>
        </w:tc>
        <w:tc>
          <w:tcPr>
            <w:tcW w:w="100" w:type="dxa"/>
            <w:vAlign w:val="bottom"/>
          </w:tcPr>
          <w:p>
            <w:pPr>
              <w:spacing w:after="0"/>
              <w:rPr>
                <w:sz w:val="5"/>
                <w:szCs w:val="5"/>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12,008</w:t>
            </w:r>
          </w:p>
        </w:tc>
        <w:tc>
          <w:tcPr>
            <w:tcW w:w="22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4,927,910</w:t>
            </w:r>
          </w:p>
        </w:tc>
        <w:tc>
          <w:tcPr>
            <w:tcW w:w="0" w:type="dxa"/>
            <w:vAlign w:val="bottom"/>
          </w:tcPr>
          <w:p>
            <w:pPr>
              <w:spacing w:after="0"/>
              <w:rPr>
                <w:sz w:val="1"/>
                <w:szCs w:val="1"/>
                <w:color w:val="auto"/>
              </w:rPr>
            </w:pPr>
          </w:p>
        </w:tc>
      </w:tr>
      <w:tr>
        <w:trPr>
          <w:trHeight w:val="159"/>
        </w:trPr>
        <w:tc>
          <w:tcPr>
            <w:tcW w:w="26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Nikos Fountas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525,000</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5,402,072</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92,351(3)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6,719,423</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Executive Vice President and CEO, EFT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525,000</w:t>
            </w:r>
          </w:p>
        </w:tc>
        <w:tc>
          <w:tcPr>
            <w:tcW w:w="100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1,483,523</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1,483,495</w:t>
            </w: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1,050,000</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140,000</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4,682,018</w:t>
            </w:r>
          </w:p>
        </w:tc>
        <w:tc>
          <w:tcPr>
            <w:tcW w:w="0" w:type="dxa"/>
            <w:vAlign w:val="bottom"/>
          </w:tcPr>
          <w:p>
            <w:pPr>
              <w:spacing w:after="0"/>
              <w:rPr>
                <w:sz w:val="1"/>
                <w:szCs w:val="1"/>
                <w:color w:val="auto"/>
              </w:rPr>
            </w:pPr>
          </w:p>
        </w:tc>
      </w:tr>
      <w:tr>
        <w:trPr>
          <w:trHeight w:val="104"/>
        </w:trPr>
        <w:tc>
          <w:tcPr>
            <w:tcW w:w="26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EMEA Division</w:t>
            </w:r>
          </w:p>
        </w:tc>
        <w:tc>
          <w:tcPr>
            <w:tcW w:w="9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tcBorders>
              <w:right w:val="single" w:sz="8" w:color="CCEEFF"/>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600" w:type="dxa"/>
            <w:vAlign w:val="bottom"/>
            <w:vMerge w:val="continue"/>
            <w:shd w:val="clear" w:color="auto" w:fill="CCEEFF"/>
          </w:tcPr>
          <w:p>
            <w:pPr>
              <w:spacing w:after="0"/>
              <w:rPr>
                <w:sz w:val="7"/>
                <w:szCs w:val="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426,247</w:t>
            </w:r>
          </w:p>
        </w:tc>
        <w:tc>
          <w:tcPr>
            <w:tcW w:w="100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7"/>
                <w:szCs w:val="7"/>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1,483,517</w:t>
            </w:r>
          </w:p>
        </w:tc>
        <w:tc>
          <w:tcPr>
            <w:tcW w:w="140" w:type="dxa"/>
            <w:vAlign w:val="bottom"/>
            <w:shd w:val="clear" w:color="auto" w:fill="CCEEFF"/>
          </w:tcPr>
          <w:p>
            <w:pPr>
              <w:spacing w:after="0"/>
              <w:rPr>
                <w:sz w:val="7"/>
                <w:szCs w:val="7"/>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1,483,503</w:t>
            </w:r>
          </w:p>
        </w:tc>
        <w:tc>
          <w:tcPr>
            <w:tcW w:w="100" w:type="dxa"/>
            <w:vAlign w:val="bottom"/>
            <w:shd w:val="clear" w:color="auto" w:fill="CCEEFF"/>
          </w:tcPr>
          <w:p>
            <w:pPr>
              <w:spacing w:after="0"/>
              <w:rPr>
                <w:sz w:val="7"/>
                <w:szCs w:val="7"/>
                <w:color w:val="auto"/>
              </w:rPr>
            </w:pPr>
          </w:p>
        </w:tc>
        <w:tc>
          <w:tcPr>
            <w:tcW w:w="10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874,800</w:t>
            </w:r>
          </w:p>
        </w:tc>
        <w:tc>
          <w:tcPr>
            <w:tcW w:w="100" w:type="dxa"/>
            <w:vAlign w:val="bottom"/>
            <w:shd w:val="clear" w:color="auto" w:fill="CCEEFF"/>
          </w:tcPr>
          <w:p>
            <w:pPr>
              <w:spacing w:after="0"/>
              <w:rPr>
                <w:sz w:val="7"/>
                <w:szCs w:val="7"/>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146,053</w:t>
            </w:r>
          </w:p>
        </w:tc>
        <w:tc>
          <w:tcPr>
            <w:tcW w:w="22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4,414,120</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908" w:orient="portrait"/>
          <w:cols w:equalWidth="0" w:num="1">
            <w:col w:w="11240"/>
          </w:cols>
          <w:pgMar w:left="320" w:top="121" w:right="339" w:bottom="0" w:gutter="0" w:footer="0" w:header="0"/>
        </w:sectPr>
      </w:pPr>
    </w:p>
    <w:p>
      <w:pPr>
        <w:ind w:left="40"/>
        <w:spacing w:after="0"/>
        <w:rPr>
          <w:sz w:val="20"/>
          <w:szCs w:val="20"/>
          <w:color w:val="auto"/>
        </w:rPr>
      </w:pPr>
      <w:r>
        <w:rPr>
          <w:rFonts w:ascii="Times New Roman" w:cs="Times New Roman" w:eastAsia="Times New Roman" w:hAnsi="Times New Roman"/>
          <w:sz w:val="14"/>
          <w:szCs w:val="14"/>
          <w:b w:val="1"/>
          <w:bCs w:val="1"/>
          <w:color w:val="auto"/>
        </w:rPr>
        <w:t>Kevin J. Caponecchi</w:t>
      </w:r>
    </w:p>
    <w:p>
      <w:pPr>
        <w:spacing w:after="0" w:line="6" w:lineRule="exact"/>
        <w:rPr>
          <w:sz w:val="20"/>
          <w:szCs w:val="20"/>
          <w:color w:val="auto"/>
        </w:rPr>
      </w:pPr>
    </w:p>
    <w:p>
      <w:pPr>
        <w:ind w:left="100" w:right="20"/>
        <w:spacing w:after="0" w:line="239" w:lineRule="auto"/>
        <w:rPr>
          <w:sz w:val="20"/>
          <w:szCs w:val="20"/>
          <w:color w:val="auto"/>
        </w:rPr>
      </w:pPr>
      <w:r>
        <w:rPr>
          <w:rFonts w:ascii="Times New Roman" w:cs="Times New Roman" w:eastAsia="Times New Roman" w:hAnsi="Times New Roman"/>
          <w:sz w:val="14"/>
          <w:szCs w:val="14"/>
          <w:color w:val="auto"/>
        </w:rPr>
        <w:t>Executive Vice President and CEO, epay, Software and EFT Asia Pacific Division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92"/>
              </w:rPr>
              <w:t>2025</w:t>
            </w:r>
          </w:p>
        </w:tc>
        <w:tc>
          <w:tcPr>
            <w:tcW w:w="12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525,000</w:t>
            </w:r>
          </w:p>
        </w:tc>
        <w:tc>
          <w:tcPr>
            <w:tcW w:w="7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5,402,072</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700,000</w:t>
            </w:r>
          </w:p>
        </w:tc>
        <w:tc>
          <w:tcPr>
            <w:tcW w:w="1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11,663(4)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6,638,735</w:t>
            </w:r>
          </w:p>
        </w:tc>
      </w:tr>
      <w:tr>
        <w:trPr>
          <w:trHeight w:val="190"/>
        </w:trPr>
        <w:tc>
          <w:tcPr>
            <w:tcW w:w="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92"/>
              </w:rPr>
              <w:t>2024</w:t>
            </w:r>
          </w:p>
        </w:tc>
        <w:tc>
          <w:tcPr>
            <w:tcW w:w="12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525,000</w:t>
            </w:r>
          </w:p>
        </w:tc>
        <w:tc>
          <w:tcPr>
            <w:tcW w:w="7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1,483,523</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1,483,495</w:t>
            </w:r>
          </w:p>
        </w:tc>
        <w:tc>
          <w:tcPr>
            <w:tcW w:w="12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1,050,000</w:t>
            </w:r>
          </w:p>
        </w:tc>
        <w:tc>
          <w:tcPr>
            <w:tcW w:w="1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11,513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4,553,531</w:t>
            </w:r>
          </w:p>
        </w:tc>
      </w:tr>
      <w:tr>
        <w:trPr>
          <w:trHeight w:val="188"/>
        </w:trPr>
        <w:tc>
          <w:tcPr>
            <w:tcW w:w="6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92"/>
              </w:rPr>
              <w:t>2023</w:t>
            </w:r>
          </w:p>
        </w:tc>
        <w:tc>
          <w:tcPr>
            <w:tcW w:w="12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450,000</w:t>
            </w:r>
          </w:p>
        </w:tc>
        <w:tc>
          <w:tcPr>
            <w:tcW w:w="7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1,483,517</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1,483,503</w:t>
            </w:r>
          </w:p>
        </w:tc>
        <w:tc>
          <w:tcPr>
            <w:tcW w:w="12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900,000</w:t>
            </w:r>
          </w:p>
        </w:tc>
        <w:tc>
          <w:tcPr>
            <w:tcW w:w="1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11,563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4,328,583</w:t>
            </w:r>
          </w:p>
        </w:tc>
      </w:tr>
    </w:tbl>
    <w:p>
      <w:pPr>
        <w:sectPr>
          <w:pgSz w:w="11900" w:h="16908" w:orient="portrait"/>
          <w:cols w:equalWidth="0" w:num="2">
            <w:col w:w="2500" w:space="720"/>
            <w:col w:w="8020"/>
          </w:cols>
          <w:pgMar w:left="320" w:top="121" w:right="339" w:bottom="0" w:gutter="0" w:footer="0" w:header="0"/>
          <w:type w:val="continuous"/>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Juan C. Bianchi</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2025</w:t>
            </w:r>
          </w:p>
        </w:tc>
        <w:tc>
          <w:tcPr>
            <w:tcW w:w="12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525,000</w:t>
            </w:r>
          </w:p>
        </w:tc>
        <w:tc>
          <w:tcPr>
            <w:tcW w:w="7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5,402,072</w:t>
            </w:r>
          </w:p>
        </w:tc>
        <w:tc>
          <w:tcPr>
            <w:tcW w:w="11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700,000</w:t>
            </w:r>
          </w:p>
        </w:tc>
        <w:tc>
          <w:tcPr>
            <w:tcW w:w="1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56,562(3)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6,683,634</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Executive Vice President and CEO,</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525,000</w:t>
            </w:r>
          </w:p>
        </w:tc>
        <w:tc>
          <w:tcPr>
            <w:tcW w:w="78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1,483,523</w:t>
            </w:r>
          </w:p>
        </w:tc>
        <w:tc>
          <w:tcPr>
            <w:tcW w:w="11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1,483,495</w:t>
            </w:r>
          </w:p>
        </w:tc>
        <w:tc>
          <w:tcPr>
            <w:tcW w:w="120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1,050,000</w:t>
            </w:r>
          </w:p>
        </w:tc>
        <w:tc>
          <w:tcPr>
            <w:tcW w:w="11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53,992</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4,596,010</w:t>
            </w:r>
          </w:p>
        </w:tc>
        <w:tc>
          <w:tcPr>
            <w:tcW w:w="0" w:type="dxa"/>
            <w:vAlign w:val="bottom"/>
          </w:tcPr>
          <w:p>
            <w:pPr>
              <w:spacing w:after="0"/>
              <w:rPr>
                <w:sz w:val="1"/>
                <w:szCs w:val="1"/>
                <w:color w:val="auto"/>
              </w:rPr>
            </w:pPr>
          </w:p>
        </w:tc>
      </w:tr>
      <w:tr>
        <w:trPr>
          <w:trHeight w:val="104"/>
        </w:trPr>
        <w:tc>
          <w:tcPr>
            <w:tcW w:w="26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Transfer Segment</w:t>
            </w:r>
          </w:p>
        </w:tc>
        <w:tc>
          <w:tcPr>
            <w:tcW w:w="90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600" w:type="dxa"/>
            <w:vAlign w:val="bottom"/>
            <w:vMerge w:val="continue"/>
            <w:shd w:val="clear" w:color="auto" w:fill="CCEEFF"/>
          </w:tcPr>
          <w:p>
            <w:pPr>
              <w:spacing w:after="0"/>
              <w:rPr>
                <w:sz w:val="7"/>
                <w:szCs w:val="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shd w:val="clear" w:color="auto" w:fill="CCEEFF"/>
          </w:tcPr>
          <w:p>
            <w:pPr>
              <w:spacing w:after="0"/>
              <w:rPr>
                <w:sz w:val="7"/>
                <w:szCs w:val="7"/>
                <w:color w:val="auto"/>
              </w:rPr>
            </w:pPr>
          </w:p>
        </w:tc>
        <w:tc>
          <w:tcPr>
            <w:tcW w:w="1280" w:type="dxa"/>
            <w:vAlign w:val="bottom"/>
            <w:vMerge w:val="restart"/>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450,000</w:t>
            </w:r>
          </w:p>
        </w:tc>
        <w:tc>
          <w:tcPr>
            <w:tcW w:w="78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1,483,517</w:t>
            </w:r>
          </w:p>
        </w:tc>
        <w:tc>
          <w:tcPr>
            <w:tcW w:w="11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1,483,503</w:t>
            </w:r>
          </w:p>
        </w:tc>
        <w:tc>
          <w:tcPr>
            <w:tcW w:w="120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900,000</w:t>
            </w:r>
          </w:p>
        </w:tc>
        <w:tc>
          <w:tcPr>
            <w:tcW w:w="11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49,984</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4,367,004</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60" w:hanging="229"/>
        <w:spacing w:after="0" w:line="253"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restricted stock is computed in accordance with the provisions of Financial Accounting Standards Board (“FASB”) Accounting Standards Codification (“ASC”) Topic 718, Compensation — Stock Compensation. Assumptions used in calculating the aggregate grant date fair value in accordance with ASC Topic 718 are set out in Note 16 to our audited consolidated financial statements contained in the Form 10-K for the fiscal year ended December 31, 2025. Restricted stock awards for each fiscal year include awards subject to performance conditions that were valued based on the assumption the highest level of the performance targets would be achieved for 2024 and 2023. The Company determined the 2025 performance level based on a target estimate consistent with ASC Topic 718.</w:t>
      </w:r>
    </w:p>
    <w:p>
      <w:pPr>
        <w:spacing w:after="0" w:line="5" w:lineRule="exact"/>
        <w:rPr>
          <w:rFonts w:ascii="Times New Roman" w:cs="Times New Roman" w:eastAsia="Times New Roman" w:hAnsi="Times New Roman"/>
          <w:sz w:val="18"/>
          <w:szCs w:val="18"/>
          <w:color w:val="auto"/>
        </w:rPr>
      </w:pPr>
    </w:p>
    <w:p>
      <w:pPr>
        <w:jc w:val="both"/>
        <w:ind w:left="660" w:hanging="229"/>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stock options is computed in accordance with the provisions of ASC Topic 718. Amounts represent the grant date fair value determined using the Black-Scholes-Merton model or a Monte Carlo simulation. The grant date fair values are only theoretical values and may not accurately determine present value. The actual value, if any, to be realized from an option will depend on the excess of the market value of the Common Stock over the exercise price on the date the option is exercised. Assumptions used in calculating the aggregate grant date fair value in accordance with ASC Topic 718 are set out in Note 16 to our audited consolidated financial statements contained in the Form 10-K for the fiscal year ended December 31, 2025.</w:t>
      </w:r>
    </w:p>
    <w:p>
      <w:pPr>
        <w:spacing w:after="0" w:line="2" w:lineRule="exact"/>
        <w:rPr>
          <w:rFonts w:ascii="Times New Roman" w:cs="Times New Roman" w:eastAsia="Times New Roman" w:hAnsi="Times New Roman"/>
          <w:sz w:val="18"/>
          <w:szCs w:val="18"/>
          <w:color w:val="auto"/>
        </w:rPr>
      </w:pPr>
    </w:p>
    <w:p>
      <w:pPr>
        <w:ind w:left="660" w:hanging="229"/>
        <w:spacing w:after="0" w:line="26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incremental costs to the Company of each perquisite or other benefits that are required to be quantified by SEC rules: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Euronet</w:t>
            </w:r>
          </w:p>
        </w:tc>
        <w:tc>
          <w:tcPr>
            <w:tcW w:w="130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Health and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401(K) Plan</w:t>
            </w:r>
          </w:p>
        </w:tc>
        <w:tc>
          <w:tcPr>
            <w:tcW w:w="130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Matching</w:t>
            </w:r>
          </w:p>
        </w:tc>
        <w:tc>
          <w:tcPr>
            <w:tcW w:w="130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Group Life</w:t>
            </w:r>
          </w:p>
        </w:tc>
        <w:tc>
          <w:tcPr>
            <w:tcW w:w="86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Home Rent</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Tuition</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1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Vehicle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Nikos Fountas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92,351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92,351</w:t>
            </w:r>
          </w:p>
        </w:tc>
        <w:tc>
          <w:tcPr>
            <w:tcW w:w="0" w:type="dxa"/>
            <w:vAlign w:val="bottom"/>
          </w:tcPr>
          <w:p>
            <w:pPr>
              <w:spacing w:after="0"/>
              <w:rPr>
                <w:sz w:val="1"/>
                <w:szCs w:val="1"/>
                <w:color w:val="auto"/>
              </w:rPr>
            </w:pPr>
          </w:p>
        </w:tc>
      </w:tr>
      <w:tr>
        <w:trPr>
          <w:trHeight w:val="257"/>
        </w:trPr>
        <w:tc>
          <w:tcPr>
            <w:tcW w:w="2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Juan C. Bianchi</w:t>
            </w: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Pr>
          <w:p>
            <w:pPr>
              <w:spacing w:after="0"/>
              <w:rPr>
                <w:sz w:val="22"/>
                <w:szCs w:val="22"/>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38,862(a)</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82" w:lineRule="auto"/>
        <w:tabs>
          <w:tab w:leader="none" w:pos="2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Bianchi is Executive Vice President - Chief Executive Officer, Money Transfer Segment, which is headquartered in California, and as such, he participates in a health insurance plan that is not generally available to all salaried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422"/>
        <w:spacing w:after="0" w:line="282" w:lineRule="auto"/>
        <w:tabs>
          <w:tab w:leader="none" w:pos="6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for Messrs. Brown, Weller and Caponecchi is comprised of matching contributions under the Euronet 401(k) Plan and group life insurance premiums.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2025</w:t>
      </w:r>
    </w:p>
    <w:p>
      <w:pPr>
        <w:spacing w:after="0" w:line="18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following table summarizes estimated possible payouts under non-equity incentive plan awards made to Named Executive Officers during the fiscal year ended December 31, 2025. See "Compensation Discussion and Analysis - Elements of Compensation - Annual Non-Equity Incentive Compensation" on page 37 for a description of the performance criteria for these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20" w:type="dxa"/>
            <w:vAlign w:val="bottom"/>
            <w:gridSpan w:val="9"/>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Possible Payouts Under Non-Equity Incentive Plan Awards</w:t>
            </w:r>
          </w:p>
        </w:tc>
        <w:tc>
          <w:tcPr>
            <w:tcW w:w="0" w:type="dxa"/>
            <w:vAlign w:val="bottom"/>
          </w:tcPr>
          <w:p>
            <w:pPr>
              <w:spacing w:after="0"/>
              <w:rPr>
                <w:sz w:val="1"/>
                <w:szCs w:val="1"/>
                <w:color w:val="auto"/>
              </w:rPr>
            </w:pPr>
          </w:p>
        </w:tc>
      </w:tr>
      <w:tr>
        <w:trPr>
          <w:trHeight w:val="30"/>
        </w:trPr>
        <w:tc>
          <w:tcPr>
            <w:tcW w:w="7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3"/>
                <w:szCs w:val="13"/>
                <w:b w:val="1"/>
                <w:bCs w:val="1"/>
                <w:color w:val="auto"/>
                <w:w w:val="96"/>
              </w:rPr>
              <w:t>Target ($)</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0" w:type="dxa"/>
            <w:vAlign w:val="bottom"/>
          </w:tcPr>
          <w:p>
            <w:pPr>
              <w:spacing w:after="0"/>
              <w:rPr>
                <w:sz w:val="1"/>
                <w:szCs w:val="1"/>
                <w:color w:val="auto"/>
              </w:rPr>
            </w:pPr>
          </w:p>
        </w:tc>
      </w:tr>
      <w:tr>
        <w:trPr>
          <w:trHeight w:val="278"/>
        </w:trPr>
        <w:tc>
          <w:tcPr>
            <w:tcW w:w="7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Michael J. Brown</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639,750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1,387,500</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2,775,000</w:t>
            </w:r>
          </w:p>
        </w:tc>
        <w:tc>
          <w:tcPr>
            <w:tcW w:w="0" w:type="dxa"/>
            <w:vAlign w:val="bottom"/>
          </w:tcPr>
          <w:p>
            <w:pPr>
              <w:spacing w:after="0"/>
              <w:rPr>
                <w:sz w:val="1"/>
                <w:szCs w:val="1"/>
                <w:color w:val="auto"/>
              </w:rPr>
            </w:pPr>
          </w:p>
        </w:tc>
      </w:tr>
      <w:tr>
        <w:trPr>
          <w:trHeight w:val="277"/>
        </w:trPr>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Rick L. Weller</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412,500</w:t>
            </w:r>
          </w:p>
        </w:tc>
        <w:tc>
          <w:tcPr>
            <w:tcW w:w="2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687,500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0" w:type="dxa"/>
            <w:vAlign w:val="bottom"/>
          </w:tcPr>
          <w:p>
            <w:pPr>
              <w:spacing w:after="0"/>
              <w:rPr>
                <w:sz w:val="1"/>
                <w:szCs w:val="1"/>
                <w:color w:val="auto"/>
              </w:rPr>
            </w:pPr>
          </w:p>
        </w:tc>
      </w:tr>
      <w:tr>
        <w:trPr>
          <w:trHeight w:val="290"/>
        </w:trPr>
        <w:tc>
          <w:tcPr>
            <w:tcW w:w="7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Nikos Fountas</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262,500</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0" w:type="dxa"/>
            <w:vAlign w:val="bottom"/>
          </w:tcPr>
          <w:p>
            <w:pPr>
              <w:spacing w:after="0"/>
              <w:rPr>
                <w:sz w:val="1"/>
                <w:szCs w:val="1"/>
                <w:color w:val="auto"/>
              </w:rPr>
            </w:pPr>
          </w:p>
        </w:tc>
      </w:tr>
      <w:tr>
        <w:trPr>
          <w:trHeight w:val="277"/>
        </w:trPr>
        <w:tc>
          <w:tcPr>
            <w:tcW w:w="7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Kevin J. Caponecchi</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262,500</w:t>
            </w:r>
          </w:p>
        </w:tc>
        <w:tc>
          <w:tcPr>
            <w:tcW w:w="2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0" w:type="dxa"/>
            <w:vAlign w:val="bottom"/>
          </w:tcPr>
          <w:p>
            <w:pPr>
              <w:spacing w:after="0"/>
              <w:rPr>
                <w:sz w:val="1"/>
                <w:szCs w:val="1"/>
                <w:color w:val="auto"/>
              </w:rPr>
            </w:pPr>
          </w:p>
        </w:tc>
      </w:tr>
      <w:tr>
        <w:trPr>
          <w:trHeight w:val="290"/>
        </w:trPr>
        <w:tc>
          <w:tcPr>
            <w:tcW w:w="7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Juan C. Bianchi</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262,500</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following table summarizes estimated future payouts under equity incentive plan awards made to Named Executive Officers during the fiscal year ended December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All Other Stock</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Exercise 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 Date</w:t>
            </w: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Base Price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Estimated Future Payouts Under Equity Incentive Plan   Shares of Stock</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Options</w:t>
            </w:r>
          </w:p>
        </w:tc>
        <w:tc>
          <w:tcPr>
            <w:tcW w:w="12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Stock and Option</w:t>
            </w:r>
          </w:p>
        </w:tc>
      </w:tr>
      <w:tr>
        <w:trPr>
          <w:trHeight w:val="155"/>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or Units (#)</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xml:space="preserve">Awards </w:t>
            </w:r>
            <w:r>
              <w:rPr>
                <w:rFonts w:ascii="Times New Roman" w:cs="Times New Roman" w:eastAsia="Times New Roman" w:hAnsi="Times New Roman"/>
                <w:sz w:val="13"/>
                <w:szCs w:val="13"/>
                <w:b w:val="1"/>
                <w:bCs w:val="1"/>
                <w:u w:val="single" w:color="auto"/>
                <w:color w:val="auto"/>
                <w:w w:val="95"/>
              </w:rPr>
              <w:t>($</w:t>
            </w:r>
            <w:r>
              <w:rPr>
                <w:rFonts w:ascii="Times New Roman" w:cs="Times New Roman" w:eastAsia="Times New Roman" w:hAnsi="Times New Roman"/>
                <w:sz w:val="13"/>
                <w:szCs w:val="13"/>
                <w:b w:val="1"/>
                <w:bCs w:val="1"/>
                <w:color w:val="auto"/>
                <w:w w:val="95"/>
              </w:rPr>
              <w:t>/Sh)</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7"/>
              </w:rPr>
              <w:t>Awards ($)</w:t>
            </w:r>
          </w:p>
        </w:tc>
      </w:tr>
      <w:tr>
        <w:trPr>
          <w:trHeight w:val="108"/>
        </w:trPr>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Target or</w:t>
            </w: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r>
      <w:tr>
        <w:trPr>
          <w:trHeight w:val="155"/>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Estimate (#)</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L. Weller</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72"/>
              </w:rPr>
              <w:t>4/7/2025(1)</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44,850</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60,150</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75,000</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5,402,072</w:t>
            </w:r>
          </w:p>
        </w:tc>
      </w:tr>
      <w:tr>
        <w:trPr>
          <w:trHeight w:val="229"/>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Nikos Fountas</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4/7/2025(1)</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44,850</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60,150</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75,000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5,402,072</w:t>
            </w:r>
          </w:p>
        </w:tc>
      </w:tr>
      <w:tr>
        <w:trPr>
          <w:trHeight w:val="230"/>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J. Caponecchi</w:t>
            </w:r>
          </w:p>
        </w:tc>
        <w:tc>
          <w:tcPr>
            <w:tcW w:w="1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4/7/2025(1)</w:t>
            </w:r>
          </w:p>
        </w:tc>
        <w:tc>
          <w:tcPr>
            <w:tcW w:w="1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44,850</w:t>
            </w:r>
          </w:p>
        </w:tc>
        <w:tc>
          <w:tcPr>
            <w:tcW w:w="1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60,150</w:t>
            </w:r>
          </w:p>
        </w:tc>
        <w:tc>
          <w:tcPr>
            <w:tcW w:w="1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75,000</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5,402,072</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C. Bianchi</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4/7/2025(1)</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44,850</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60,150</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75,000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5,402,072</w:t>
            </w:r>
          </w:p>
        </w:tc>
      </w:tr>
    </w:tbl>
    <w:p>
      <w:pPr>
        <w:spacing w:after="0" w:line="193" w:lineRule="exact"/>
        <w:rPr>
          <w:sz w:val="20"/>
          <w:szCs w:val="20"/>
          <w:color w:val="auto"/>
        </w:rPr>
      </w:pPr>
    </w:p>
    <w:p>
      <w:pPr>
        <w:jc w:val="both"/>
        <w:ind w:left="620" w:hanging="197"/>
        <w:spacing w:after="0" w:line="254" w:lineRule="auto"/>
        <w:tabs>
          <w:tab w:leader="none" w:pos="6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has three components: 1) 40% of the award will vest subject to the Company producing cumulative adjusted operating income of $200 million for the three year period ending December 31, 2027; 2) 24% of the award will vest at the end of the three year period ending December 31, 2027 subject to the Company achieving compounded annualized growth rates ("CAGR") in adjusted constant currency earnings per share. One-third of the award will vest if the Company achieves a threshold 10% CAGR, two-thirds of the award will vest if the Company achieves a target 12% CAGR, and all of the award will vest if the Company achieves a 14% CAGR with vesting upon the filing of the Company's annual Form 10-K for the year ending 2027, and 3) 36% of the award will vest at the end of the three year period ending December 31, 2027 subject to the Company’s common stock price closing at or above the required threshold for 30 consecutive trading days at any point during the three year period ended December 31, 2027 (one -third of the award will vest if the stock price reaches $113.12, two-thirds will vest if the stock price reaches $122.81, and all of the award will vest if the stock price reaches $133.04).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93" w:right="339" w:bottom="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 for 2025</w:t>
      </w:r>
    </w:p>
    <w:p>
      <w:pPr>
        <w:sectPr>
          <w:pgSz w:w="11900" w:h="16838" w:orient="portrait"/>
          <w:cols w:equalWidth="0" w:num="1">
            <w:col w:w="11240"/>
          </w:cols>
          <w:pgMar w:left="320" w:top="193" w:right="339" w:bottom="0" w:gutter="0" w:footer="0" w:header="0"/>
          <w:type w:val="continuous"/>
        </w:sectPr>
      </w:pPr>
    </w:p>
    <w:bookmarkStart w:id="28" w:name="page29"/>
    <w:bookmarkEnd w:id="28"/>
    <w:p>
      <w:pPr>
        <w:ind w:left="420"/>
        <w:spacing w:after="0"/>
        <w:rPr>
          <w:sz w:val="20"/>
          <w:szCs w:val="20"/>
          <w:color w:val="auto"/>
        </w:rPr>
      </w:pPr>
      <w:r>
        <w:rPr>
          <w:rFonts w:ascii="Times New Roman" w:cs="Times New Roman" w:eastAsia="Times New Roman" w:hAnsi="Times New Roman"/>
          <w:sz w:val="18"/>
          <w:szCs w:val="18"/>
          <w:color w:val="auto"/>
        </w:rPr>
        <w:t>The following table sets forth equity awards outstanding for the Named Executive Officers as of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10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08"/>
        </w:trPr>
        <w:tc>
          <w:tcPr>
            <w:tcW w:w="1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20" w:type="dxa"/>
            <w:vAlign w:val="bottom"/>
          </w:tcPr>
          <w:p>
            <w:pPr>
              <w:spacing w:after="0"/>
              <w:rPr>
                <w:sz w:val="9"/>
                <w:szCs w:val="9"/>
                <w:color w:val="auto"/>
              </w:rPr>
            </w:pP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108"/>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Market or</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108"/>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020" w:type="dxa"/>
            <w:vAlign w:val="bottom"/>
            <w:gridSpan w:val="3"/>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20" w:type="dxa"/>
            <w:vAlign w:val="bottom"/>
            <w:gridSpan w:val="2"/>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11"/>
                <w:szCs w:val="11"/>
                <w:color w:val="auto"/>
              </w:rPr>
            </w:pPr>
          </w:p>
        </w:tc>
        <w:tc>
          <w:tcPr>
            <w:tcW w:w="900" w:type="dxa"/>
            <w:vAlign w:val="bottom"/>
          </w:tcPr>
          <w:p>
            <w:pPr>
              <w:jc w:val="center"/>
              <w:ind w:right="32"/>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20" w:type="dxa"/>
            <w:vAlign w:val="bottom"/>
            <w:gridSpan w:val="3"/>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020" w:type="dxa"/>
            <w:vAlign w:val="bottom"/>
            <w:gridSpan w:val="2"/>
          </w:tcPr>
          <w:p>
            <w:pPr>
              <w:jc w:val="center"/>
              <w:ind w:right="108"/>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200" w:type="dxa"/>
            <w:vAlign w:val="bottom"/>
          </w:tcPr>
          <w:p>
            <w:pPr>
              <w:spacing w:after="0"/>
              <w:rPr>
                <w:sz w:val="11"/>
                <w:szCs w:val="11"/>
                <w:color w:val="auto"/>
              </w:rPr>
            </w:pPr>
          </w:p>
        </w:tc>
        <w:tc>
          <w:tcPr>
            <w:tcW w:w="9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20" w:type="dxa"/>
            <w:vAlign w:val="bottom"/>
            <w:gridSpan w:val="3"/>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20" w:type="dxa"/>
            <w:vAlign w:val="bottom"/>
            <w:gridSpan w:val="2"/>
          </w:tcPr>
          <w:p>
            <w:pPr>
              <w:jc w:val="center"/>
              <w:ind w:right="108"/>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200" w:type="dxa"/>
            <w:vAlign w:val="bottom"/>
          </w:tcPr>
          <w:p>
            <w:pPr>
              <w:spacing w:after="0"/>
              <w:rPr>
                <w:sz w:val="11"/>
                <w:szCs w:val="11"/>
                <w:color w:val="auto"/>
              </w:rPr>
            </w:pPr>
          </w:p>
        </w:tc>
        <w:tc>
          <w:tcPr>
            <w:tcW w:w="9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8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1020" w:type="dxa"/>
            <w:vAlign w:val="bottom"/>
            <w:gridSpan w:val="3"/>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20" w:type="dxa"/>
            <w:vAlign w:val="bottom"/>
            <w:gridSpan w:val="2"/>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200" w:type="dxa"/>
            <w:vAlign w:val="bottom"/>
          </w:tcPr>
          <w:p>
            <w:pPr>
              <w:spacing w:after="0"/>
              <w:rPr>
                <w:sz w:val="11"/>
                <w:szCs w:val="11"/>
                <w:color w:val="auto"/>
              </w:rPr>
            </w:pPr>
          </w:p>
        </w:tc>
        <w:tc>
          <w:tcPr>
            <w:tcW w:w="9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3"/>
              </w:rPr>
              <w:t>Rights that</w:t>
            </w:r>
          </w:p>
        </w:tc>
        <w:tc>
          <w:tcPr>
            <w:tcW w:w="8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1020" w:type="dxa"/>
            <w:vAlign w:val="bottom"/>
            <w:gridSpan w:val="3"/>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1020" w:type="dxa"/>
            <w:vAlign w:val="bottom"/>
            <w:gridSpan w:val="2"/>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00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200" w:type="dxa"/>
            <w:vAlign w:val="bottom"/>
          </w:tcPr>
          <w:p>
            <w:pPr>
              <w:spacing w:after="0"/>
              <w:rPr>
                <w:sz w:val="11"/>
                <w:szCs w:val="11"/>
                <w:color w:val="auto"/>
              </w:rPr>
            </w:pPr>
          </w:p>
        </w:tc>
        <w:tc>
          <w:tcPr>
            <w:tcW w:w="9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r>
      <w:tr>
        <w:trPr>
          <w:trHeight w:val="155"/>
        </w:trPr>
        <w:tc>
          <w:tcPr>
            <w:tcW w:w="18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020" w:type="dxa"/>
            <w:vAlign w:val="bottom"/>
            <w:gridSpan w:val="3"/>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02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000" w:type="dxa"/>
            <w:vAlign w:val="bottom"/>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7"/>
              </w:rPr>
              <w:t>Price ($)</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Vested (#)</w:t>
            </w:r>
          </w:p>
        </w:tc>
        <w:tc>
          <w:tcPr>
            <w:tcW w:w="200" w:type="dxa"/>
            <w:vAlign w:val="bottom"/>
          </w:tcPr>
          <w:p>
            <w:pPr>
              <w:spacing w:after="0"/>
              <w:rPr>
                <w:sz w:val="13"/>
                <w:szCs w:val="13"/>
                <w:color w:val="auto"/>
              </w:rPr>
            </w:pP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10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Vested ($)</w:t>
            </w:r>
          </w:p>
        </w:tc>
      </w:tr>
      <w:tr>
        <w:trPr>
          <w:trHeight w:val="186"/>
        </w:trPr>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J. Brown</w:t>
            </w: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12/13/2016</w:t>
            </w:r>
          </w:p>
        </w:tc>
        <w:tc>
          <w:tcPr>
            <w:tcW w:w="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59,277</w:t>
            </w: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73.72</w:t>
            </w:r>
          </w:p>
        </w:tc>
        <w:tc>
          <w:tcPr>
            <w:tcW w:w="10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12/13/2026</w:t>
            </w: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12/12/2017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52,464</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91.99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12/12/2027</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40,371</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111.45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12/12/2028</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12/10/2019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61,664</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154.28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12/10/2029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12/8/2020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75,000</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133.22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12/8/2030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8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12/8/2020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75,000</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133.22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12/8/2030</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12/7/2021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113,346</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116.08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12/7/2031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299,493</w:t>
            </w: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8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12/6/2022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106,310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90.26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12/6/2032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3,070,658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5,763 (4)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438,622</w:t>
            </w:r>
          </w:p>
        </w:tc>
        <w:tc>
          <w:tcPr>
            <w:tcW w:w="20" w:type="dxa"/>
            <w:vAlign w:val="bottom"/>
          </w:tcPr>
          <w:p>
            <w:pPr>
              <w:spacing w:after="0"/>
              <w:rPr>
                <w:sz w:val="19"/>
                <w:szCs w:val="19"/>
                <w:color w:val="auto"/>
              </w:rPr>
            </w:pPr>
          </w:p>
        </w:tc>
      </w:tr>
      <w:tr>
        <w:trPr>
          <w:trHeight w:val="229"/>
        </w:trPr>
        <w:tc>
          <w:tcPr>
            <w:tcW w:w="18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12/12/2023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66,235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91.66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12/12/2033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431,924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45,404 (6)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3,455,698</w:t>
            </w:r>
          </w:p>
        </w:tc>
        <w:tc>
          <w:tcPr>
            <w:tcW w:w="20" w:type="dxa"/>
            <w:vAlign w:val="bottom"/>
          </w:tcPr>
          <w:p>
            <w:pPr>
              <w:spacing w:after="0"/>
              <w:rPr>
                <w:sz w:val="19"/>
                <w:szCs w:val="19"/>
                <w:color w:val="auto"/>
              </w:rPr>
            </w:pPr>
          </w:p>
        </w:tc>
      </w:tr>
      <w:tr>
        <w:trPr>
          <w:trHeight w:val="216"/>
        </w:trPr>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12/10/2024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104.18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12/10/2034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(8)</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380,093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44,940 (8)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3,420,383</w:t>
            </w:r>
          </w:p>
        </w:tc>
        <w:tc>
          <w:tcPr>
            <w:tcW w:w="20" w:type="dxa"/>
            <w:vAlign w:val="bottom"/>
          </w:tcPr>
          <w:p>
            <w:pPr>
              <w:spacing w:after="0"/>
              <w:rPr>
                <w:sz w:val="18"/>
                <w:szCs w:val="18"/>
                <w:color w:val="auto"/>
              </w:rPr>
            </w:pPr>
          </w:p>
        </w:tc>
      </w:tr>
      <w:tr>
        <w:trPr>
          <w:trHeight w:val="266"/>
        </w:trPr>
        <w:tc>
          <w:tcPr>
            <w:tcW w:w="1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19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Rick L. Weller</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12/13/2016</w:t>
            </w:r>
          </w:p>
        </w:tc>
        <w:tc>
          <w:tcPr>
            <w:tcW w:w="2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24,699</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73.72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12/13/2026</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12/12/2017</w:t>
            </w:r>
          </w:p>
        </w:tc>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21,860</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91.99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12/12/2027</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12/12/2018</w:t>
            </w:r>
          </w:p>
        </w:tc>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30,951</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111.45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12/12/2028</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4/4/2019</w:t>
            </w:r>
          </w:p>
        </w:tc>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27,239</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141.03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4/4/2029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4/4/2019</w:t>
            </w:r>
          </w:p>
        </w:tc>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19,382</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141.03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4/4/2029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12/10/2019</w:t>
            </w:r>
          </w:p>
        </w:tc>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28,365</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154.28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12/10/2029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11/5/2020</w:t>
            </w:r>
          </w:p>
        </w:tc>
        <w:tc>
          <w:tcPr>
            <w:tcW w:w="2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200,000</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98.46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11/5/2030</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8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12/7/2021</w:t>
            </w:r>
          </w:p>
        </w:tc>
        <w:tc>
          <w:tcPr>
            <w:tcW w:w="2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34,408</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116.08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12/7/2031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90,875</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12/6/2022</w:t>
            </w:r>
          </w:p>
        </w:tc>
        <w:tc>
          <w:tcPr>
            <w:tcW w:w="2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32,349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10,783 (5)</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90.26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12/6/2032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934,402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 (4)</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133,421</w:t>
            </w:r>
          </w:p>
        </w:tc>
      </w:tr>
      <w:tr>
        <w:trPr>
          <w:trHeight w:val="216"/>
        </w:trPr>
        <w:tc>
          <w:tcPr>
            <w:tcW w:w="1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12/12/2023</w:t>
            </w:r>
          </w:p>
        </w:tc>
        <w:tc>
          <w:tcPr>
            <w:tcW w:w="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20,155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20,154 (7)</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91.66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12/12/2033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131,442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13,816 (6)</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1,051,536</w:t>
            </w:r>
          </w:p>
        </w:tc>
      </w:tr>
      <w:tr>
        <w:trPr>
          <w:trHeight w:val="229"/>
        </w:trPr>
        <w:tc>
          <w:tcPr>
            <w:tcW w:w="18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12/10/2024</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44,924 (9)</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104,18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12/10/2024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(8)</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146,131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17,278 (8)</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1,315,029</w:t>
            </w:r>
          </w:p>
        </w:tc>
      </w:tr>
      <w:tr>
        <w:trPr>
          <w:trHeight w:val="230"/>
        </w:trPr>
        <w:tc>
          <w:tcPr>
            <w:tcW w:w="18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4/7/2025</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 (1)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5,708,250</w:t>
            </w:r>
          </w:p>
        </w:tc>
      </w:tr>
      <w:tr>
        <w:trPr>
          <w:trHeight w:val="469"/>
        </w:trPr>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668"/>
              <w:spacing w:after="0"/>
              <w:rPr>
                <w:sz w:val="20"/>
                <w:szCs w:val="20"/>
                <w:color w:val="auto"/>
              </w:rPr>
            </w:pPr>
            <w:r>
              <w:rPr>
                <w:rFonts w:ascii="Times New Roman" w:cs="Times New Roman" w:eastAsia="Times New Roman" w:hAnsi="Times New Roman"/>
                <w:sz w:val="18"/>
                <w:szCs w:val="18"/>
                <w:color w:val="auto"/>
              </w:rPr>
              <w:t>44</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80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980" w:type="dxa"/>
            <w:vAlign w:val="bottom"/>
            <w:tcBorders>
              <w:bottom w:val="single" w:sz="8" w:color="9A9A9A"/>
            </w:tcBorders>
            <w:gridSpan w:val="2"/>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r>
        <w:trPr>
          <w:trHeight w:val="445"/>
        </w:trPr>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20" w:type="dxa"/>
            <w:vAlign w:val="bottom"/>
          </w:tcPr>
          <w:p>
            <w:pPr>
              <w:spacing w:after="0"/>
              <w:rPr>
                <w:sz w:val="9"/>
                <w:szCs w:val="9"/>
                <w:color w:val="auto"/>
              </w:rPr>
            </w:pP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Market or</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Payout Value</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20" w:type="dxa"/>
            <w:vAlign w:val="bottom"/>
            <w:gridSpan w:val="3"/>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20" w:type="dxa"/>
            <w:vAlign w:val="bottom"/>
            <w:gridSpan w:val="2"/>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11"/>
                <w:szCs w:val="11"/>
                <w:color w:val="auto"/>
              </w:rPr>
            </w:pPr>
          </w:p>
        </w:tc>
        <w:tc>
          <w:tcPr>
            <w:tcW w:w="9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Unearned</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020" w:type="dxa"/>
            <w:vAlign w:val="bottom"/>
            <w:gridSpan w:val="3"/>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020" w:type="dxa"/>
            <w:vAlign w:val="bottom"/>
            <w:gridSpan w:val="2"/>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200" w:type="dxa"/>
            <w:vAlign w:val="bottom"/>
          </w:tcPr>
          <w:p>
            <w:pPr>
              <w:spacing w:after="0"/>
              <w:rPr>
                <w:sz w:val="11"/>
                <w:szCs w:val="11"/>
                <w:color w:val="auto"/>
              </w:rPr>
            </w:pPr>
          </w:p>
        </w:tc>
        <w:tc>
          <w:tcPr>
            <w:tcW w:w="9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Units</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Units</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20" w:type="dxa"/>
            <w:vAlign w:val="bottom"/>
            <w:gridSpan w:val="3"/>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20" w:type="dxa"/>
            <w:vAlign w:val="bottom"/>
            <w:gridSpan w:val="2"/>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200" w:type="dxa"/>
            <w:vAlign w:val="bottom"/>
          </w:tcPr>
          <w:p>
            <w:pPr>
              <w:spacing w:after="0"/>
              <w:rPr>
                <w:sz w:val="11"/>
                <w:szCs w:val="11"/>
                <w:color w:val="auto"/>
              </w:rPr>
            </w:pPr>
          </w:p>
        </w:tc>
        <w:tc>
          <w:tcPr>
            <w:tcW w:w="9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 of Stock</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Other</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Other</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20" w:type="dxa"/>
            <w:vAlign w:val="bottom"/>
            <w:gridSpan w:val="3"/>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20" w:type="dxa"/>
            <w:vAlign w:val="bottom"/>
            <w:gridSpan w:val="2"/>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200" w:type="dxa"/>
            <w:vAlign w:val="bottom"/>
          </w:tcPr>
          <w:p>
            <w:pPr>
              <w:spacing w:after="0"/>
              <w:rPr>
                <w:sz w:val="11"/>
                <w:szCs w:val="11"/>
                <w:color w:val="auto"/>
              </w:rPr>
            </w:pPr>
          </w:p>
        </w:tc>
        <w:tc>
          <w:tcPr>
            <w:tcW w:w="9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3"/>
              </w:rPr>
              <w:t>Rights that</w:t>
            </w:r>
          </w:p>
        </w:tc>
        <w:tc>
          <w:tcPr>
            <w:tcW w:w="8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r>
      <w:tr>
        <w:trPr>
          <w:trHeight w:val="135"/>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1020" w:type="dxa"/>
            <w:vAlign w:val="bottom"/>
            <w:gridSpan w:val="3"/>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1020" w:type="dxa"/>
            <w:vAlign w:val="bottom"/>
            <w:gridSpan w:val="2"/>
          </w:tcPr>
          <w:p>
            <w:pPr>
              <w:jc w:val="center"/>
              <w:ind w:right="168"/>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000" w:type="dxa"/>
            <w:vAlign w:val="bottom"/>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200" w:type="dxa"/>
            <w:vAlign w:val="bottom"/>
          </w:tcPr>
          <w:p>
            <w:pPr>
              <w:spacing w:after="0"/>
              <w:rPr>
                <w:sz w:val="11"/>
                <w:szCs w:val="11"/>
                <w:color w:val="auto"/>
              </w:rPr>
            </w:pPr>
          </w:p>
        </w:tc>
        <w:tc>
          <w:tcPr>
            <w:tcW w:w="9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0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r>
      <w:tr>
        <w:trPr>
          <w:trHeight w:val="155"/>
        </w:trPr>
        <w:tc>
          <w:tcPr>
            <w:tcW w:w="1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020" w:type="dxa"/>
            <w:vAlign w:val="bottom"/>
            <w:gridSpan w:val="3"/>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020" w:type="dxa"/>
            <w:vAlign w:val="bottom"/>
            <w:gridSpan w:val="2"/>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000" w:type="dxa"/>
            <w:vAlign w:val="bottom"/>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Vested (#)</w:t>
            </w:r>
          </w:p>
        </w:tc>
        <w:tc>
          <w:tcPr>
            <w:tcW w:w="200" w:type="dxa"/>
            <w:vAlign w:val="bottom"/>
          </w:tcPr>
          <w:p>
            <w:pPr>
              <w:spacing w:after="0"/>
              <w:rPr>
                <w:sz w:val="13"/>
                <w:szCs w:val="13"/>
                <w:color w:val="auto"/>
              </w:rPr>
            </w:pP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10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Vested ($)</w:t>
            </w:r>
          </w:p>
        </w:tc>
      </w:tr>
      <w:tr>
        <w:trPr>
          <w:trHeight w:val="209"/>
        </w:trPr>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Nikos Fountas</w:t>
            </w:r>
          </w:p>
        </w:tc>
        <w:tc>
          <w:tcPr>
            <w:tcW w:w="8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12/13/2016</w:t>
            </w:r>
          </w:p>
        </w:tc>
        <w:tc>
          <w:tcPr>
            <w:tcW w:w="7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8"/>
              </w:rPr>
              <w:t>19,759</w:t>
            </w: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73.72</w:t>
            </w:r>
          </w:p>
        </w:tc>
        <w:tc>
          <w:tcPr>
            <w:tcW w:w="10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12/13/2026</w:t>
            </w: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12/12/2017</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8"/>
              </w:rPr>
              <w:t>17,488</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91.99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12/12/2027</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12/12/2018</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8"/>
              </w:rPr>
              <w:t>13,457</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111.45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12/12/2028</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4/4/2019</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8"/>
              </w:rPr>
              <w:t>27,239</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141.03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4/4/2029</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4/4/2019</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8"/>
              </w:rPr>
              <w:t>19,382</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141.03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4/4/2029</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12/10/2019</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8"/>
              </w:rPr>
              <w:t>14,799</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154.28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12/10/2029</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11/5/2020</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200,000</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98.46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11/5/2030</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12/7/2021</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8"/>
              </w:rPr>
              <w:t>33,232</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116.08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12/7/2031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87,755</w:t>
            </w: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12/6/2022</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8"/>
              </w:rPr>
              <w:t>30,317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90.26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12/6/2032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875,722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 (4)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125,049</w:t>
            </w:r>
          </w:p>
        </w:tc>
        <w:tc>
          <w:tcPr>
            <w:tcW w:w="20" w:type="dxa"/>
            <w:vAlign w:val="bottom"/>
          </w:tcPr>
          <w:p>
            <w:pPr>
              <w:spacing w:after="0"/>
              <w:rPr>
                <w:sz w:val="19"/>
                <w:szCs w:val="19"/>
                <w:color w:val="auto"/>
              </w:rPr>
            </w:pPr>
          </w:p>
        </w:tc>
      </w:tr>
      <w:tr>
        <w:trPr>
          <w:trHeight w:val="229"/>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12/12/2023</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8"/>
              </w:rPr>
              <w:t>18,889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91.66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12/12/2033</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123,146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12,948 (6)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985,472</w:t>
            </w:r>
          </w:p>
        </w:tc>
        <w:tc>
          <w:tcPr>
            <w:tcW w:w="20" w:type="dxa"/>
            <w:vAlign w:val="bottom"/>
          </w:tcPr>
          <w:p>
            <w:pPr>
              <w:spacing w:after="0"/>
              <w:rPr>
                <w:sz w:val="19"/>
                <w:szCs w:val="19"/>
                <w:color w:val="auto"/>
              </w:rPr>
            </w:pPr>
          </w:p>
        </w:tc>
      </w:tr>
      <w:tr>
        <w:trPr>
          <w:trHeight w:val="230"/>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12/10/2024</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104.18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12/10/2034</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(8)</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108,381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12,816 (8)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975,426</w:t>
            </w:r>
          </w:p>
        </w:tc>
        <w:tc>
          <w:tcPr>
            <w:tcW w:w="20" w:type="dxa"/>
            <w:vAlign w:val="bottom"/>
          </w:tcPr>
          <w:p>
            <w:pPr>
              <w:spacing w:after="0"/>
              <w:rPr>
                <w:sz w:val="19"/>
                <w:szCs w:val="19"/>
                <w:color w:val="auto"/>
              </w:rPr>
            </w:pPr>
          </w:p>
        </w:tc>
      </w:tr>
      <w:tr>
        <w:trPr>
          <w:trHeight w:val="229"/>
        </w:trPr>
        <w:tc>
          <w:tcPr>
            <w:tcW w:w="1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4/7/2025</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 (1)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5,708,250</w:t>
            </w:r>
          </w:p>
        </w:tc>
        <w:tc>
          <w:tcPr>
            <w:tcW w:w="20" w:type="dxa"/>
            <w:vAlign w:val="bottom"/>
          </w:tcPr>
          <w:p>
            <w:pPr>
              <w:spacing w:after="0"/>
              <w:rPr>
                <w:sz w:val="19"/>
                <w:szCs w:val="19"/>
                <w:color w:val="auto"/>
              </w:rPr>
            </w:pPr>
          </w:p>
        </w:tc>
      </w:tr>
      <w:tr>
        <w:trPr>
          <w:trHeight w:val="246"/>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Kevin J. Caponecchi</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12/12/2018</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8"/>
              </w:rPr>
              <w:t>17,488</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91.99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12/12/2027</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8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12/12/2018</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8"/>
              </w:rPr>
              <w:t>13,457</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111.45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12/12/2028</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4/4/2019</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8"/>
              </w:rPr>
              <w:t>27,239</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141.03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4/4/2029</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4/4/2019</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8"/>
              </w:rPr>
              <w:t>19,382</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141.03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4/4/2029</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12/10/2019</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8"/>
              </w:rPr>
              <w:t>14,799</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154.28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12/10/2029</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11/5/2020</w:t>
            </w:r>
          </w:p>
        </w:tc>
        <w:tc>
          <w:tcPr>
            <w:tcW w:w="7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200,000</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98.46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11/5/2030</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12/7/2021</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8"/>
              </w:rPr>
              <w:t>33,232</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116.08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12/7/2031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87,755</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12/6/2022</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8"/>
              </w:rPr>
              <w:t>30,317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10,105 (5)</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90.26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12/16/2032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875,722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 (4)</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125,049</w:t>
            </w:r>
          </w:p>
        </w:tc>
      </w:tr>
      <w:tr>
        <w:trPr>
          <w:trHeight w:val="229"/>
        </w:trPr>
        <w:tc>
          <w:tcPr>
            <w:tcW w:w="18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12/12/2023</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8"/>
              </w:rPr>
              <w:t>18,889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18,888 (7)</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91.66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12/12/2033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123,146</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12,948 (6)</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985,472</w:t>
            </w:r>
          </w:p>
        </w:tc>
      </w:tr>
      <w:tr>
        <w:trPr>
          <w:trHeight w:val="230"/>
        </w:trPr>
        <w:tc>
          <w:tcPr>
            <w:tcW w:w="18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12/10/2024</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33,322 (9)</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104.18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12/10/2034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(8)</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108,381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12,816 (8)</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975,426</w:t>
            </w:r>
          </w:p>
        </w:tc>
      </w:tr>
      <w:tr>
        <w:trPr>
          <w:trHeight w:val="229"/>
        </w:trPr>
        <w:tc>
          <w:tcPr>
            <w:tcW w:w="18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4/7/2025</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 (1)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5,708,250</w:t>
            </w:r>
          </w:p>
        </w:tc>
      </w:tr>
      <w:tr>
        <w:trPr>
          <w:trHeight w:val="415"/>
        </w:trPr>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668"/>
              <w:spacing w:after="0"/>
              <w:rPr>
                <w:sz w:val="20"/>
                <w:szCs w:val="20"/>
                <w:color w:val="auto"/>
              </w:rPr>
            </w:pPr>
            <w:r>
              <w:rPr>
                <w:rFonts w:ascii="Times New Roman" w:cs="Times New Roman" w:eastAsia="Times New Roman" w:hAnsi="Times New Roman"/>
                <w:sz w:val="18"/>
                <w:szCs w:val="18"/>
                <w:color w:val="auto"/>
              </w:rPr>
              <w:t>45</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-4889500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-4889500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37" w:right="31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8"/>
        </w:trPr>
        <w:tc>
          <w:tcPr>
            <w:tcW w:w="1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vMerge w:val="continue"/>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9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2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9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Unexercised</w:t>
            </w:r>
          </w:p>
        </w:tc>
        <w:tc>
          <w:tcPr>
            <w:tcW w:w="102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9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8"/>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2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87"/>
        </w:trPr>
        <w:tc>
          <w:tcPr>
            <w:tcW w:w="18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8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Exercisable Unexercisable</w:t>
            </w:r>
          </w:p>
        </w:tc>
        <w:tc>
          <w:tcPr>
            <w:tcW w:w="102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0" w:type="dxa"/>
            <w:vAlign w:val="bottom"/>
          </w:tcPr>
          <w:p>
            <w:pPr>
              <w:spacing w:after="0"/>
              <w:rPr>
                <w:sz w:val="1"/>
                <w:szCs w:val="1"/>
                <w:color w:val="auto"/>
              </w:rPr>
            </w:pPr>
          </w:p>
        </w:tc>
      </w:tr>
      <w:tr>
        <w:trPr>
          <w:trHeight w:val="142"/>
        </w:trPr>
        <w:tc>
          <w:tcPr>
            <w:tcW w:w="18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Juan C. Bianchi</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12/13/2016</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7,903</w:t>
            </w: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73.72</w:t>
            </w:r>
          </w:p>
        </w:tc>
        <w:tc>
          <w:tcPr>
            <w:tcW w:w="100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12/13/2026</w:t>
            </w:r>
          </w:p>
        </w:tc>
        <w:tc>
          <w:tcPr>
            <w:tcW w:w="10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10,493</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91.99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12/12/2027</w:t>
            </w:r>
          </w:p>
        </w:tc>
        <w:tc>
          <w:tcPr>
            <w:tcW w:w="10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12/12/2018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10,766</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111.45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12/12/2028</w:t>
            </w:r>
          </w:p>
        </w:tc>
        <w:tc>
          <w:tcPr>
            <w:tcW w:w="10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27,239</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141.03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4/4/2029</w:t>
            </w:r>
          </w:p>
        </w:tc>
        <w:tc>
          <w:tcPr>
            <w:tcW w:w="10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19,382</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141.03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4/4/2029</w:t>
            </w:r>
          </w:p>
        </w:tc>
        <w:tc>
          <w:tcPr>
            <w:tcW w:w="10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14,799</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154.28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12/10/2029</w:t>
            </w:r>
          </w:p>
        </w:tc>
        <w:tc>
          <w:tcPr>
            <w:tcW w:w="10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98.46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11/5/2030</w:t>
            </w:r>
          </w:p>
        </w:tc>
        <w:tc>
          <w:tcPr>
            <w:tcW w:w="10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33,232</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116.08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12/7/2031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 (2)</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87,755</w:t>
            </w:r>
          </w:p>
        </w:tc>
        <w:tc>
          <w:tcPr>
            <w:tcW w:w="10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90.26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12/6/2032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11,506 (4)</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875,722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 (4)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91.66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12/12/2033</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 (6)</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123,146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12,948 (6)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985,472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12/10/2024</w:t>
            </w: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104.18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12/10/2034</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 (8)</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108,381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12,816 (8)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975,426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4/7/2025</w:t>
            </w:r>
          </w:p>
        </w:tc>
        <w:tc>
          <w:tcPr>
            <w:tcW w:w="8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 (1)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5,708,250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20" w:hanging="434"/>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to table under “Grants of Plan-Based Awards for 2025” for a description of the vesting schedule for these awards.</w:t>
      </w:r>
    </w:p>
    <w:p>
      <w:pPr>
        <w:spacing w:after="0" w:line="2" w:lineRule="exact"/>
        <w:rPr>
          <w:rFonts w:ascii="Times New Roman" w:cs="Times New Roman" w:eastAsia="Times New Roman" w:hAnsi="Times New Roman"/>
          <w:sz w:val="18"/>
          <w:szCs w:val="18"/>
          <w:color w:val="auto"/>
        </w:rPr>
      </w:pPr>
    </w:p>
    <w:p>
      <w:pPr>
        <w:jc w:val="both"/>
        <w:ind w:left="720" w:right="20" w:hanging="434"/>
        <w:spacing w:after="0" w:line="211"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granted December 7, 2021 that has two components: 1) 40% of the award will vest evenly over four years subject to the Company producing at least $60 million adjusted operating income each year of vesting upon the filing of the Company's annual Form 10-K for the years ending 2022, 2023, 2024 and 2025; and 2) up to 60% of the award will vest at the end of the third calendar year subject to the Company achieving compounded annualized growth rates ("CAGR") in adjusted constant currency earnings per share. 20% of the award will vest if the Company achieves a threshold 5% CAGR, 40% of the award will vest if the Company achieves a target 7.5% CAGR, and 60% of the award will vest if the Company achieves a maximum 10% CAGR vesting upon the filing of the Company's annual Form 10-K for the year ending 2024.</w:t>
      </w:r>
    </w:p>
    <w:p>
      <w:pPr>
        <w:spacing w:after="0" w:line="1" w:lineRule="exact"/>
        <w:rPr>
          <w:rFonts w:ascii="Times New Roman" w:cs="Times New Roman" w:eastAsia="Times New Roman" w:hAnsi="Times New Roman"/>
          <w:sz w:val="18"/>
          <w:szCs w:val="18"/>
          <w:color w:val="auto"/>
        </w:rPr>
      </w:pPr>
    </w:p>
    <w:p>
      <w:pPr>
        <w:ind w:left="740" w:right="20" w:hanging="440"/>
        <w:spacing w:after="0" w:line="219" w:lineRule="auto"/>
        <w:tabs>
          <w:tab w:leader="none" w:pos="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granted December 7, 2021 that vests evenly over four years upon the achievement of a 10% increase over the share price on the date of the grant for 30 consecutive days. Stock price market performance criteria has been met.</w:t>
      </w:r>
    </w:p>
    <w:p>
      <w:pPr>
        <w:jc w:val="both"/>
        <w:ind w:left="740" w:right="20" w:hanging="440"/>
        <w:spacing w:after="0" w:line="223" w:lineRule="auto"/>
        <w:tabs>
          <w:tab w:leader="none" w:pos="7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 granted on December 6, 2022 has two components: 1) 40% of the award will vest evenly over four years subject to the Company producing at least $60 million adjusted operating income each year of vesting upon the filing of the Company's annual Form 10-K for the years ending 2023, 2024, 2025 and 2026; and 2) up to 60% of the award will vest at the end of the third calendar year subject to the Company achieving compounded annualized growth rates ("CAGR") in adjusted constant currency earnings per share. 20% of the award will vest if the Company achieves a threshold 2% CAGR, 40% of the award will vest if the Company achieves a target 5% CAGR, and 60% of the award will vest if the Company achieves a maximum 7% CAGR vesting upon the filing of the Company's annual Form 10-K for the year ending 2025.</w:t>
      </w:r>
    </w:p>
    <w:p>
      <w:pPr>
        <w:spacing w:after="0" w:line="3" w:lineRule="exact"/>
        <w:rPr>
          <w:rFonts w:ascii="Times New Roman" w:cs="Times New Roman" w:eastAsia="Times New Roman" w:hAnsi="Times New Roman"/>
          <w:sz w:val="17"/>
          <w:szCs w:val="17"/>
          <w:color w:val="auto"/>
        </w:rPr>
      </w:pPr>
    </w:p>
    <w:p>
      <w:pPr>
        <w:ind w:left="740" w:right="20" w:hanging="440"/>
        <w:spacing w:after="0" w:line="219" w:lineRule="auto"/>
        <w:tabs>
          <w:tab w:leader="none" w:pos="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granted on December 6, 2022 vests evenly over four years upon the achievement of a 10% increase over the share price on the date of the grant for 30 consecutive days. Stock price market performance criteria has been met.</w:t>
      </w:r>
    </w:p>
    <w:p>
      <w:pPr>
        <w:jc w:val="both"/>
        <w:ind w:left="740" w:right="20" w:hanging="440"/>
        <w:spacing w:after="0" w:line="211" w:lineRule="auto"/>
        <w:tabs>
          <w:tab w:leader="none" w:pos="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granted on December 12, 2023 has two components: 1) 40% of the award will vest evenly over four years subject to the Company producing at least $100 million in adjusted operating income each year of vesting upon the filing of the Company's annual Form 10-K for the years ending 2024, 2025, 2026, and 2027 and 2) up to 60% of the award will vest at the end of the third calendar year subject to the Company achieving compounded annualized growth rates</w:t>
      </w:r>
    </w:p>
    <w:p>
      <w:pPr>
        <w:spacing w:after="0" w:line="1" w:lineRule="exact"/>
        <w:rPr>
          <w:rFonts w:ascii="Times New Roman" w:cs="Times New Roman" w:eastAsia="Times New Roman" w:hAnsi="Times New Roman"/>
          <w:sz w:val="18"/>
          <w:szCs w:val="18"/>
          <w:color w:val="auto"/>
        </w:rPr>
      </w:pPr>
    </w:p>
    <w:p>
      <w:pPr>
        <w:jc w:val="both"/>
        <w:ind w:left="740" w:right="20"/>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in adjusted constant currency earnings per share. 20% of the award will vest if the Company achieves a threshold 2% CAGR, 40% of the award will vest if the Company achieves a target 5% CAGR, and 60% of the award will vest if the Company achieves a maximum 7% CAGR vesting upon the filing of the Company's annual Form 10-K for the year ending 2026.</w:t>
      </w:r>
    </w:p>
    <w:p>
      <w:pPr>
        <w:spacing w:after="0" w:line="2" w:lineRule="exact"/>
        <w:rPr>
          <w:rFonts w:ascii="Times New Roman" w:cs="Times New Roman" w:eastAsia="Times New Roman" w:hAnsi="Times New Roman"/>
          <w:sz w:val="18"/>
          <w:szCs w:val="18"/>
          <w:color w:val="auto"/>
        </w:rPr>
      </w:pPr>
    </w:p>
    <w:p>
      <w:pPr>
        <w:ind w:left="740" w:right="20" w:hanging="440"/>
        <w:spacing w:after="0" w:line="219" w:lineRule="auto"/>
        <w:tabs>
          <w:tab w:leader="none" w:pos="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awards granted on December 12, 2023 vests evenly over four years upon the achievement of a 10% increase over the share price on the date of the grant for 30 consecutive days. Stock price market performance criteria has been met.</w:t>
      </w:r>
    </w:p>
    <w:p>
      <w:pPr>
        <w:jc w:val="both"/>
        <w:ind w:left="740" w:right="20" w:hanging="440"/>
        <w:spacing w:after="0" w:line="215" w:lineRule="auto"/>
        <w:tabs>
          <w:tab w:leader="none" w:pos="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granted on December 10, 2024 has two components: 1) 40% of the award will vest evenly over four years subject to the Company producing at least $200 million adjusted operating income each year of vesting upon the filing of the Company's annual Form 10-K for the years ending 2025, 2026, 2027 and 2028; and 2) up to 60% of the award will vest at the end of the third calendar year subject to the Company achieving compounded annualized growth rates ("CAGR") in adjusted constant currency earnings per share. One-third of the award will vest if the Company achieves a threshold 2% CAGR,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40" w:right="20"/>
        <w:spacing w:after="0" w:line="215" w:lineRule="auto"/>
        <w:rPr>
          <w:sz w:val="20"/>
          <w:szCs w:val="20"/>
          <w:color w:val="auto"/>
        </w:rPr>
      </w:pPr>
      <w:r>
        <w:rPr>
          <w:rFonts w:ascii="Times New Roman" w:cs="Times New Roman" w:eastAsia="Times New Roman" w:hAnsi="Times New Roman"/>
          <w:sz w:val="18"/>
          <w:szCs w:val="18"/>
          <w:color w:val="auto"/>
        </w:rPr>
        <w:t>two-thirds of the award will vest if the Company achieves a target 5% CAGR, and all of the award will vest if the Company achieves a maximum 7% CAGR vesting upon the filing of the Company's annual Form 10-K for the year ending 2027.</w:t>
      </w:r>
    </w:p>
    <w:p>
      <w:pPr>
        <w:ind w:left="740" w:right="20"/>
        <w:spacing w:after="0" w:line="226" w:lineRule="auto"/>
        <w:rPr>
          <w:sz w:val="20"/>
          <w:szCs w:val="20"/>
          <w:color w:val="auto"/>
        </w:rPr>
      </w:pPr>
      <w:r>
        <w:rPr>
          <w:rFonts w:ascii="Times New Roman" w:cs="Times New Roman" w:eastAsia="Times New Roman" w:hAnsi="Times New Roman"/>
          <w:sz w:val="18"/>
          <w:szCs w:val="18"/>
          <w:color w:val="auto"/>
        </w:rPr>
        <w:t>Stock option award vests evenly over four years upon the achievement of a 10% increase over the share price on the date of the grant for 30 consecutive days.</w:t>
      </w:r>
    </w:p>
    <w:p>
      <w:pPr>
        <w:spacing w:after="0" w:line="2" w:lineRule="exact"/>
        <w:rPr>
          <w:sz w:val="20"/>
          <w:szCs w:val="20"/>
          <w:color w:val="auto"/>
        </w:rPr>
      </w:pPr>
    </w:p>
    <w:p>
      <w:pPr>
        <w:ind w:left="740" w:right="20" w:hanging="440"/>
        <w:spacing w:after="0" w:line="258"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awards granted December 10, 2024 vests evenly over four years upon achievement of a 10% increase over the share price on the date of the grant for 30 consecutive days.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2025</w:t>
      </w:r>
    </w:p>
    <w:p>
      <w:pPr>
        <w:spacing w:after="0" w:line="189" w:lineRule="exact"/>
        <w:rPr>
          <w:sz w:val="20"/>
          <w:szCs w:val="20"/>
          <w:color w:val="auto"/>
        </w:rPr>
      </w:pPr>
    </w:p>
    <w:p>
      <w:pPr>
        <w:ind w:firstLine="41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options exercised and stock vested for the Named Executive Officers during the fiscal year ended December 31,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27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6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58"/>
        </w:trPr>
        <w:tc>
          <w:tcPr>
            <w:tcW w:w="5880" w:type="dxa"/>
            <w:vAlign w:val="bottom"/>
          </w:tcPr>
          <w:p>
            <w:pPr>
              <w:spacing w:after="0"/>
              <w:rPr>
                <w:sz w:val="13"/>
                <w:szCs w:val="13"/>
                <w:color w:val="auto"/>
              </w:rPr>
            </w:pPr>
          </w:p>
        </w:tc>
        <w:tc>
          <w:tcPr>
            <w:tcW w:w="1260" w:type="dxa"/>
            <w:vAlign w:val="bottom"/>
            <w:tcBorders>
              <w:top w:val="single" w:sz="8" w:color="auto"/>
            </w:tcBorders>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3"/>
                <w:szCs w:val="13"/>
                <w:color w:val="auto"/>
              </w:rPr>
            </w:pPr>
          </w:p>
        </w:tc>
        <w:tc>
          <w:tcPr>
            <w:tcW w:w="1260" w:type="dxa"/>
            <w:vAlign w:val="bottom"/>
            <w:tcBorders>
              <w:top w:val="single" w:sz="8" w:color="auto"/>
            </w:tcBorders>
            <w:gridSpan w:val="2"/>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5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6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60" w:type="dxa"/>
            <w:vAlign w:val="bottom"/>
          </w:tcPr>
          <w:p>
            <w:pPr>
              <w:spacing w:after="0"/>
              <w:rPr>
                <w:sz w:val="12"/>
                <w:szCs w:val="12"/>
                <w:color w:val="auto"/>
              </w:rPr>
            </w:pPr>
          </w:p>
        </w:tc>
        <w:tc>
          <w:tcPr>
            <w:tcW w:w="11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73"/>
        </w:trPr>
        <w:tc>
          <w:tcPr>
            <w:tcW w:w="5880" w:type="dxa"/>
            <w:vAlign w:val="bottom"/>
            <w:vMerge w:val="continue"/>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60" w:type="dxa"/>
            <w:vAlign w:val="bottom"/>
          </w:tcPr>
          <w:p>
            <w:pPr>
              <w:spacing w:after="0"/>
              <w:rPr>
                <w:sz w:val="15"/>
                <w:szCs w:val="15"/>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209"/>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Brown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61,277</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169,737</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38,985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4,009,217</w:t>
            </w: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Rick L. Weller</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25,532</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70,724</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11,843</w:t>
            </w:r>
          </w:p>
        </w:tc>
        <w:tc>
          <w:tcPr>
            <w:tcW w:w="260" w:type="dxa"/>
            <w:vAlign w:val="bottom"/>
          </w:tcPr>
          <w:p>
            <w:pPr>
              <w:spacing w:after="0"/>
              <w:rPr>
                <w:sz w:val="19"/>
                <w:szCs w:val="19"/>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1,217,934</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Nikos Fountas</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16,341</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45,265</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11,338</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1,166,000</w:t>
            </w: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Kevin J. Caponecchi</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11,338</w:t>
            </w:r>
          </w:p>
        </w:tc>
        <w:tc>
          <w:tcPr>
            <w:tcW w:w="260" w:type="dxa"/>
            <w:vAlign w:val="bottom"/>
          </w:tcPr>
          <w:p>
            <w:pPr>
              <w:spacing w:after="0"/>
              <w:rPr>
                <w:sz w:val="19"/>
                <w:szCs w:val="19"/>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1,166,000</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C. Bianchi</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3,268</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9,052</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11,338</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1,166,000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Market value of underlying securities on the date of exercise, minus the exercise price.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ectPr>
          <w:pgSz w:w="11900" w:h="16838" w:orient="portrait"/>
          <w:cols w:equalWidth="0" w:num="1">
            <w:col w:w="11240"/>
          </w:cols>
          <w:pgMar w:left="320" w:top="114" w:right="339"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Messrs. Brown, Weller, Caponecchi, Bianchi and Fountas</w:t>
      </w:r>
    </w:p>
    <w:p>
      <w:pPr>
        <w:spacing w:after="0" w:line="162"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Messrs. Brown, Weller, Caponecchi and Bianchi have employment agreements that have substantially the same terms, except with respect to the levels of compensation, and as otherwise discussed below or under “Compensation Tables” above. The agreements with Messrs. Brown and Weller were entered into in October 2003 and were amended and restated in April 2008, principally to bring them into conformity with the provisions of the Jobs Creation Act of 2004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agreements with Messrs. Caponecchi and Bianchi were entered into during 2007 in connection with their hiring. Mr. Bianchi's agreement was also amended in April 2008. In connection with his relocation from the U.K. to Greece, Mr. Fountas entered into an employment agreement in March 2025. His employment agreement is governed by Greek law.</w:t>
      </w:r>
    </w:p>
    <w:p>
      <w:pPr>
        <w:spacing w:after="0" w:line="106" w:lineRule="exact"/>
        <w:rPr>
          <w:sz w:val="20"/>
          <w:szCs w:val="20"/>
          <w:color w:val="auto"/>
        </w:rPr>
      </w:pPr>
    </w:p>
    <w:p>
      <w:pPr>
        <w:jc w:val="both"/>
        <w:ind w:firstLine="414"/>
        <w:spacing w:after="0" w:line="252" w:lineRule="auto"/>
        <w:rPr>
          <w:sz w:val="20"/>
          <w:szCs w:val="20"/>
          <w:color w:val="auto"/>
        </w:rPr>
      </w:pPr>
      <w:r>
        <w:rPr>
          <w:rFonts w:ascii="Times New Roman" w:cs="Times New Roman" w:eastAsia="Times New Roman" w:hAnsi="Times New Roman"/>
          <w:sz w:val="18"/>
          <w:szCs w:val="18"/>
          <w:color w:val="auto"/>
        </w:rPr>
        <w:t>The employment agreements have indefinite terms and provide that they may be terminated by the executives at any time upon 60 days’ notice for Messrs. Brown, Weller, Caponecchi and Fountas, and 30 days' notice for Mr. Bianchi. The agreements may be terminated by Euronet with or without “cause” provided that, in the case of termination due to “cause,” Euronet provides the executive with 14 days’ notice. The agreements define “cause” to mean: (i) conviction of the executive of, or the entry of a plea of guilty or nolo contendere by the executive to, any felony or any misdemeanor involving moral turpitude; (ii) fraud, misappropriation or embezzlement by the executive; (iii) willful failure or gross misconduct in the performance of the executive’s assigned duties; (iv) willful failure by the executive to follow reasonable instructions of any officer to whom the executive reports or the Board of Directors; and (v) the executive’s gross negligence in the performance of his assigned duties. In each case, the employment agreements provide that, in a three-year period following a “change in control,” termination for “cause” is limited to only mean an act of dishonesty by an executive constituting a felony that was intended to or resulted in gain or personal enrichment of the executive at Euronet’s expense. Euronet’s termination of an executive’s employment for cause does not result in separation payments, separation benefits or accelerated or extended vesting of unvested stock option or restricted stock awards.</w:t>
      </w:r>
    </w:p>
    <w:p>
      <w:pPr>
        <w:spacing w:after="0" w:line="5"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If Euronet terminates an executive absent cause and prior to a “change in control” as discussed below, the employment agreements provide that Messrs. Brown, Weller, Caponecchi, Bianchi and Fountas will be entitled to certain severance benefits for a period of 24 months, including the payment of the executive’s then current base salary, the continuation of the vesting and rights to exercise any then outstanding equity-based awards and the continuation of health and life insurance benefits.</w:t>
      </w:r>
    </w:p>
    <w:p>
      <w:pPr>
        <w:spacing w:after="0" w:line="121"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In general, voluntary termination by Messrs. Brown, Weller, Caponecchi and Fountas does not result in separation payments, separation benefits or accelerated or extended vesting of unvested stock options or restricted stock, except under certain circumstances constituting constructive termination. These circumstances include certain changes in conditions of the executives’ employment, such</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significant diminution in responsibilities or salary or a forced relocation. In such circumstances, these executives are entitled to the same severance benefits as if they were terminated by Euronet absent cause, prior to a “change of control.” Voluntary termination by Mr. Bianchi prior to a "change in control" generally entitles Mr. Bianchi to the same severance benefits as a termination absent cause.</w:t>
      </w:r>
    </w:p>
    <w:p>
      <w:pPr>
        <w:spacing w:after="0" w:line="68" w:lineRule="exact"/>
        <w:rPr>
          <w:sz w:val="20"/>
          <w:szCs w:val="20"/>
          <w:color w:val="auto"/>
        </w:rPr>
      </w:pPr>
    </w:p>
    <w:p>
      <w:pPr>
        <w:jc w:val="both"/>
        <w:ind w:right="20" w:firstLine="41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severance benefits due Messrs. Brown, Weller and Caponecchi upon their termination by Euronet without cause, or their voluntary termination due to their constructive termination, and, in the case of Mr. Bianchi, the severance benefits due upon his termination without cause by Euronet or upon his voluntary termination for any reason as of December 31, 2025: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3"/>
                <w:szCs w:val="13"/>
                <w:color w:val="auto"/>
              </w:rPr>
            </w:pP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8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320" w:type="dxa"/>
            <w:vAlign w:val="bottom"/>
          </w:tcPr>
          <w:p>
            <w:pPr>
              <w:spacing w:after="0"/>
              <w:rPr>
                <w:sz w:val="13"/>
                <w:szCs w:val="13"/>
                <w:color w:val="auto"/>
              </w:rPr>
            </w:pP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60" w:type="dxa"/>
            <w:vAlign w:val="bottom"/>
          </w:tcPr>
          <w:p>
            <w:pPr>
              <w:spacing w:after="0"/>
              <w:rPr>
                <w:sz w:val="13"/>
                <w:szCs w:val="13"/>
                <w:color w:val="auto"/>
              </w:rPr>
            </w:pPr>
          </w:p>
        </w:tc>
        <w:tc>
          <w:tcPr>
            <w:tcW w:w="110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 Comp(1)</w:t>
            </w:r>
          </w:p>
        </w:tc>
        <w:tc>
          <w:tcPr>
            <w:tcW w:w="3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Brown</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1,850,000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8,836,447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10,709,597</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L. Weller</w:t>
            </w:r>
          </w:p>
        </w:tc>
        <w:tc>
          <w:tcPr>
            <w:tcW w:w="260" w:type="dxa"/>
            <w:vAlign w:val="bottom"/>
          </w:tcPr>
          <w:p>
            <w:pPr>
              <w:spacing w:after="0"/>
              <w:rPr>
                <w:sz w:val="18"/>
                <w:szCs w:val="18"/>
                <w:color w:val="auto"/>
              </w:rPr>
            </w:pP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1,100,000</w:t>
            </w:r>
          </w:p>
        </w:tc>
        <w:tc>
          <w:tcPr>
            <w:tcW w:w="1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2,487,808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23,150</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3,610,958</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J. Caponecchi</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1,050,000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2,305,524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23,326</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3,378,850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C. Bianchi</w:t>
            </w:r>
          </w:p>
        </w:tc>
        <w:tc>
          <w:tcPr>
            <w:tcW w:w="260" w:type="dxa"/>
            <w:vAlign w:val="bottom"/>
          </w:tcPr>
          <w:p>
            <w:pPr>
              <w:spacing w:after="0"/>
              <w:rPr>
                <w:sz w:val="18"/>
                <w:szCs w:val="18"/>
                <w:color w:val="auto"/>
              </w:rPr>
            </w:pP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1,050,000</w:t>
            </w:r>
          </w:p>
        </w:tc>
        <w:tc>
          <w:tcPr>
            <w:tcW w:w="1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2,305,524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113,124</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3,468,648</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Nikos Fountas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1,050,000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2,305,524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3,355,524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660" w:hanging="229"/>
        <w:spacing w:after="0" w:line="25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value of unvested awards at December 31, 2025 that would become vested upon a termination without cause or constructive termination. For the purpose of this table, we have assumed the following for restricted stock awards and stock option awards that vest based on various performance measurements: (a) an annual increase in adjusted EPS of 8% each year, which represents a reasonable estimate of average annual long-term equity returns, (b) that adjusted operating income will exceed $200 million each year, (c) that Euronet’s Common Stock price will reach $125 per share and remain above the price for 30 consecutive trading days during the 24-month vesting period, except that we have assumed the vesting of stock options that have a performance measurement equal to a 10% increase in stock price for a 30 day period is achieved.</w:t>
      </w:r>
    </w:p>
    <w:p>
      <w:pPr>
        <w:spacing w:after="0" w:line="187"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In the event of a “change of control,” all equity incentive awards outstanding held by Messrs. Brown, Weller, Caponecchi, Bianchi and Fountas will become immediately vested and the term of the employment agreements become fixed at three years from the date of the change of control and they may be terminated without cause only upon payment to the executive of a lump sum within five days of the termination equal to the full amount of base salary that would have been payable during the remaining term of the agreement (or for two years, if the remaining term is less than two years), discounted at a rate of 7.5% per annum. These provisions also apply if the executive resigns for “good reason” following a “change of control.” “Good reason” includes certain changes in conditions of employment, as a result of which the executive can be considered to have been constructively terminated, including a significant diminution in responsibilities or salary or a forced relocation. In general, the employment agreements provide that “change of control” includes:</w:t>
      </w:r>
    </w:p>
    <w:p>
      <w:pPr>
        <w:spacing w:after="0" w:line="3" w:lineRule="exact"/>
        <w:rPr>
          <w:sz w:val="20"/>
          <w:szCs w:val="20"/>
          <w:color w:val="auto"/>
        </w:rPr>
      </w:pPr>
    </w:p>
    <w:p>
      <w:pPr>
        <w:jc w:val="both"/>
        <w:ind w:firstLine="8"/>
        <w:spacing w:after="0" w:line="253" w:lineRule="auto"/>
        <w:tabs>
          <w:tab w:leader="none" w:pos="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merger, consolidation or sale of substantially all of our assets and such merger results in our stockholders immediately prior to the merger holding less than 50% of the surviving entity; (ii) replacement of over 25% of our Directors without the approval of at least 75% of the Directors in office as of the effective date of the employment agreement or of Directors so approved; or (iii) the acquisition by any person or group of persons of 40% or more of the voting rights of our outstanding voting securities.</w:t>
      </w:r>
    </w:p>
    <w:p>
      <w:pPr>
        <w:spacing w:after="0" w:line="121"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Assuming a "change in control" occurred on December 31, 2025, the remaining term of the agreement was three years and assuming the amounts due under the change of control provisions outlined above would be paid in a lump sum, the following table summarizes amounts that would have accrued to these Named Executive Officers: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3"/>
                <w:szCs w:val="13"/>
                <w:color w:val="auto"/>
              </w:rPr>
            </w:pP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8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320" w:type="dxa"/>
            <w:vAlign w:val="bottom"/>
          </w:tcPr>
          <w:p>
            <w:pPr>
              <w:spacing w:after="0"/>
              <w:rPr>
                <w:sz w:val="13"/>
                <w:szCs w:val="13"/>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60" w:type="dxa"/>
            <w:vAlign w:val="bottom"/>
          </w:tcPr>
          <w:p>
            <w:pPr>
              <w:spacing w:after="0"/>
              <w:rPr>
                <w:sz w:val="13"/>
                <w:szCs w:val="13"/>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Comp(1)</w:t>
            </w:r>
          </w:p>
        </w:tc>
        <w:tc>
          <w:tcPr>
            <w:tcW w:w="3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Brown</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2,478,068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11,116,855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13,629,648</w:t>
            </w:r>
          </w:p>
        </w:tc>
        <w:tc>
          <w:tcPr>
            <w:tcW w:w="0" w:type="dxa"/>
            <w:vAlign w:val="bottom"/>
          </w:tcPr>
          <w:p>
            <w:pPr>
              <w:spacing w:after="0"/>
              <w:rPr>
                <w:sz w:val="1"/>
                <w:szCs w:val="1"/>
                <w:color w:val="auto"/>
              </w:rPr>
            </w:pPr>
          </w:p>
        </w:tc>
      </w:tr>
      <w:tr>
        <w:trPr>
          <w:trHeight w:val="229"/>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L. Weller</w:t>
            </w:r>
          </w:p>
        </w:tc>
        <w:tc>
          <w:tcPr>
            <w:tcW w:w="2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1,473,446</w:t>
            </w: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9,365,031</w:t>
            </w: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34,725</w:t>
            </w:r>
          </w:p>
        </w:tc>
        <w:tc>
          <w:tcPr>
            <w:tcW w:w="360" w:type="dxa"/>
            <w:vAlign w:val="bottom"/>
          </w:tcPr>
          <w:p>
            <w:pPr>
              <w:spacing w:after="0"/>
              <w:rPr>
                <w:sz w:val="19"/>
                <w:szCs w:val="19"/>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10,873,202</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J. Caponecchi</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1,406,471</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8,880,819</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34,989</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10,322,279</w:t>
            </w:r>
          </w:p>
        </w:tc>
        <w:tc>
          <w:tcPr>
            <w:tcW w:w="0" w:type="dxa"/>
            <w:vAlign w:val="bottom"/>
          </w:tcPr>
          <w:p>
            <w:pPr>
              <w:spacing w:after="0"/>
              <w:rPr>
                <w:sz w:val="1"/>
                <w:szCs w:val="1"/>
                <w:color w:val="auto"/>
              </w:rPr>
            </w:pPr>
          </w:p>
        </w:tc>
      </w:tr>
      <w:tr>
        <w:trPr>
          <w:trHeight w:val="229"/>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C. Bianchi</w:t>
            </w:r>
          </w:p>
        </w:tc>
        <w:tc>
          <w:tcPr>
            <w:tcW w:w="2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1,406,471</w:t>
            </w: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8,880,819</w:t>
            </w: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169,686</w:t>
            </w:r>
          </w:p>
        </w:tc>
        <w:tc>
          <w:tcPr>
            <w:tcW w:w="360" w:type="dxa"/>
            <w:vAlign w:val="bottom"/>
          </w:tcPr>
          <w:p>
            <w:pPr>
              <w:spacing w:after="0"/>
              <w:rPr>
                <w:sz w:val="19"/>
                <w:szCs w:val="19"/>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10,456,976</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Nikos Fountas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1,406,471</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8,880,819</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10,287,290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Represents the value of all unvested equity awards at December 31, 2025.</w:t>
      </w:r>
    </w:p>
    <w:p>
      <w:pPr>
        <w:sectPr>
          <w:pgSz w:w="11900" w:h="16838" w:orient="portrait"/>
          <w:cols w:equalWidth="0" w:num="1">
            <w:col w:w="11240"/>
          </w:cols>
          <w:pgMar w:left="320" w:top="117" w:right="339" w:bottom="0" w:gutter="0" w:footer="0" w:header="0"/>
        </w:sectPr>
      </w:pPr>
    </w:p>
    <w:bookmarkStart w:id="31" w:name="page32"/>
    <w:bookmarkEnd w:id="31"/>
    <w:p>
      <w:pPr>
        <w:ind w:firstLine="414"/>
        <w:spacing w:after="0" w:line="282" w:lineRule="auto"/>
        <w:rPr>
          <w:sz w:val="20"/>
          <w:szCs w:val="20"/>
          <w:color w:val="auto"/>
        </w:rPr>
      </w:pPr>
      <w:r>
        <w:rPr>
          <w:rFonts w:ascii="Times New Roman" w:cs="Times New Roman" w:eastAsia="Times New Roman" w:hAnsi="Times New Roman"/>
          <w:sz w:val="18"/>
          <w:szCs w:val="18"/>
          <w:color w:val="auto"/>
        </w:rPr>
        <w:t>The Compensation Committee has considered the above “change of control” provisions in the Named Executive Officers' employment agreements and determined that the provisions offered to executives by Euronet are reasonable and appropriate.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415"/>
        <w:spacing w:after="0" w:line="255" w:lineRule="auto"/>
        <w:rPr>
          <w:sz w:val="20"/>
          <w:szCs w:val="20"/>
          <w:color w:val="auto"/>
        </w:rPr>
      </w:pPr>
      <w:r>
        <w:rPr>
          <w:rFonts w:ascii="Times New Roman" w:cs="Times New Roman" w:eastAsia="Times New Roman" w:hAnsi="Times New Roman"/>
          <w:sz w:val="18"/>
          <w:szCs w:val="18"/>
          <w:color w:val="auto"/>
        </w:rPr>
        <w:t>Additionally, the employment agreements entitle the executives (other than Mr. Fountas) to certain rights to income and excise tax gross-up amounts in the event Section 4999 of the Code, or any similar tax law, applies to the change in control payments. If an executive is entitled to such tax gross-up payments, the gross-up payments will be made either to the executive or directly to the Internal Revenue Service. The gross-up amounts are subject to additional conditions and limitations and exclude excise taxes or other penalties under Section 409A of the Code. Assuming calendar year 2025 federal and state income rates, a termination without cause or good reason in connection with a change in control, and in the case of Mr. Bianchi, termination without cause or voluntary termination for any reason, each executive officer would have not been entitled to receive any tax gross-up payment as of December 31, 2025.</w:t>
      </w:r>
    </w:p>
    <w:p>
      <w:pPr>
        <w:spacing w:after="0" w:line="18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Compensation Committee has considered these tax gross-up clauses and has determined that it would not require elimination of such clauses where they appear in existing executive employment agreements. However, in February 2011, the Compensation Committee adopted a policy that from that date forward, it would not renew any existing agreements with tax gross-up clauses nor would it grant tax gross-up clauses in new executive employment agreements entered into by the Company.</w:t>
      </w:r>
    </w:p>
    <w:p>
      <w:pPr>
        <w:spacing w:after="0" w:line="112"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In the event of the death of an executive officer, with the exception of Mr. Caponecchi who is discussed below, the provisions of our equity award agreements generally provide that all unvested equity awards outstanding shall vest immediately. As of December 31, 2025, the value of unvested equity awards outstanding that would vest in the event of death was $11,116,855 for Mr. Brown, $9,365,031 for Mr. Weller, $8,880,819 for Mr. Bianchi and Mr. Fountas.</w:t>
      </w:r>
    </w:p>
    <w:p>
      <w:pPr>
        <w:spacing w:after="0" w:line="9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In the event of disability of an executive officer, with the exception of Mr. Caponecchi who is discussed below, the employment agreements with Messrs. Brown, Weller, Bianchi and Fountas provide for the payment of a lump-sum disability benefit equal to 12 months of the current base salary, which as of December 31, 2025 represented $925,000 for Mr. Brown, $550,000 for Mr. Weller, $525,000 for Mr. Bianchi and $525,000 for Mr. Fountas. In addition, the provisions of our equity award agreements generally provide that all equity awards outstanding shall vest immediately. As of December 31, 2025, the value of unvested equity awards outstanding that would vest in the event of disability was $11,116,855 for Mr. Brown, $9,365,031 for Mr. Weller, $8,880,819 for Mr. Bianchi and Mr. Fountas. The employment agreements with Messrs. Brown, Weller, Bianchi and Fountas also provide that the executives’ right to exercise any such awards will continue for a period of 12 months after termination due to disability.</w:t>
      </w:r>
    </w:p>
    <w:p>
      <w:pPr>
        <w:spacing w:after="0" w:line="81"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In the event of death or disability of Mr. Caponecchi, his employment agreement provides for a payment of a lump sum benefit equal to 24 months of the current base salary, which as of December 31, 2025 represented a total of $1,050,000. Mr. Caponecchi’s employment agreement also stipulates that all unvested equity incentive awards shall vest immediately, which represents $8,880,819 as of December 31, 2025. The stock options will remain exercisable pursuant to their terms after the death or disability of Mr. Caponecchi.</w:t>
      </w:r>
    </w:p>
    <w:p>
      <w:pPr>
        <w:spacing w:after="0" w:line="112"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Messrs. Brown, Weller, Caponecchi, Bianchi and Fountas must not disclose confidential information during the term of the employment agreements and following termination. Each of the agreements includes a restriction on the ability of the executive to compete with Euronet or solicit our employees during the severance period following termination. Any severance payments are conditioned on the executive officer complying with these restrictions.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8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The Company's compensation and benefits philosophy and the overall structure of its compensation and benefit programs are broadly similar across the organization to encourage and reward all employees who contribute to the Company's success. Euronet strives to ensure the pay of every employee reflects the level of their job impact and responsibilities and is competitive within the Company's peer group. Compensation rates are benchmarked and set to be market-competitive in the country in which the jobs are performed. Euronet's ongoing commitment to pay equity is critical to its success in supporting a diverse workforce with opportunities for all employees to grow, develop and contribute. Euronet employs over 10,800 people in more than 60 countries.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ratio of the 2025 total annual compensation of the CEO to that of the median of the Company's other employees was 94:1</w:t>
      </w:r>
    </w:p>
    <w:p>
      <w:pPr>
        <w:spacing w:after="0" w:line="158"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The median employee was identified by using the annual base salary of all employees as of December 31, 2025. Amounts stated in foreign currency were converted into U.S. dollars at the average 2025 foreign currency exchange rate. Annual base salary was the compensation measure used as it was the measure which was universally, consistently and reliably available in our employee information system. Total annual compensation was not used because it could not be efficiently and reliably obtained for every employee as our employees work in more than 60 countries using myriad payroll systems. However, our assessment is that the exclusion of compensation elements other than base salary does not materially affect the identification of the median employee.</w:t>
      </w:r>
    </w:p>
    <w:p>
      <w:pPr>
        <w:spacing w:after="0" w:line="102"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For 2025, the annual total compensation of the median employee was $29,595 and the annual total compensation of our CEO was $2,786,575. The total annual compensation of the median employee was determined on the same basis as that of the CEO. No cost-of-living adjustment was made.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Issuable under Stockholder Approved Plans</w:t>
      </w:r>
    </w:p>
    <w:p>
      <w:pPr>
        <w:spacing w:after="0" w:line="121"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with respect to shares of Common Stock that may be issued under our equity compensation plans as of December 31, 2025.</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 awards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6"/>
                <w:szCs w:val="16"/>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1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1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and</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3"/>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1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Rights (1)</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(a))(2)</w:t>
            </w:r>
          </w:p>
        </w:tc>
        <w:tc>
          <w:tcPr>
            <w:tcW w:w="0" w:type="dxa"/>
            <w:vAlign w:val="bottom"/>
          </w:tcPr>
          <w:p>
            <w:pPr>
              <w:spacing w:after="0"/>
              <w:rPr>
                <w:sz w:val="1"/>
                <w:szCs w:val="1"/>
                <w:color w:val="auto"/>
              </w:rPr>
            </w:pPr>
          </w:p>
        </w:tc>
      </w:tr>
      <w:tr>
        <w:trPr>
          <w:trHeight w:val="277"/>
        </w:trPr>
        <w:tc>
          <w:tcPr>
            <w:tcW w:w="1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1,058,931</w:t>
            </w:r>
          </w:p>
        </w:tc>
        <w:tc>
          <w:tcPr>
            <w:tcW w:w="0" w:type="dxa"/>
            <w:vAlign w:val="bottom"/>
          </w:tcPr>
          <w:p>
            <w:pPr>
              <w:spacing w:after="0"/>
              <w:rPr>
                <w:sz w:val="1"/>
                <w:szCs w:val="1"/>
                <w:color w:val="auto"/>
              </w:rPr>
            </w:pPr>
          </w:p>
        </w:tc>
      </w:tr>
      <w:tr>
        <w:trPr>
          <w:trHeight w:val="284"/>
        </w:trPr>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4,908,095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105.41</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1,505,979</w:t>
            </w:r>
          </w:p>
        </w:tc>
        <w:tc>
          <w:tcPr>
            <w:tcW w:w="100" w:type="dxa"/>
            <w:vAlign w:val="bottom"/>
          </w:tcPr>
          <w:p>
            <w:pPr>
              <w:spacing w:after="0"/>
              <w:rPr>
                <w:sz w:val="24"/>
                <w:szCs w:val="24"/>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6,414,074</w:t>
            </w:r>
          </w:p>
        </w:tc>
        <w:tc>
          <w:tcPr>
            <w:tcW w:w="100" w:type="dxa"/>
            <w:vAlign w:val="bottom"/>
            <w:vMerge w:val="continue"/>
          </w:tcPr>
          <w:p>
            <w:pPr>
              <w:spacing w:after="0"/>
              <w:rPr>
                <w:sz w:val="21"/>
                <w:szCs w:val="21"/>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1,058,931</w:t>
            </w:r>
          </w:p>
        </w:tc>
        <w:tc>
          <w:tcPr>
            <w:tcW w:w="0" w:type="dxa"/>
            <w:vAlign w:val="bottom"/>
          </w:tcPr>
          <w:p>
            <w:pPr>
              <w:spacing w:after="0"/>
              <w:rPr>
                <w:sz w:val="1"/>
                <w:szCs w:val="1"/>
                <w:color w:val="auto"/>
              </w:rPr>
            </w:pPr>
          </w:p>
        </w:tc>
      </w:tr>
      <w:tr>
        <w:trPr>
          <w:trHeight w:val="20"/>
        </w:trPr>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-556260</wp:posOffset>
            </wp:positionV>
            <wp:extent cx="713232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-196215</wp:posOffset>
            </wp:positionV>
            <wp:extent cx="713232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-925195</wp:posOffset>
            </wp:positionV>
            <wp:extent cx="713232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140" w:space="720"/>
            <w:col w:w="5380"/>
          </w:cols>
          <w:pgMar w:left="320" w:top="121" w:right="339" w:bottom="0" w:gutter="0" w:footer="0" w:header="0"/>
          <w:type w:val="continuous"/>
        </w:sectPr>
      </w:pPr>
    </w:p>
    <w:p>
      <w:pPr>
        <w:ind w:left="660" w:hanging="229"/>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in this column does not take into account the restricted stock unit awards.</w:t>
      </w:r>
    </w:p>
    <w:p>
      <w:pPr>
        <w:spacing w:after="0" w:line="27" w:lineRule="exact"/>
        <w:rPr>
          <w:rFonts w:ascii="Times New Roman" w:cs="Times New Roman" w:eastAsia="Times New Roman" w:hAnsi="Times New Roman"/>
          <w:sz w:val="18"/>
          <w:szCs w:val="18"/>
          <w:color w:val="auto"/>
        </w:rPr>
      </w:pPr>
    </w:p>
    <w:p>
      <w:pPr>
        <w:jc w:val="both"/>
        <w:ind w:left="660" w:hanging="229"/>
        <w:spacing w:after="0" w:line="26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shares available for future issuance are 70,342 shares remaining under our employee stock purchase plan, and 988,589 available for issuance under the equity compensation plan. During 2025, Euronet issued 28,748 shares to employees under the employee stock purchase</w:t>
      </w:r>
    </w:p>
    <w:p>
      <w:pPr>
        <w:sectPr>
          <w:pgSz w:w="11900" w:h="16838" w:orient="portrait"/>
          <w:cols w:equalWidth="0" w:num="1">
            <w:col w:w="11240"/>
          </w:cols>
          <w:pgMar w:left="320" w:top="121" w:right="339" w:bottom="0" w:gutter="0" w:footer="0" w:header="0"/>
          <w:type w:val="continuous"/>
        </w:sectPr>
      </w:pPr>
    </w:p>
    <w:bookmarkStart w:id="33" w:name="page34"/>
    <w:bookmarkEnd w:id="33"/>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81" w:lineRule="exact"/>
        <w:rPr>
          <w:sz w:val="20"/>
          <w:szCs w:val="20"/>
          <w:color w:val="auto"/>
        </w:rPr>
      </w:pPr>
    </w:p>
    <w:p>
      <w:pPr>
        <w:jc w:val="both"/>
        <w:ind w:right="20" w:firstLine="414"/>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(CAP) and certain financial performance of the Company. For further information concerning the Company’s variable pay-for-performance philosophy and how the Company aligns executive compensation with the Company’s performance, please read "Compensation Discussion and Analysis".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04"/>
        </w:trPr>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Selected</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Measure (CSM)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Total Table 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0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PEO</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Non-PEO NEO</w:t>
            </w:r>
          </w:p>
        </w:tc>
        <w:tc>
          <w:tcPr>
            <w:tcW w:w="100" w:type="dxa"/>
            <w:vAlign w:val="bottom"/>
          </w:tcPr>
          <w:p>
            <w:pPr>
              <w:spacing w:after="0"/>
              <w:rPr>
                <w:sz w:val="16"/>
                <w:szCs w:val="16"/>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Return (TSR)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20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9"/>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(6)</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6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(c)</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(d)</w:t>
            </w:r>
          </w:p>
        </w:tc>
        <w:tc>
          <w:tcPr>
            <w:tcW w:w="100" w:type="dxa"/>
            <w:vAlign w:val="bottom"/>
          </w:tcPr>
          <w:p>
            <w:pPr>
              <w:spacing w:after="0"/>
              <w:rPr>
                <w:sz w:val="18"/>
                <w:szCs w:val="18"/>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(g)</w:t>
            </w:r>
          </w:p>
        </w:tc>
        <w:tc>
          <w:tcPr>
            <w:tcW w:w="2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2,786,575</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(4,794,668)</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6,730,526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3,150,184</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153.89</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309.5</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14,115,622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12,810,113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4,942,012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4,565,495</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192.73</w:t>
            </w:r>
          </w:p>
        </w:tc>
        <w:tc>
          <w:tcPr>
            <w:tcW w:w="6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306.0</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13,816,268</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16,275,105</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4,509,404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5,434,412</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279.7</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13,817,351</w:t>
            </w:r>
          </w:p>
        </w:tc>
        <w:tc>
          <w:tcPr>
            <w:tcW w:w="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11,540,240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4,511,334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3,949,725</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117.58</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231.0</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11,680,872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8,155,437</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3,910,371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822,983</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135.32</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70.7</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580" w:right="20" w:hanging="329"/>
        <w:spacing w:after="0" w:line="241"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are the amounts reported for Mr. Brown, our CEO (referred to in the table and related information as the “PEO” or principal executive officer), for each corresponding year in the Total column of the Summary Compensation Table in each applicable year.</w:t>
      </w:r>
    </w:p>
    <w:p>
      <w:pPr>
        <w:spacing w:after="0" w:line="2" w:lineRule="exact"/>
        <w:rPr>
          <w:rFonts w:ascii="Times New Roman" w:cs="Times New Roman" w:eastAsia="Times New Roman" w:hAnsi="Times New Roman"/>
          <w:sz w:val="18"/>
          <w:szCs w:val="18"/>
          <w:color w:val="auto"/>
        </w:rPr>
      </w:pPr>
    </w:p>
    <w:p>
      <w:pPr>
        <w:jc w:val="both"/>
        <w:ind w:left="580" w:right="20" w:hanging="329"/>
        <w:spacing w:after="0" w:line="237"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amount of “compensation actually paid to Mr. Brown, as computed in accordance with Item 402(v) of Regulation S-K and do not reflect the total compensation realized or received by Mr. Brown. 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the grant.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to PEO</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2,786,575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14,115,622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13,817,351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11,680,872</w:t>
            </w:r>
          </w:p>
        </w:tc>
      </w:tr>
      <w:tr>
        <w:trPr>
          <w:trHeight w:val="198"/>
        </w:trPr>
        <w:tc>
          <w:tcPr>
            <w:tcW w:w="4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value of Stock Awards reported in Summary</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Table</w:t>
            </w: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(10,404,097)</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(10,404,260)</w:t>
            </w: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(10,404,250)</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(9,135,727)</w:t>
            </w:r>
          </w:p>
        </w:tc>
      </w:tr>
      <w:tr>
        <w:trPr>
          <w:trHeight w:val="198"/>
        </w:trPr>
        <w:tc>
          <w:tcPr>
            <w:tcW w:w="46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Change in Pension Value reported in Summary</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Table</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Plus, year-end fair value of outstanding and unvested equity</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awards granted in the year</w:t>
            </w: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10,366,397</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11,492,042</w:t>
            </w: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10,910,614</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9,384,222</w:t>
            </w:r>
          </w:p>
        </w:tc>
      </w:tr>
      <w:tr>
        <w:trPr>
          <w:trHeight w:val="198"/>
        </w:trPr>
        <w:tc>
          <w:tcPr>
            <w:tcW w:w="46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Plus (less), year over year change in fair value of outstanding</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unvested equity awards granted in prior years</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(6,823,727)</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(1,041,999)</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1,210,527</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(1,648,612)</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(2,369,813)</w:t>
            </w:r>
          </w:p>
        </w:tc>
      </w:tr>
      <w:tr>
        <w:trPr>
          <w:trHeight w:val="198"/>
        </w:trPr>
        <w:tc>
          <w:tcPr>
            <w:tcW w:w="4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Plus fair value as of the vesting date of equity awards granted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vested in the year</w:t>
            </w: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Plus (less), year over year change in fair value of equity</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awards granted in prior years that vested in the year</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(757,516)</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(225,810)</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160,528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23,827</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(233,888)</w:t>
            </w:r>
          </w:p>
        </w:tc>
      </w:tr>
      <w:tr>
        <w:trPr>
          <w:trHeight w:val="198"/>
        </w:trPr>
        <w:tc>
          <w:tcPr>
            <w:tcW w:w="4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prior year-end fair value for any equity awards forfeited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the year</w:t>
            </w: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(1,158,690)</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(1,170,229)</w:t>
            </w:r>
          </w:p>
        </w:tc>
      </w:tr>
      <w:tr>
        <w:trPr>
          <w:trHeight w:val="198"/>
        </w:trPr>
        <w:tc>
          <w:tcPr>
            <w:tcW w:w="46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Plus, pension service cost for services rendered during the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to PEO as calculated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(4,794,668)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12,810,113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16,275,105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11,540,240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8,155,437</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80" w:right="40" w:hanging="329"/>
        <w:spacing w:after="0" w:line="266" w:lineRule="auto"/>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the Company’s NEOs as a group (excluding Mr. Brown in the Total column of the Summary Compensation Table in each applicable year. The names of each of</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NEOs included for these purposes in each applicable year are as follows: Rick L. Weller, Nikos Fountas, Kevin J. Caponecchi, and Juan C.</w:t>
      </w:r>
    </w:p>
    <w:p>
      <w:pPr>
        <w:ind w:left="580"/>
        <w:spacing w:after="0"/>
        <w:rPr>
          <w:sz w:val="20"/>
          <w:szCs w:val="20"/>
          <w:color w:val="auto"/>
        </w:rPr>
      </w:pPr>
      <w:r>
        <w:rPr>
          <w:rFonts w:ascii="Times New Roman" w:cs="Times New Roman" w:eastAsia="Times New Roman" w:hAnsi="Times New Roman"/>
          <w:sz w:val="18"/>
          <w:szCs w:val="18"/>
          <w:color w:val="auto"/>
        </w:rPr>
        <w:t>Bianchi.</w:t>
      </w:r>
    </w:p>
    <w:p>
      <w:pPr>
        <w:spacing w:after="0" w:line="7" w:lineRule="exact"/>
        <w:rPr>
          <w:sz w:val="20"/>
          <w:szCs w:val="20"/>
          <w:color w:val="auto"/>
        </w:rPr>
      </w:pPr>
    </w:p>
    <w:p>
      <w:pPr>
        <w:jc w:val="both"/>
        <w:ind w:left="580" w:right="40" w:hanging="319"/>
        <w:spacing w:after="0" w:line="235" w:lineRule="auto"/>
        <w:tabs>
          <w:tab w:leader="none" w:pos="560" w:val="left"/>
        </w:tabs>
        <w:rPr>
          <w:sz w:val="20"/>
          <w:szCs w:val="20"/>
          <w:color w:val="auto"/>
        </w:rPr>
      </w:pPr>
      <w:r>
        <w:rPr>
          <w:rFonts w:ascii="Times New Roman" w:cs="Times New Roman" w:eastAsia="Times New Roman" w:hAnsi="Times New Roman"/>
          <w:sz w:val="18"/>
          <w:szCs w:val="18"/>
          <w:color w:val="auto"/>
        </w:rPr>
        <w:t>(4)</w:t>
        <w:tab/>
        <w:t>The dollar amounts reported in column (e) represent the average amount of “compensation actually paid” to NEOs as a group (excluding Mr. Brown), as computed in accordance with item 402(v) of Regulation S-K and do not reflect the total compensation realized or received by such persons.</w:t>
      </w:r>
    </w:p>
    <w:p>
      <w:pPr>
        <w:spacing w:after="0" w:line="1" w:lineRule="exact"/>
        <w:rPr>
          <w:sz w:val="20"/>
          <w:szCs w:val="20"/>
          <w:color w:val="auto"/>
        </w:rPr>
      </w:pPr>
    </w:p>
    <w:p>
      <w:pPr>
        <w:jc w:val="both"/>
        <w:ind w:right="20" w:firstLine="414"/>
        <w:spacing w:after="0" w:line="254" w:lineRule="auto"/>
        <w:rPr>
          <w:sz w:val="20"/>
          <w:szCs w:val="20"/>
          <w:color w:val="auto"/>
        </w:rPr>
      </w:pPr>
      <w:r>
        <w:rPr>
          <w:rFonts w:ascii="Times New Roman" w:cs="Times New Roman" w:eastAsia="Times New Roman" w:hAnsi="Times New Roman"/>
          <w:sz w:val="18"/>
          <w:szCs w:val="18"/>
          <w:color w:val="auto"/>
        </w:rPr>
        <w:t>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the grant.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Average Compensation Paid to Non-PEO NEOs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6,730,526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4,942,012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4,509,404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4,511,334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3,910,371</w:t>
            </w:r>
          </w:p>
        </w:tc>
      </w:tr>
      <w:tr>
        <w:trPr>
          <w:trHeight w:val="198"/>
        </w:trPr>
        <w:tc>
          <w:tcPr>
            <w:tcW w:w="4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value of Stock Awards reported in Summary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Table</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(5,402,072)</w:t>
            </w:r>
          </w:p>
        </w:tc>
        <w:tc>
          <w:tcPr>
            <w:tcW w:w="2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(3,225,280)</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(3,016,741)</w:t>
            </w:r>
          </w:p>
        </w:tc>
        <w:tc>
          <w:tcPr>
            <w:tcW w:w="2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(3,016,730)</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(2,702,164)</w:t>
            </w:r>
          </w:p>
        </w:tc>
      </w:tr>
      <w:tr>
        <w:trPr>
          <w:trHeight w:val="198"/>
        </w:trPr>
        <w:tc>
          <w:tcPr>
            <w:tcW w:w="46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Change in Pension Value reported in Summary</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Table</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Plus, year-end fair value of outstanding and unvested equity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awards granted in the year</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4,578,017</w:t>
            </w:r>
          </w:p>
        </w:tc>
        <w:tc>
          <w:tcPr>
            <w:tcW w:w="2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3,213,595</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3,238,180</w:t>
            </w:r>
          </w:p>
        </w:tc>
        <w:tc>
          <w:tcPr>
            <w:tcW w:w="2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3,163,551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2,772,164</w:t>
            </w:r>
          </w:p>
        </w:tc>
      </w:tr>
      <w:tr>
        <w:trPr>
          <w:trHeight w:val="234"/>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Plus (less), year over year change in fair value of outstanding</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(2,243,964)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(296,714)</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304,426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(629,997)</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(2,555,345)</w:t>
            </w:r>
          </w:p>
        </w:tc>
      </w:tr>
      <w:tr>
        <w:trPr>
          <w:trHeight w:val="72"/>
        </w:trPr>
        <w:tc>
          <w:tcPr>
            <w:tcW w:w="46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bl>
    <w:p>
      <w:pPr>
        <w:sectPr>
          <w:pgSz w:w="11900" w:h="16900" w:orient="portrait"/>
          <w:cols w:equalWidth="0" w:num="1">
            <w:col w:w="11260"/>
          </w:cols>
          <w:pgMar w:left="320" w:top="121" w:right="319" w:bottom="0" w:gutter="0" w:footer="0" w:header="0"/>
        </w:sectPr>
      </w:pPr>
    </w:p>
    <w:bookmarkStart w:id="34" w:name="page35"/>
    <w:bookmarkEnd w:id="34"/>
    <w:p>
      <w:pPr>
        <w:ind w:left="120"/>
        <w:spacing w:after="0"/>
        <w:rPr>
          <w:sz w:val="20"/>
          <w:szCs w:val="20"/>
          <w:color w:val="auto"/>
        </w:rPr>
      </w:pPr>
      <w:r>
        <w:rPr>
          <w:rFonts w:ascii="Times New Roman" w:cs="Times New Roman" w:eastAsia="Times New Roman" w:hAnsi="Times New Roman"/>
          <w:sz w:val="18"/>
          <w:szCs w:val="18"/>
          <w:color w:val="auto"/>
        </w:rPr>
        <w:t>and unvested equity awards granted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Plus fair value as of the vesting date of equity awards granted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vested in the year</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9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Plus (less), year over year change in fair value of equity</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awards granted in prior years that vested in the year</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(512,323)</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(68,118)</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399,143</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263,317</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(85,149)</w:t>
            </w:r>
          </w:p>
        </w:tc>
      </w:tr>
      <w:tr>
        <w:trPr>
          <w:trHeight w:val="198"/>
        </w:trPr>
        <w:tc>
          <w:tcPr>
            <w:tcW w:w="49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prior year-end fair value for any equity awards forfeited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year</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(341,750)</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(516,894)</w:t>
            </w:r>
          </w:p>
        </w:tc>
      </w:tr>
      <w:tr>
        <w:trPr>
          <w:trHeight w:val="198"/>
        </w:trPr>
        <w:tc>
          <w:tcPr>
            <w:tcW w:w="49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Plus, pension service cost for services rendered during the</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Compensation Actually Paid to Non-PEO NEOs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3,150,184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4,565,495</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5,434,412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3,949,725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822,983</w:t>
            </w: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580" w:hanging="329"/>
        <w:spacing w:after="0" w:line="260" w:lineRule="auto"/>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difference between the Company’s share price at the end of each fiscal year shown and the beginning of the measurement period by the Company’s share price at the beginning of the measurement period. The beginning of the measurement period for each year in the table is the closing price on December 31, 2020</w:t>
      </w:r>
    </w:p>
    <w:p>
      <w:pPr>
        <w:spacing w:after="0" w:line="2" w:lineRule="exact"/>
        <w:rPr>
          <w:rFonts w:ascii="Times New Roman" w:cs="Times New Roman" w:eastAsia="Times New Roman" w:hAnsi="Times New Roman"/>
          <w:sz w:val="18"/>
          <w:szCs w:val="18"/>
          <w:color w:val="auto"/>
        </w:rPr>
      </w:pPr>
    </w:p>
    <w:p>
      <w:pPr>
        <w:ind w:left="580" w:hanging="329"/>
        <w:spacing w:after="0" w:line="258" w:lineRule="auto"/>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used for calculating Peer Group Total Shareholder Return is the same peer group used by the Company for benchmarking compensation.</w:t>
      </w:r>
    </w:p>
    <w:p>
      <w:pPr>
        <w:ind w:left="580" w:hanging="329"/>
        <w:spacing w:after="0"/>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are from the Company’s audited financial statements for the applicable year.</w:t>
      </w:r>
    </w:p>
    <w:p>
      <w:pPr>
        <w:spacing w:after="0" w:line="36"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Share on a constant currency basis is a non-GAAP financial measure. For additional information including a corresponding reconciliation to GAAP financial measures, see Appendix A Reconciliation of Adjusted Earnings per Share on a constant currency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Most Important Measures</w:t>
      </w:r>
    </w:p>
    <w:p>
      <w:pPr>
        <w:spacing w:after="0" w:line="25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most important financial performance measure used by the Company to link executive compensation actually paid to the Company’s NEOs, for the most recently completed fiscal year, to the Company’s performance is Adjusted Earnings per Share on a constant currency basis, adjusted operating income and increases in the Company's stock prices. These performance measures are included and considered in the evaluation of Company performance as part of executive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Pay Versus Performance: Graphical Description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illustrations below provide a graphical description of CAP and the following measures:</w:t>
      </w:r>
    </w:p>
    <w:p>
      <w:pPr>
        <w:spacing w:after="0" w:line="117" w:lineRule="exact"/>
        <w:rPr>
          <w:sz w:val="20"/>
          <w:szCs w:val="20"/>
          <w:color w:val="auto"/>
        </w:rPr>
      </w:pPr>
    </w:p>
    <w:p>
      <w:pPr>
        <w:ind w:left="960" w:right="4319"/>
        <w:spacing w:after="0" w:line="261" w:lineRule="auto"/>
        <w:rPr>
          <w:sz w:val="20"/>
          <w:szCs w:val="20"/>
          <w:color w:val="auto"/>
        </w:rPr>
      </w:pPr>
      <w:r>
        <w:rPr>
          <w:rFonts w:ascii="Times New Roman" w:cs="Times New Roman" w:eastAsia="Times New Roman" w:hAnsi="Times New Roman"/>
          <w:sz w:val="18"/>
          <w:szCs w:val="18"/>
          <w:color w:val="auto"/>
        </w:rPr>
        <w:t>the Company’s cumulative TSR and Peer Group’s cumulative TSR: the Company’s Net Income; and</w:t>
      </w:r>
    </w:p>
    <w:p>
      <w:pPr>
        <w:ind w:left="580"/>
        <w:spacing w:after="0"/>
        <w:rPr>
          <w:sz w:val="20"/>
          <w:szCs w:val="20"/>
          <w:color w:val="auto"/>
        </w:rPr>
      </w:pPr>
      <w:r>
        <w:rPr>
          <w:rFonts w:ascii="Times New Roman" w:cs="Times New Roman" w:eastAsia="Times New Roman" w:hAnsi="Times New Roman"/>
          <w:sz w:val="18"/>
          <w:szCs w:val="18"/>
          <w:color w:val="auto"/>
        </w:rPr>
        <w:t>the Company Selected Measure, which for Euronet is Adjusted Earnings per Share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228600</wp:posOffset>
            </wp:positionV>
            <wp:extent cx="4697730" cy="25203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9773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1"/>
          <w:szCs w:val="11"/>
          <w:color w:val="FFFFF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339725</wp:posOffset>
            </wp:positionV>
            <wp:extent cx="4697730" cy="25203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9773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1"/>
          <w:szCs w:val="11"/>
          <w:color w:val="FFFFFF"/>
        </w:rPr>
        <w:t>a</w:t>
      </w: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1408430</wp:posOffset>
            </wp:positionH>
            <wp:positionV relativeFrom="page">
              <wp:posOffset>88900</wp:posOffset>
            </wp:positionV>
            <wp:extent cx="4697730" cy="25203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469773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1"/>
          <w:szCs w:val="11"/>
          <w:color w:val="FFFFFF"/>
        </w:rPr>
        <w:t>a</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FFFFFF"/>
        </w:rPr>
        <w:t>a</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DIRECTOR COMPENSATION</w:t>
      </w:r>
    </w:p>
    <w:p>
      <w:pPr>
        <w:spacing w:after="0" w:line="206"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In 2025, non-management Directors received $260,000 annually for serving on the Board. The Board fee consisted of annual cash compensation in the amount of $100,000 paid at the beginning of the term and common stock valued at $160,000 that is granted on the date of our annual meeting of stockholders and vests immediately. Non-management Directors received additional annual compensation for serving in certain Board leadership roles as follows: (i) the Lead Independent Director received cash compensation of $30,000, (ii) the Chairperson of the Audit Committee received cash compensation of $25,000, (iii) the Chairman of the Compensation Committee received cash compensation of $20,000, and (iv) the Chairman of the Nominating and Corporate Governance Committee received cash compensation of $15,000. Directors may elect to take all of their Board fees as an award of common stock.</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that the compensation paid to non-management Directors in 2025 was appropriate.</w:t>
      </w:r>
    </w:p>
    <w:p>
      <w:pPr>
        <w:spacing w:after="0" w:line="225"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During 2025, in addition to reimbursement of out-of-pocket expenses, each non-management Director was compensated as summarized in the table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for 2025</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8"/>
        </w:trPr>
        <w:tc>
          <w:tcPr>
            <w:tcW w:w="6980" w:type="dxa"/>
            <w:vAlign w:val="bottom"/>
            <w:gridSpan w:val="3"/>
          </w:tcPr>
          <w:p>
            <w:pPr>
              <w:ind w:left="260"/>
              <w:spacing w:after="0" w:line="178" w:lineRule="exact"/>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auto"/>
              </w:rPr>
              <w:t>Paid in Cash</w:t>
            </w:r>
          </w:p>
        </w:tc>
        <w:tc>
          <w:tcPr>
            <w:tcW w:w="100" w:type="dxa"/>
            <w:vAlign w:val="bottom"/>
          </w:tcPr>
          <w:p>
            <w:pPr>
              <w:spacing w:after="0"/>
              <w:rPr>
                <w:sz w:val="15"/>
                <w:szCs w:val="15"/>
                <w:color w:val="auto"/>
              </w:rPr>
            </w:pPr>
          </w:p>
        </w:tc>
        <w:tc>
          <w:tcPr>
            <w:tcW w:w="1240" w:type="dxa"/>
            <w:vAlign w:val="bottom"/>
          </w:tcPr>
          <w:p>
            <w:pPr>
              <w:jc w:val="right"/>
              <w:ind w:right="11"/>
              <w:spacing w:after="0" w:line="178" w:lineRule="exact"/>
              <w:rPr>
                <w:sz w:val="20"/>
                <w:szCs w:val="20"/>
                <w:color w:val="auto"/>
              </w:rPr>
            </w:pPr>
            <w:r>
              <w:rPr>
                <w:rFonts w:ascii="Times New Roman" w:cs="Times New Roman" w:eastAsia="Times New Roman" w:hAnsi="Times New Roman"/>
                <w:sz w:val="16"/>
                <w:szCs w:val="16"/>
                <w:b w:val="1"/>
                <w:bCs w:val="1"/>
                <w:color w:val="auto"/>
                <w:w w:val="98"/>
              </w:rPr>
              <w:t>Stock Awards(5)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11"/>
              <w:spacing w:after="0" w:line="178"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Thomas A. McDonnell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290,000</w:t>
            </w:r>
          </w:p>
        </w:tc>
      </w:tr>
      <w:tr>
        <w:trPr>
          <w:trHeight w:val="216"/>
        </w:trPr>
        <w:tc>
          <w:tcPr>
            <w:tcW w:w="69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Brad Sprong (2)</w:t>
            </w: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285,000</w:t>
            </w:r>
          </w:p>
        </w:tc>
      </w:tr>
      <w:tr>
        <w:trPr>
          <w:trHeight w:val="216"/>
        </w:trPr>
        <w:tc>
          <w:tcPr>
            <w:tcW w:w="6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Michael N. Frumkin (3)</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280,000</w:t>
            </w:r>
          </w:p>
        </w:tc>
      </w:tr>
      <w:tr>
        <w:trPr>
          <w:trHeight w:val="216"/>
        </w:trPr>
        <w:tc>
          <w:tcPr>
            <w:tcW w:w="69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Paul S. Althasen (4)</w:t>
            </w: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275,000</w:t>
            </w:r>
          </w:p>
        </w:tc>
      </w:tr>
      <w:tr>
        <w:trPr>
          <w:trHeight w:val="216"/>
        </w:trPr>
        <w:tc>
          <w:tcPr>
            <w:tcW w:w="6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Dr. Andrzej Olechowski</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260,000</w:t>
            </w:r>
          </w:p>
        </w:tc>
      </w:tr>
      <w:tr>
        <w:trPr>
          <w:trHeight w:val="216"/>
        </w:trPr>
        <w:tc>
          <w:tcPr>
            <w:tcW w:w="69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Ligia Torres Fentanes</w:t>
            </w: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260,000</w:t>
            </w:r>
          </w:p>
        </w:tc>
      </w:tr>
      <w:tr>
        <w:trPr>
          <w:trHeight w:val="216"/>
        </w:trPr>
        <w:tc>
          <w:tcPr>
            <w:tcW w:w="6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Sara Baack</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260,000</w:t>
            </w:r>
          </w:p>
        </w:tc>
      </w:tr>
      <w:tr>
        <w:trPr>
          <w:trHeight w:val="234"/>
        </w:trPr>
        <w:tc>
          <w:tcPr>
            <w:tcW w:w="69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Sergi Herrero</w:t>
            </w:r>
          </w:p>
        </w:tc>
        <w:tc>
          <w:tcPr>
            <w:tcW w:w="14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260,000</w:t>
            </w:r>
          </w:p>
        </w:tc>
      </w:tr>
    </w:tbl>
    <w:p>
      <w:pPr>
        <w:spacing w:after="0" w:line="179" w:lineRule="exact"/>
        <w:rPr>
          <w:sz w:val="20"/>
          <w:szCs w:val="20"/>
          <w:color w:val="auto"/>
        </w:rPr>
      </w:pPr>
    </w:p>
    <w:p>
      <w:pPr>
        <w:ind w:left="660" w:hanging="229"/>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$30,000 in cash for his role as Lead Independent Director.</w:t>
      </w:r>
    </w:p>
    <w:p>
      <w:pPr>
        <w:spacing w:after="0" w:line="27" w:lineRule="exact"/>
        <w:rPr>
          <w:rFonts w:ascii="Times New Roman" w:cs="Times New Roman" w:eastAsia="Times New Roman" w:hAnsi="Times New Roman"/>
          <w:sz w:val="18"/>
          <w:szCs w:val="18"/>
          <w:color w:val="auto"/>
        </w:rPr>
      </w:pPr>
    </w:p>
    <w:p>
      <w:pPr>
        <w:ind w:left="660" w:hanging="229"/>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$25,000 in cash for his role as Chairperson of the Audit Committee.</w:t>
      </w:r>
    </w:p>
    <w:p>
      <w:pPr>
        <w:spacing w:after="0" w:line="9" w:lineRule="exact"/>
        <w:rPr>
          <w:rFonts w:ascii="Times New Roman" w:cs="Times New Roman" w:eastAsia="Times New Roman" w:hAnsi="Times New Roman"/>
          <w:sz w:val="18"/>
          <w:szCs w:val="18"/>
          <w:color w:val="auto"/>
        </w:rPr>
      </w:pPr>
    </w:p>
    <w:p>
      <w:pPr>
        <w:ind w:left="660" w:hanging="229"/>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in cash for his role as Chairperson of the Compensation Committee.</w:t>
      </w:r>
    </w:p>
    <w:p>
      <w:pPr>
        <w:spacing w:after="0" w:line="9" w:lineRule="exact"/>
        <w:rPr>
          <w:rFonts w:ascii="Times New Roman" w:cs="Times New Roman" w:eastAsia="Times New Roman" w:hAnsi="Times New Roman"/>
          <w:sz w:val="18"/>
          <w:szCs w:val="18"/>
          <w:color w:val="auto"/>
        </w:rPr>
      </w:pPr>
    </w:p>
    <w:p>
      <w:pPr>
        <w:ind w:left="660" w:hanging="229"/>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in cash for his role as Chairperson of the Nominating and Corporate Governance Committee.</w:t>
      </w:r>
    </w:p>
    <w:p>
      <w:pPr>
        <w:spacing w:after="0" w:line="9" w:lineRule="exact"/>
        <w:rPr>
          <w:rFonts w:ascii="Times New Roman" w:cs="Times New Roman" w:eastAsia="Times New Roman" w:hAnsi="Times New Roman"/>
          <w:sz w:val="18"/>
          <w:szCs w:val="18"/>
          <w:color w:val="auto"/>
        </w:rPr>
      </w:pPr>
    </w:p>
    <w:p>
      <w:pPr>
        <w:jc w:val="both"/>
        <w:ind w:left="660" w:hanging="229"/>
        <w:spacing w:after="0" w:line="25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granted to Directors as compensation vest immediately on the grant date. For 2025, the value per share at the grant date (May 14, 2025, the date of last year's annual meeting) was $110.14 per share for each non-management Director. The aggregate grant date fair value is computed in accordance with FASB Accounting Standards Codification Topic 718.</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COMPENSATION COMMITTEE INTERLOCKS AND INSIDER PARTICIPATION</w:t>
      </w:r>
    </w:p>
    <w:p>
      <w:pPr>
        <w:spacing w:after="0" w:line="20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None of the persons who served on the Company’s Compensation Committee during the last completed fiscal year (current members Michael N. Frumkin, Thomas A. McDonnell and Sergi Herrero and former members Andrzej Olechowski, Andrew B. Schmitt, Paul S. Althasen, Ligia Torres Fentanes, Sara Baack and Brad Sprong) (i) was an officer or employee of the Company; or (ii) had any relationship requiring disclosure under Item 404 of Regulation S-K.</w:t>
      </w:r>
    </w:p>
    <w:p>
      <w:pPr>
        <w:spacing w:after="0" w:line="180"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None of the Company’s executive officers, during the last completed fiscal year, served as a (i) member of the compensation committee (or equivalent) of another entity, one of whose executive officers served on the Company’s Compensation Committee; (ii) director of another entity, one of whose executive officers served on the Company’s Compensation Committee; or (iii) member of the compensation committee (or equivalent) of another entity, one of whose executive officers served as the Company’s Director.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0" w:gutter="0" w:footer="0" w:header="0"/>
        </w:sectPr>
      </w:pPr>
    </w:p>
    <w:bookmarkStart w:id="37" w:name="page38"/>
    <w:bookmarkEnd w:id="37"/>
    <w:p>
      <w:pPr>
        <w:ind w:left="1860"/>
        <w:spacing w:after="0"/>
        <w:rPr>
          <w:sz w:val="20"/>
          <w:szCs w:val="20"/>
          <w:color w:val="auto"/>
        </w:rPr>
      </w:pPr>
      <w:r>
        <w:rPr>
          <w:rFonts w:ascii="Times New Roman" w:cs="Times New Roman" w:eastAsia="Times New Roman" w:hAnsi="Times New Roman"/>
          <w:sz w:val="22"/>
          <w:szCs w:val="22"/>
          <w:b w:val="1"/>
          <w:bCs w:val="1"/>
          <w:color w:val="006EB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29845"/>
                    </a:xfrm>
                    <a:prstGeom prst="rect">
                      <a:avLst/>
                    </a:prstGeom>
                    <a:noFill/>
                  </pic:spPr>
                </pic:pic>
              </a:graphicData>
            </a:graphic>
          </wp:anchor>
        </w:drawing>
        <w:t>CERTAIN RELATIONSHIPS AND RELATED TRANSACTIONS AND DIRECTOR</w:t>
      </w:r>
    </w:p>
    <w:p>
      <w:pPr>
        <w:ind w:left="4760"/>
        <w:spacing w:after="0"/>
        <w:rPr>
          <w:sz w:val="20"/>
          <w:szCs w:val="20"/>
          <w:color w:val="auto"/>
        </w:rPr>
      </w:pPr>
      <w:r>
        <w:rPr>
          <w:rFonts w:ascii="Times New Roman" w:cs="Times New Roman" w:eastAsia="Times New Roman" w:hAnsi="Times New Roman"/>
          <w:sz w:val="22"/>
          <w:szCs w:val="22"/>
          <w:b w:val="1"/>
          <w:bCs w:val="1"/>
          <w:color w:val="006EBF"/>
        </w:rPr>
        <w:t>INDEPENDENCE</w:t>
      </w:r>
    </w:p>
    <w:p>
      <w:pPr>
        <w:spacing w:after="0" w:line="178"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On January 1, 2014, we entered into a Non-Continuous Aircraft Dry Lease (the "M+M Lease") with M+M X, LLC, a company that is owned by our Chief Executive Officer, President and Chairman of the Board of Directors, Mr. Brown. The M+M Lease makes a Cessna Model 750 aircraft available to Euronet for transportation of executives with no minimum usage requirements, in consideration of payment of a fee of $5,500 per hour. The Audit Committee of the Board examined the M+M Lease and determined that those terms were fair to Euronet. The total amount paid to M+M X, LLC under the lease agreement during the year 2025 was $0.5 million.</w:t>
      </w:r>
    </w:p>
    <w:p>
      <w:pPr>
        <w:spacing w:after="0" w:line="183"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Our Code of Conduct provides that no related party transaction that would require disclosure under the U.S. securities laws may be consummated or continued unless the transaction is approved or ratified by the Audit Committee. In determining whether to approve or ratify a related party transaction, the Audit Committee will take into account,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M+M Lease was ratified by the Audit Committee in accordance with this policy.</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of our Directors, with the exception of Mr. Brown, are independent under the listing standards of The Nasdaq Stock Market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AUDIT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Audit Committee reviewed and discussed Euronet’s audited consolidated financial statements for fiscal year 2025 with management. The Audit Committee has also discussed with the independent registered public accounting firm the matters required to be discussed by the applicable requirements of the Public Company Accounting Oversight Board (PCAOB) and the SEC.</w:t>
      </w:r>
    </w:p>
    <w:p>
      <w:pPr>
        <w:spacing w:after="0" w:line="176"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176"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Euronet’s audited consolidated financial statements be included in the Annual Report on Form 10-K for the year ended December 31, 2025 for filing with the SEC.</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Brad Sprong, Chair</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Thomas A. McDonnell</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Sara Baack</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Ligia Torres Fentanes</w:t>
      </w:r>
    </w:p>
    <w:p>
      <w:pPr>
        <w:spacing w:after="0" w:line="185"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Audit Committee Report is not deemed “soliciting material” and is not deemed filed with the SEC or subject to Regulation 14A or the liabilities under Section 18 of the Exchange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of the Company’s Independent Auditors</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KPMG LLP served as Euronet’s independent registered public accounting firm as of and for the year ended December 31, 2025. As such, KPMG LLP performed professional services in connection with the audit of the consolidated financial statements of Euronet and the review of reports filed with the SEC, and performed an audit of the effectiveness of our internal control over financial reporting as of December 31, 2025.</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62"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Audit fees for financial statement audits were $3,730,400 during 2025 and $3,543,054 during 2024. Audit fees include fees for services performed to comply with the standards of the Public Company Accounting Oversight Board (United States) and Generally Accepted Auditing Standards, including the recurring audit of Euronet’s consolidated financial statements and fees related to the audit of the effectiveness of our internal control over financial reporting as required by the Sarbanes-Oxley Act of 2002. This category also includes fees for audits provided in connection with integrated audits and statutory filings, comfort letters, consents and assistance with and review of documents filed with the SEC.</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48"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There were no audit-related fees in 2025 and 2024. This category includes fees related to reporting on controls at a service organization, assistance in financial due diligence related to mergers and acquisitions, consultations regarding Generally Accepted Accounting Principles, reviews and evaluations of the impact of new regulatory pronouncements, general assistance with implementation of new SEC guidance, audit services not required by statute or regulation and other attest services.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There were $79,500 in tax fees during 2025 and $74,000 during 2024. This category includes fees associated with tax compliance and other services related to tax disclosure and filing requirements.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other fees were paid to KPMG LLP during both 2025 and 2024.</w:t>
      </w:r>
    </w:p>
    <w:p>
      <w:pPr>
        <w:sectPr>
          <w:pgSz w:w="11900" w:h="16838" w:orient="portrait"/>
          <w:cols w:equalWidth="0" w:num="1">
            <w:col w:w="11240"/>
          </w:cols>
          <w:pgMar w:left="320" w:top="329" w:right="339" w:bottom="2"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9" w:right="339" w:bottom="2" w:gutter="0" w:footer="0" w:header="0"/>
          <w:type w:val="continuous"/>
        </w:sectPr>
      </w:pPr>
    </w:p>
    <w:bookmarkStart w:id="38" w:name="page39"/>
    <w:bookmarkEnd w:id="38"/>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The Audit Committee has concluded that the provision by KPMG LLP of the services described under the captions “Audit-Related Fees,” “Tax Fees” and “All Other Fees” above is compatible with maintaining the independence of KPMG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The Audit Committee has adopted policies that prohibit us from engaging our independent registered public accounting firm to perform any service that the independent registered public accounting firm is prohibited by the securities laws from providing. Such procedures require the Audit Committee to pre-approve or reject any audit or non-audit services. The Chairperson, with the assistance of Euronet’s Chief Financial Officer, presents and describes at regularly scheduled Audit Committee meetings all services that are subject to pre-approval. The authority to pre-approve permitted services may be delegated to one or more members of the Audit Committee and pre-approval may be granted between meetings, as long as any such pre-approval of services is presented to the full Audit Committee at its next scheduled meeting. The Audit Committee regularly examines whether the fees for auditor services exceed estimates.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Audit Committee pre-approved all services that KPMG LLP rendered to Euronet for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OTHER MATTERS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94" w:lineRule="exact"/>
        <w:rPr>
          <w:sz w:val="20"/>
          <w:szCs w:val="20"/>
          <w:color w:val="auto"/>
        </w:rPr>
      </w:pPr>
    </w:p>
    <w:p>
      <w:pPr>
        <w:jc w:val="both"/>
        <w:ind w:firstLine="414"/>
        <w:spacing w:after="0" w:line="226" w:lineRule="auto"/>
        <w:rPr>
          <w:sz w:val="20"/>
          <w:szCs w:val="20"/>
          <w:color w:val="auto"/>
        </w:rPr>
      </w:pPr>
      <w:r>
        <w:rPr>
          <w:rFonts w:ascii="Times New Roman" w:cs="Times New Roman" w:eastAsia="Times New Roman" w:hAnsi="Times New Roman"/>
          <w:sz w:val="18"/>
          <w:szCs w:val="18"/>
          <w:color w:val="auto"/>
        </w:rPr>
        <w:t>The Board knows of no other business which may come before the Annual Meeting. If, however, any other matters are properly presented at the Annual Meeting, it is the intention of the persons named in the accompanying proxy to vote, or otherwise act, in accordance with their judgment on such matters.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81" w:lineRule="exact"/>
        <w:rPr>
          <w:sz w:val="20"/>
          <w:szCs w:val="20"/>
          <w:color w:val="auto"/>
        </w:rPr>
      </w:pPr>
    </w:p>
    <w:p>
      <w:pPr>
        <w:jc w:val="both"/>
        <w:ind w:firstLine="414"/>
        <w:spacing w:after="0" w:line="222" w:lineRule="auto"/>
        <w:rPr>
          <w:sz w:val="20"/>
          <w:szCs w:val="20"/>
          <w:color w:val="auto"/>
        </w:rPr>
      </w:pPr>
      <w:r>
        <w:rPr>
          <w:rFonts w:ascii="Times New Roman" w:cs="Times New Roman" w:eastAsia="Times New Roman" w:hAnsi="Times New Roman"/>
          <w:sz w:val="18"/>
          <w:szCs w:val="18"/>
          <w:color w:val="auto"/>
        </w:rPr>
        <w:t>If you and other residents at your mailing address own shares in street name, your broker, bank or other nominee may have sent you a notice that your household will receive only one Annual Report and Proxy Statement for each company in which you hold shares through that broker, bank or nominee.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This practice is called “householding.” If you did not respond that you did not want to participate in householding, you are deemed to have consented to that process. If these procedures apply to you, your broker, bank or other nominee will have sent one copy of the Notice and, if applicable, our Annual Report to stockholders and Proxy Statement to your address. You may revoke your consent to householding at any time by contacting your broker, bank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nominee. If you did not receive an individual copy of the Notice and, if applicable, our Annual Report to stockholders and/or Proxy Statement, we will send copies to you if you contact us by writing to the Secretary of Euronet, 11400 Tomahawk Creek Parkway, Suite 300, Leawood, Kansas 66211 or by calling (913) 327-4200. If you and other residents at your address have been receiving multiple copies of the Notice and, if applicable, our Annual</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Report to stockholders and Proxy Statement and desire to receive only a single copy of these materials, you may contact your broker, bank or other nominee or contact us at the above address or telephone number.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for Inclusion in Euronet’s Proxy Statement</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submit proposals for consideration at future stockholder meetings. For a stockholder proposal to be considered for inclusion in Euronet’s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Proxy Statement for the annual stockholder meeting next year, the Secretary must receive the written proposal at our principal executive offices no later than December 11, 2026. Such proposals also must comply with SEC regulations under Rule 14a-8 regarding the inclusion of stockholder proposals in company-sponsored proxy materials. Proposals should be addressed to:</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Secretary</w:t>
      </w:r>
    </w:p>
    <w:p>
      <w:pPr>
        <w:jc w:val="center"/>
        <w:spacing w:after="0" w:line="203" w:lineRule="auto"/>
        <w:rPr>
          <w:sz w:val="20"/>
          <w:szCs w:val="20"/>
          <w:color w:val="auto"/>
        </w:rPr>
      </w:pPr>
      <w:r>
        <w:rPr>
          <w:rFonts w:ascii="Times New Roman" w:cs="Times New Roman" w:eastAsia="Times New Roman" w:hAnsi="Times New Roman"/>
          <w:sz w:val="18"/>
          <w:szCs w:val="18"/>
          <w:color w:val="auto"/>
        </w:rPr>
        <w:t>Euronet Worldwide, Inc.</w:t>
      </w:r>
    </w:p>
    <w:p>
      <w:pPr>
        <w:jc w:val="center"/>
        <w:spacing w:after="0" w:line="219" w:lineRule="auto"/>
        <w:rPr>
          <w:sz w:val="20"/>
          <w:szCs w:val="20"/>
          <w:color w:val="auto"/>
        </w:rPr>
      </w:pPr>
      <w:r>
        <w:rPr>
          <w:rFonts w:ascii="Times New Roman" w:cs="Times New Roman" w:eastAsia="Times New Roman" w:hAnsi="Times New Roman"/>
          <w:sz w:val="18"/>
          <w:szCs w:val="18"/>
          <w:color w:val="auto"/>
        </w:rPr>
        <w:t>11400 Tomahawk Creek Parkway, Suite 300</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Leawood, Kansas 66211</w:t>
      </w:r>
    </w:p>
    <w:p>
      <w:pPr>
        <w:spacing w:after="0" w:line="43" w:lineRule="exact"/>
        <w:rPr>
          <w:sz w:val="20"/>
          <w:szCs w:val="20"/>
          <w:color w:val="auto"/>
        </w:rPr>
      </w:pPr>
    </w:p>
    <w:p>
      <w:pPr>
        <w:jc w:val="both"/>
        <w:ind w:right="20" w:firstLine="414"/>
        <w:spacing w:after="0" w:line="237" w:lineRule="auto"/>
        <w:rPr>
          <w:sz w:val="20"/>
          <w:szCs w:val="20"/>
          <w:color w:val="auto"/>
        </w:rPr>
      </w:pPr>
      <w:r>
        <w:rPr>
          <w:rFonts w:ascii="Times New Roman" w:cs="Times New Roman" w:eastAsia="Times New Roman" w:hAnsi="Times New Roman"/>
          <w:sz w:val="18"/>
          <w:szCs w:val="18"/>
          <w:color w:val="auto"/>
        </w:rPr>
        <w:t>If Euronet intends to exclude such a stockholder proposal from its Proxy Statement, it must file its reasons with the SEC no later than 80 calendar days before the filing date of its definitive Proxy Statement and simultaneously provide the stockholder with a copy of Euronet’s submission.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Not Intended for Inclusion in Euronet’s Proxy Statement</w:t>
      </w:r>
    </w:p>
    <w:p>
      <w:pPr>
        <w:spacing w:after="0" w:line="67" w:lineRule="exact"/>
        <w:rPr>
          <w:sz w:val="20"/>
          <w:szCs w:val="20"/>
          <w:color w:val="auto"/>
        </w:rPr>
      </w:pPr>
    </w:p>
    <w:p>
      <w:pPr>
        <w:jc w:val="both"/>
        <w:ind w:firstLine="414"/>
        <w:spacing w:after="0" w:line="226" w:lineRule="auto"/>
        <w:rPr>
          <w:sz w:val="20"/>
          <w:szCs w:val="20"/>
          <w:color w:val="auto"/>
        </w:rPr>
      </w:pPr>
      <w:r>
        <w:rPr>
          <w:rFonts w:ascii="Times New Roman" w:cs="Times New Roman" w:eastAsia="Times New Roman" w:hAnsi="Times New Roman"/>
          <w:sz w:val="18"/>
          <w:szCs w:val="18"/>
          <w:color w:val="auto"/>
        </w:rPr>
        <w:t>For a stockholder proposal that is not intended to be included in Euronet’s Proxy Statement for the annual meeting next year under Rule 14a-8, the stockholder must provide the information required by our Bylaws and give timely notice to the Secretary in accordance with our Bylaws, which, in general, require that the notice be received by the Secretary:</w:t>
      </w:r>
    </w:p>
    <w:p>
      <w:pPr>
        <w:spacing w:after="0" w:line="36" w:lineRule="exact"/>
        <w:rPr>
          <w:sz w:val="20"/>
          <w:szCs w:val="20"/>
          <w:color w:val="auto"/>
        </w:rPr>
      </w:pPr>
    </w:p>
    <w:p>
      <w:pPr>
        <w:ind w:left="640" w:right="6120"/>
        <w:spacing w:after="0" w:line="250" w:lineRule="auto"/>
        <w:rPr>
          <w:sz w:val="20"/>
          <w:szCs w:val="20"/>
          <w:color w:val="auto"/>
        </w:rPr>
      </w:pPr>
      <w:r>
        <w:rPr>
          <w:rFonts w:ascii="Times New Roman" w:cs="Times New Roman" w:eastAsia="Times New Roman" w:hAnsi="Times New Roman"/>
          <w:sz w:val="18"/>
          <w:szCs w:val="18"/>
          <w:color w:val="auto"/>
        </w:rPr>
        <w:t>not earlier than the close of business on January 21, 2027; and not later than the close of business on February 20, 2027.</w:t>
      </w:r>
    </w:p>
    <w:p>
      <w:pPr>
        <w:spacing w:after="0" w:line="41" w:lineRule="exact"/>
        <w:rPr>
          <w:sz w:val="20"/>
          <w:szCs w:val="20"/>
          <w:color w:val="auto"/>
        </w:rPr>
      </w:pPr>
    </w:p>
    <w:p>
      <w:pPr>
        <w:jc w:val="both"/>
        <w:ind w:firstLine="414"/>
        <w:spacing w:after="0" w:line="222" w:lineRule="auto"/>
        <w:rPr>
          <w:sz w:val="20"/>
          <w:szCs w:val="20"/>
          <w:color w:val="auto"/>
        </w:rPr>
      </w:pPr>
      <w:r>
        <w:rPr>
          <w:rFonts w:ascii="Times New Roman" w:cs="Times New Roman" w:eastAsia="Times New Roman" w:hAnsi="Times New Roman"/>
          <w:sz w:val="18"/>
          <w:szCs w:val="18"/>
          <w:color w:val="auto"/>
        </w:rPr>
        <w:t>If the date of the stockholder meeting is moved more than 30 days before or 60 days after the anniversary of Euronet’s Annual Meeting for 2026, then notice of a stockholder proposal that is not intended to be included in Euronet’s Proxy Statement under Rule 14a-8 must be received not earlier than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close of business 120 days prior to the meeting and not later than the close of business 90 days prior to the meeting, or if later, the tenth day following the day on which the notice of the annual meeting was first publicly disclosed.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or Nominations of Individuals to Serve as Directors</w:t>
      </w:r>
    </w:p>
    <w:p>
      <w:pPr>
        <w:spacing w:after="0" w:line="81"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You may propose Director candidates for consideration by the Board’s Nominating &amp; Corporate Governance Committee. Any such written recommendations should include: (a) the name of the proposing stockholder and proof of ownership of the Company’s common stock; (b) consents signed by the potential Director candidate and the proposing stockholder authorizing the Companyto conduct a background check on the potential Director candidate and to disclose the information provided in the recommendation in its proxy materials or otherwise; (c) supporting information regarding the potential Director candidate; and (d) such other information required by our Bylaws.</w:t>
      </w:r>
    </w:p>
    <w:p>
      <w:pPr>
        <w:spacing w:after="0" w:line="62"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You may send a proposed Director candidate’s name and other required information to the Board at anytime. Generally, such proposed candidates are considered at the Board meeting prior to the next annual meeting subject to the advance notice provisions in our Bylaws.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Deadline to Propose or Nominate Individuals to Serve as Directors</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Our Bylaws permit stockholders to nominate Directors for election at an annual stockholder meeting. To nominate a Director, the stockholder must deliver the information required by our Bylaws.</w:t>
      </w:r>
    </w:p>
    <w:p>
      <w:pPr>
        <w:spacing w:after="0" w:line="162"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To nominate an individual for election at the 2027 Annual Meeting, the stockholder must give timely notice to the Secretary in accordance with our Bylaws, which, in general, require that the notice be received by the Secretary between the close of business on January 21, 2027 and the close of business on February 20, 2027, unless the date of the stockholder meeting is moved more than 30 days before or 60 days after the anniversary of our Annual</w:t>
      </w:r>
    </w:p>
    <w:p>
      <w:pPr>
        <w:sectPr>
          <w:pgSz w:w="11900" w:h="16838" w:orient="portrait"/>
          <w:cols w:equalWidth="0" w:num="1">
            <w:col w:w="11240"/>
          </w:cols>
          <w:pgMar w:left="320" w:top="337" w:right="339" w:bottom="0" w:gutter="0" w:footer="0" w:header="0"/>
        </w:sectPr>
      </w:pPr>
    </w:p>
    <w:bookmarkStart w:id="39" w:name="page40"/>
    <w:bookmarkEnd w:id="39"/>
    <w:p>
      <w:pPr>
        <w:spacing w:after="0" w:line="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Meeting for 2026, then the nomination must be received not earlier than the close of business 120 days prior to the meeting and not later than the close of business 90 days prior to the meeting or, if later, the tenth day following the day on which the 2027 Annual Meeting was first publicly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14a-19</w:t>
      </w:r>
    </w:p>
    <w:p>
      <w:pPr>
        <w:spacing w:after="0" w:line="229" w:lineRule="exact"/>
        <w:rPr>
          <w:sz w:val="20"/>
          <w:szCs w:val="20"/>
          <w:color w:val="auto"/>
        </w:rPr>
      </w:pPr>
    </w:p>
    <w:p>
      <w:pPr>
        <w:jc w:val="both"/>
        <w:ind w:right="20" w:firstLine="414"/>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 no later than March 22, 2027.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Euronet’s Bylaws</w:t>
      </w:r>
    </w:p>
    <w:p>
      <w:pPr>
        <w:spacing w:after="0" w:line="229" w:lineRule="exact"/>
        <w:rPr>
          <w:sz w:val="20"/>
          <w:szCs w:val="20"/>
          <w:color w:val="auto"/>
        </w:rPr>
      </w:pPr>
    </w:p>
    <w:p>
      <w:pPr>
        <w:jc w:val="both"/>
        <w:ind w:right="20" w:firstLine="414"/>
        <w:spacing w:after="0" w:line="266" w:lineRule="auto"/>
        <w:rPr>
          <w:sz w:val="20"/>
          <w:szCs w:val="20"/>
          <w:color w:val="auto"/>
        </w:rPr>
      </w:pPr>
      <w:r>
        <w:rPr>
          <w:rFonts w:ascii="Times New Roman" w:cs="Times New Roman" w:eastAsia="Times New Roman" w:hAnsi="Times New Roman"/>
          <w:sz w:val="18"/>
          <w:szCs w:val="18"/>
          <w:color w:val="auto"/>
        </w:rPr>
        <w:t>You may contact the Secretary at our principal executive offices for a copy of the relevant Bylaw provisions regarding the requirements for making stockholder proposals and nominating Director candidates. A copy of our Amended and Restated Bylaws is filed as Exhibit 3.2 to our Current Report on Form 8-K filed on February 28, 2017.</w:t>
      </w:r>
    </w:p>
    <w:p>
      <w:pPr>
        <w:spacing w:after="0" w:line="200" w:lineRule="exact"/>
        <w:rPr>
          <w:sz w:val="20"/>
          <w:szCs w:val="20"/>
          <w:color w:val="auto"/>
        </w:rPr>
      </w:pPr>
    </w:p>
    <w:p>
      <w:pPr>
        <w:spacing w:after="0" w:line="30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1877695" cy="4629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776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Michael J. Brown</w:t>
      </w:r>
    </w:p>
    <w:p>
      <w:pPr>
        <w:spacing w:after="0" w:line="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2026</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006EBF"/>
        </w:rPr>
        <w:t>APPENDIX A – RECONCILIATION OF NON-GAAP MEASURES</w:t>
      </w:r>
    </w:p>
    <w:p>
      <w:pPr>
        <w:spacing w:after="0" w:line="206" w:lineRule="exact"/>
        <w:rPr>
          <w:sz w:val="20"/>
          <w:szCs w:val="20"/>
          <w:color w:val="auto"/>
        </w:rPr>
      </w:pPr>
    </w:p>
    <w:p>
      <w:pPr>
        <w:jc w:val="both"/>
        <w:ind w:right="20" w:firstLine="414"/>
        <w:spacing w:after="0" w:line="266" w:lineRule="auto"/>
        <w:rPr>
          <w:sz w:val="20"/>
          <w:szCs w:val="20"/>
          <w:color w:val="auto"/>
        </w:rPr>
      </w:pPr>
      <w:r>
        <w:rPr>
          <w:rFonts w:ascii="Times New Roman" w:cs="Times New Roman" w:eastAsia="Times New Roman" w:hAnsi="Times New Roman"/>
          <w:sz w:val="18"/>
          <w:szCs w:val="18"/>
          <w:color w:val="auto"/>
        </w:rPr>
        <w:t>Adjusted operating income, adjusted EPS, revenue on a constant currency basis, adjusted operating income on a constant currency basis, and adjusted EPS on a constant currency basis are non-GAAP financial measures that exclude certain items noted below. However, we believe investors should consider these measures as they are indicative of our ongoing performance and reflect how management evaluates our operational results and trends.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Operating Income and Adjusted Operating Income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8"/>
            <w:vMerge w:val="continue"/>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Add: Income tax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Total other expense, net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Impact of foreign currency</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Constant currency adjusted operating income</w:t>
            </w:r>
          </w:p>
        </w:tc>
        <w:tc>
          <w:tcPr>
            <w:tcW w:w="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revenue on a constant currency basis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8"/>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Estimated foreign currency impact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on a constant currency basis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Earnings per Share (EPS)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8"/>
            <w:vMerge w:val="continue"/>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Euronet Worldwide, Inc.</w:t>
            </w: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 amortization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Transfer restructuring charge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Non-cash purchase accounting expense adjustment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 of above adjustments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impairment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investment gain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Non-cash GAAP tax expense (benefit)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w:t>
            </w: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earnings per share - diluted</w:t>
            </w:r>
          </w:p>
        </w:tc>
        <w:tc>
          <w:tcPr>
            <w:tcW w:w="20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9.61</w:t>
            </w:r>
          </w:p>
        </w:tc>
        <w:tc>
          <w:tcPr>
            <w:tcW w:w="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gridSpan w:val="2"/>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8.61</w:t>
            </w:r>
          </w:p>
        </w:tc>
        <w:tc>
          <w:tcPr>
            <w:tcW w:w="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foreign currency impact</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earnings per share - diluted - on a constant currency basis</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121" w:right="319" w:bottom="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 (GAAP)</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45,782,801</w:t>
            </w:r>
          </w:p>
        </w:tc>
        <w:tc>
          <w:tcPr>
            <w:tcW w:w="246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48,082,766</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Effect of adjusted EPS dilution of convertible notes</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(3,670,901)</w:t>
            </w:r>
          </w:p>
        </w:tc>
        <w:tc>
          <w:tcPr>
            <w:tcW w:w="246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(2,781,818)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unrecognized share-based compensation on diluted shares outstanding</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359,656</w:t>
            </w:r>
          </w:p>
        </w:tc>
        <w:tc>
          <w:tcPr>
            <w:tcW w:w="246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369,573</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42,471,556</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45,670,521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62</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6EBF"/>
        </w:rPr>
        <w:t>APPENDIX B</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STOCK INCENTIVE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INTRODUCTION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1.01 Establishment and Amendment History. Euronet Worldwide, Inc., a corporation organized and existing under the laws of the state of Delaware (the "Company"), originally established effective May 18, 2006 (the "Original Effective Date") the Euronet Worldwide, Inc. 2006 Stock Incentive Plan (the "Plan") for certain current or prospective directors, officers, key employees or outside consultants of the Company and its affiliates. The Plan was last amended and restated effective March 15, 2021 and is hereby amended and restated effective February 25, 2026 (the "New Effective Date").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1.02 Purpose. The purpose of this Plan is to encourage Participants to acquire a proprietary and vested interest in the growth and performance of the Company. The Plan is also designed to assist the Company in attracting and retaining employees, non-employee directors and other Participants by providing them with the opportunity to participate in the success and profitability of the Company.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1.03 Duration. The Plan commenced on the Original Effective Date and shall remain in effect, subject to the right of the Board to amend or terminate the Plan at any time pursuant to Section 15 hereof, until all Shares subject to it shall have been issued, purchased or acquired according to the Plan's provisions. Unless the Plan shall be reapproved by the stockholders of the Company, no Incentive Stock Options shall be issued pursuant to the Plan after the tenth (10th) anniversary of the Plan's New Effective Date.</w:t>
      </w:r>
    </w:p>
    <w:p>
      <w:pPr>
        <w:spacing w:after="0" w:line="176"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4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2.01 Definitions.</w:t>
      </w:r>
      <w:r>
        <w:rPr>
          <w:sz w:val="20"/>
          <w:szCs w:val="20"/>
          <w:color w:val="auto"/>
        </w:rPr>
        <w:tab/>
      </w:r>
      <w:r>
        <w:rPr>
          <w:rFonts w:ascii="Times New Roman" w:cs="Times New Roman" w:eastAsia="Times New Roman" w:hAnsi="Times New Roman"/>
          <w:sz w:val="17"/>
          <w:szCs w:val="17"/>
          <w:color w:val="auto"/>
        </w:rPr>
        <w:t>The following terms shall have the meanings set forth below.</w:t>
      </w:r>
    </w:p>
    <w:p>
      <w:pPr>
        <w:spacing w:after="0" w:line="158" w:lineRule="exact"/>
        <w:rPr>
          <w:sz w:val="20"/>
          <w:szCs w:val="20"/>
          <w:color w:val="auto"/>
        </w:rPr>
      </w:pPr>
    </w:p>
    <w:p>
      <w:pPr>
        <w:jc w:val="both"/>
        <w:ind w:firstLine="8"/>
        <w:spacing w:after="0" w:line="266" w:lineRule="auto"/>
        <w:tabs>
          <w:tab w:leader="none" w:pos="2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Act" means the Securities Act of 1933, as amended. Reference to a specific section of the 1933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35" w:lineRule="exact"/>
        <w:rPr>
          <w:rFonts w:ascii="Times New Roman" w:cs="Times New Roman" w:eastAsia="Times New Roman" w:hAnsi="Times New Roman"/>
          <w:sz w:val="18"/>
          <w:szCs w:val="18"/>
          <w:color w:val="auto"/>
        </w:rPr>
      </w:pPr>
    </w:p>
    <w:p>
      <w:pPr>
        <w:jc w:val="both"/>
        <w:ind w:firstLine="8"/>
        <w:spacing w:after="0" w:line="266" w:lineRule="auto"/>
        <w:tabs>
          <w:tab w:leader="none" w:pos="2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Act" means the Securities Exchange Act of 1934, as amended. Reference to a specific section of the 1934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8" w:lineRule="exact"/>
        <w:rPr>
          <w:rFonts w:ascii="Times New Roman" w:cs="Times New Roman" w:eastAsia="Times New Roman" w:hAnsi="Times New Roman"/>
          <w:sz w:val="18"/>
          <w:szCs w:val="18"/>
          <w:color w:val="auto"/>
        </w:rPr>
      </w:pPr>
    </w:p>
    <w:p>
      <w:pPr>
        <w:ind w:firstLine="8"/>
        <w:spacing w:after="0" w:line="282" w:lineRule="auto"/>
        <w:tabs>
          <w:tab w:leader="none" w:pos="2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of the Company means any person, corporation, partnership, association or other business or professional entity that directly, or indirectly through one or more intermediaries, Controls or is Controlled by, or is under common Control with the Company.</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 grant made under this Plan in any form which may include but is not limited to Stock Options, Restricted Stock, Restricted Stock Units, Performance Shares, Bonus Shares, Stock Appreciation Rights, Performance Awards and Performance Units.</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6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a written or electronic agreement or instrument between the Company and a Holder which evidences an Award and sets forth such applicable terms, conditions and limitations as the Committee establishes for the Award.</w:t>
      </w:r>
    </w:p>
    <w:p>
      <w:pPr>
        <w:spacing w:after="0" w:line="134" w:lineRule="exact"/>
        <w:rPr>
          <w:rFonts w:ascii="Times New Roman" w:cs="Times New Roman" w:eastAsia="Times New Roman" w:hAnsi="Times New Roman"/>
          <w:sz w:val="18"/>
          <w:szCs w:val="18"/>
          <w:color w:val="auto"/>
        </w:rPr>
      </w:pPr>
    </w:p>
    <w:p>
      <w:pPr>
        <w:jc w:val="both"/>
        <w:ind w:firstLine="8"/>
        <w:spacing w:after="0" w:line="266" w:lineRule="auto"/>
        <w:tabs>
          <w:tab w:leader="none" w:pos="2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"Beneficiary" means the Person or Persons which have been designated by a Holder in his or her most recent written beneficiary designation filed with the Company to receive the benefits specified under this Plan upon the death of the Holder, or, if there is no designated Beneficiary or surviving designated Beneficiary, then the Person or Persons entitled by will or the laws of descent and distribution to receive such benefits.</w:t>
      </w:r>
    </w:p>
    <w:p>
      <w:pPr>
        <w:spacing w:after="0" w:line="13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Shares" means the Shares granted to a Participant in accordance with Section 10.</w:t>
      </w:r>
    </w:p>
    <w:p>
      <w:pPr>
        <w:spacing w:after="0" w:line="198" w:lineRule="exact"/>
        <w:rPr>
          <w:rFonts w:ascii="Times New Roman" w:cs="Times New Roman" w:eastAsia="Times New Roman" w:hAnsi="Times New Roman"/>
          <w:sz w:val="18"/>
          <w:szCs w:val="18"/>
          <w:color w:val="auto"/>
        </w:rPr>
      </w:pPr>
    </w:p>
    <w:p>
      <w:pPr>
        <w:ind w:right="20" w:firstLine="8"/>
        <w:spacing w:after="0" w:line="282" w:lineRule="auto"/>
        <w:tabs>
          <w:tab w:leader="none" w:pos="2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unless otherwise defined in an Award Agreement or otherwise defined in a Participant's employment agreement (in which case such definition will apply), any of the following:</w:t>
      </w:r>
    </w:p>
    <w:p>
      <w:pPr>
        <w:spacing w:after="0" w:line="121" w:lineRule="exact"/>
        <w:rPr>
          <w:sz w:val="20"/>
          <w:szCs w:val="20"/>
          <w:color w:val="auto"/>
        </w:rPr>
      </w:pPr>
    </w:p>
    <w:p>
      <w:pPr>
        <w:ind w:left="5540" w:right="1600" w:hanging="5532"/>
        <w:spacing w:after="0" w:line="532" w:lineRule="auto"/>
        <w:tabs>
          <w:tab w:leader="none" w:pos="22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conviction of, plea of guilty to, or plea of nolo contendere to a felony or other crime that involves fraud or dishonesty; 63</w:t>
      </w:r>
    </w:p>
    <w:p>
      <w:pPr>
        <w:spacing w:after="0" w:line="162" w:lineRule="exact"/>
        <w:rPr>
          <w:rFonts w:ascii="Times New Roman" w:cs="Times New Roman" w:eastAsia="Times New Roman" w:hAnsi="Times New Roman"/>
          <w:sz w:val="18"/>
          <w:szCs w:val="18"/>
          <w:color w:val="auto"/>
        </w:rPr>
      </w:pPr>
    </w:p>
    <w:p>
      <w:pPr>
        <w:jc w:val="both"/>
        <w:ind w:firstLine="8"/>
        <w:spacing w:after="0" w:line="231" w:lineRule="auto"/>
        <w:tabs>
          <w:tab w:leader="none" w:pos="26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willful action or omission by a Participant which would constitute grounds for immediate dismissal under the employment policies of the Company by which Participant is employed, including but not limited to violation of the Company's anti-bribery policy, or violation of sexual harassment laws or the internal sexual harassment policy of the Company by which Participant is employed;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habitual neglect of duties, including but not limited to repeated absences from work without reasonable excuse; or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willful and intentional material misconduct in the performance of his duties that results in financial detriment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9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provided, however, that for purposes of clauses (ii), (iii) and (iv), Cause shall not include any one or more of the following: bad judgment, negligence or any act or omission believed by the Participant in good faith to have been in or not opposed to the interest of the Company (without intent of the Participant</w:t>
      </w:r>
    </w:p>
    <w:p>
      <w:pPr>
        <w:sectPr>
          <w:pgSz w:w="11900" w:h="16838" w:orient="portrait"/>
          <w:cols w:equalWidth="0" w:num="1">
            <w:col w:w="11240"/>
          </w:cols>
          <w:pgMar w:left="320" w:top="585" w:right="339" w:bottom="0" w:gutter="0" w:footer="0" w:header="0"/>
        </w:sectPr>
      </w:pPr>
    </w:p>
    <w:bookmarkStart w:id="41" w:name="page42"/>
    <w:bookmarkEnd w:id="41"/>
    <w:p>
      <w:pPr>
        <w:spacing w:after="0" w:line="237" w:lineRule="auto"/>
        <w:rPr>
          <w:sz w:val="20"/>
          <w:szCs w:val="20"/>
          <w:color w:val="auto"/>
        </w:rPr>
      </w:pPr>
      <w:r>
        <w:rPr>
          <w:rFonts w:ascii="Times New Roman" w:cs="Times New Roman" w:eastAsia="Times New Roman" w:hAnsi="Times New Roman"/>
          <w:sz w:val="18"/>
          <w:szCs w:val="18"/>
          <w:color w:val="auto"/>
        </w:rPr>
        <w:t>to gain, directly or indirectly, a profit to which the Participant was not legally entitled). A Participant who agrees to resign from the Participant's affiliation with the Company in lieu of being terminated for Cause may be deemed to have been terminated for Cause for purposes of this Plan.</w:t>
      </w:r>
    </w:p>
    <w:p>
      <w:pPr>
        <w:spacing w:after="0" w:line="131" w:lineRule="exact"/>
        <w:rPr>
          <w:sz w:val="20"/>
          <w:szCs w:val="20"/>
          <w:color w:val="auto"/>
        </w:rPr>
      </w:pPr>
    </w:p>
    <w:p>
      <w:pPr>
        <w:ind w:firstLine="8"/>
        <w:spacing w:after="0" w:line="237" w:lineRule="auto"/>
        <w:tabs>
          <w:tab w:leader="none" w:pos="2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except as otherwise defined in an Award Agreement to comply with Code section 409A, the first to occur of the following events:</w:t>
      </w:r>
    </w:p>
    <w:p>
      <w:pPr>
        <w:spacing w:after="0" w:line="131" w:lineRule="exact"/>
        <w:rPr>
          <w:sz w:val="20"/>
          <w:szCs w:val="20"/>
          <w:color w:val="auto"/>
        </w:rPr>
      </w:pPr>
    </w:p>
    <w:p>
      <w:pPr>
        <w:jc w:val="both"/>
        <w:ind w:firstLine="8"/>
        <w:spacing w:after="0" w:line="224" w:lineRule="auto"/>
        <w:tabs>
          <w:tab w:leader="none" w:pos="2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the Beneficial Owner (within the meaning set forth in Rule 13d-3 under the 1934 Act), directly or indirectly, of securities of the Company (not including for this purpose any securities acquired directly from the Company or its Affiliates) representing 50% or more of the combined voting power of the Company's then outstanding securities, excluding any Person who becomes such a Beneficial Owner in connection with a transaction described in clause (x) of paragraph (iii) of this Section 2.01(j); or</w:t>
      </w:r>
    </w:p>
    <w:p>
      <w:pPr>
        <w:spacing w:after="0" w:line="91" w:lineRule="exact"/>
        <w:rPr>
          <w:rFonts w:ascii="Times New Roman" w:cs="Times New Roman" w:eastAsia="Times New Roman" w:hAnsi="Times New Roman"/>
          <w:sz w:val="18"/>
          <w:szCs w:val="18"/>
          <w:color w:val="auto"/>
        </w:rPr>
      </w:pPr>
    </w:p>
    <w:p>
      <w:pPr>
        <w:jc w:val="both"/>
        <w:ind w:firstLine="8"/>
        <w:spacing w:after="0" w:line="220" w:lineRule="auto"/>
        <w:tabs>
          <w:tab w:leader="none" w:pos="2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individuals who, on the Original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by a vote of at least two-thirds of the directors then still in office who either were directors on the Original Effective Date or whose appointment, election or nomination for election was previously so approved or recommended; or</w:t>
      </w:r>
    </w:p>
    <w:p>
      <w:pPr>
        <w:spacing w:after="0" w:line="90" w:lineRule="exact"/>
        <w:rPr>
          <w:rFonts w:ascii="Times New Roman" w:cs="Times New Roman" w:eastAsia="Times New Roman" w:hAnsi="Times New Roman"/>
          <w:sz w:val="18"/>
          <w:szCs w:val="18"/>
          <w:color w:val="auto"/>
        </w:rPr>
      </w:pPr>
    </w:p>
    <w:p>
      <w:pPr>
        <w:jc w:val="both"/>
        <w:ind w:firstLine="8"/>
        <w:spacing w:after="0" w:line="214" w:lineRule="auto"/>
        <w:tabs>
          <w:tab w:leader="none" w:pos="3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the Company with any other corporation, OTHER THAN (x)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50% of the combined voting power of the securities of the Company or such surviving entity or any parent thereof outstanding immediately after such merger or consolidation, or (y) a merger or consolidation effected to implement a recapitalization of the Company (or similar transaction) in which no Person is or becomes the Beneficial Owner, directly or indirectly, of securities of the Company (not including for this purpose any securities acquired directly from the Company or its Affiliates other than in connection with the acquisition by the Company or its Affiliates of a business) representing 50% or more of the combined voting power of the Company's then outstanding securities; or</w:t>
      </w:r>
    </w:p>
    <w:p>
      <w:pPr>
        <w:spacing w:after="0" w:line="93" w:lineRule="exact"/>
        <w:rPr>
          <w:rFonts w:ascii="Times New Roman" w:cs="Times New Roman" w:eastAsia="Times New Roman" w:hAnsi="Times New Roman"/>
          <w:sz w:val="18"/>
          <w:szCs w:val="18"/>
          <w:color w:val="auto"/>
        </w:rPr>
      </w:pPr>
    </w:p>
    <w:p>
      <w:pPr>
        <w:jc w:val="both"/>
        <w:ind w:firstLine="8"/>
        <w:spacing w:after="0" w:line="224" w:lineRule="auto"/>
        <w:tabs>
          <w:tab w:leader="none" w:pos="3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a "Change in Control" shall not be deemed to have occurred by virtue of the consummation of any transaction or series of integrated transactions immediately following which the record holders of the Company's common stock immediately prior to such transaction or series of transactions continue to have substantially the same proportionate ownership in an entity which owns all or substantially all of the Company's assets immediately following such transaction or series of transactions.</w:t>
      </w:r>
    </w:p>
    <w:p>
      <w:pPr>
        <w:spacing w:after="0" w:line="99" w:lineRule="exact"/>
        <w:rPr>
          <w:sz w:val="20"/>
          <w:szCs w:val="20"/>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it may be amended from time to time, and the rules and regulations promulgated thereunder.</w:t>
      </w:r>
    </w:p>
    <w:p>
      <w:pPr>
        <w:spacing w:after="0" w:line="144" w:lineRule="exact"/>
        <w:rPr>
          <w:rFonts w:ascii="Times New Roman" w:cs="Times New Roman" w:eastAsia="Times New Roman" w:hAnsi="Times New Roman"/>
          <w:sz w:val="18"/>
          <w:szCs w:val="18"/>
          <w:color w:val="auto"/>
        </w:rPr>
      </w:pPr>
    </w:p>
    <w:p>
      <w:pPr>
        <w:ind w:right="20" w:firstLine="8"/>
        <w:spacing w:after="0" w:line="250"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(i) the Board, or (ii) one or more committees of the Board to whom the Board has delegated all or part of its authority under this Plan.</w:t>
      </w:r>
    </w:p>
    <w:p>
      <w:pPr>
        <w:spacing w:after="0" w:line="10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Euronet Worldwide, Inc., a Delaware corporation, and any successor thereto.</w:t>
      </w:r>
    </w:p>
    <w:p>
      <w:pPr>
        <w:spacing w:after="0" w:line="157" w:lineRule="exact"/>
        <w:rPr>
          <w:rFonts w:ascii="Times New Roman" w:cs="Times New Roman" w:eastAsia="Times New Roman" w:hAnsi="Times New Roman"/>
          <w:sz w:val="18"/>
          <w:szCs w:val="18"/>
          <w:color w:val="auto"/>
        </w:rPr>
      </w:pPr>
    </w:p>
    <w:p>
      <w:pPr>
        <w:ind w:right="20" w:firstLine="8"/>
        <w:spacing w:after="0" w:line="237" w:lineRule="auto"/>
        <w:tabs>
          <w:tab w:leader="none" w:pos="2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means the possession, directly or indirectly, of the power to direct or cause the direction of the management and policies of a person, whether through the ownership of voting securities, by contract or otherwise.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 or "Grant Date" means, with respect to any Award, the date as of which such Award is granted under the Plan.</w:t>
      </w:r>
    </w:p>
    <w:p>
      <w:pPr>
        <w:spacing w:after="0" w:line="144" w:lineRule="exact"/>
        <w:rPr>
          <w:rFonts w:ascii="Times New Roman" w:cs="Times New Roman" w:eastAsia="Times New Roman" w:hAnsi="Times New Roman"/>
          <w:sz w:val="18"/>
          <w:szCs w:val="18"/>
          <w:color w:val="auto"/>
        </w:rPr>
      </w:pPr>
    </w:p>
    <w:p>
      <w:pPr>
        <w:jc w:val="both"/>
        <w:ind w:firstLine="8"/>
        <w:spacing w:after="0" w:line="220" w:lineRule="auto"/>
        <w:tabs>
          <w:tab w:leader="none" w:pos="2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"Disabled" or "Disability" means an individual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3 months under a Company-sponsored accident and health plan. Notwithstanding the above, with respect to an Incentive Stock Option and the period of time following a separation from service a Holder has to exercise such Incentive Stock Option, "disabled" shall have the same meaning as defined in Code section 22(e)(3).</w:t>
      </w:r>
    </w:p>
    <w:p>
      <w:pPr>
        <w:spacing w:after="0" w:line="130" w:lineRule="exact"/>
        <w:rPr>
          <w:rFonts w:ascii="Times New Roman" w:cs="Times New Roman" w:eastAsia="Times New Roman" w:hAnsi="Times New Roman"/>
          <w:sz w:val="18"/>
          <w:szCs w:val="18"/>
          <w:color w:val="auto"/>
        </w:rPr>
      </w:pPr>
    </w:p>
    <w:p>
      <w:pPr>
        <w:ind w:right="20" w:firstLine="8"/>
        <w:spacing w:after="0" w:line="237" w:lineRule="auto"/>
        <w:tabs>
          <w:tab w:leader="none" w:pos="2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Employees" means key employees (including, without limitation, officers and directors who are also employees) of the Company or an Affiliate upon whose judgment, initiative and efforts the Company is, or will be, important to the successful conduct of its business.</w:t>
      </w:r>
    </w:p>
    <w:p>
      <w:pPr>
        <w:spacing w:after="0" w:line="131" w:lineRule="exact"/>
        <w:rPr>
          <w:rFonts w:ascii="Times New Roman" w:cs="Times New Roman" w:eastAsia="Times New Roman" w:hAnsi="Times New Roman"/>
          <w:sz w:val="18"/>
          <w:szCs w:val="18"/>
          <w:color w:val="auto"/>
        </w:rPr>
      </w:pPr>
    </w:p>
    <w:p>
      <w:pPr>
        <w:jc w:val="both"/>
        <w:ind w:firstLine="8"/>
        <w:spacing w:after="0" w:line="224" w:lineRule="auto"/>
        <w:tabs>
          <w:tab w:leader="none" w:pos="2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means (i) the president of the Company, any vice president of the Company in charge of a principal business unit, division or function (such as sales, administration, or finance), any other officer who performs a policy making function or any other person who performs similar policy making functions for the Company and (ii) Executive Officers (as defined in part (i) of this definition) of subsidiaries of the Company who perform policy making functions for the Company.</w:t>
      </w:r>
    </w:p>
    <w:p>
      <w:pPr>
        <w:spacing w:after="0" w:line="118" w:lineRule="exact"/>
        <w:rPr>
          <w:rFonts w:ascii="Times New Roman" w:cs="Times New Roman" w:eastAsia="Times New Roman" w:hAnsi="Times New Roman"/>
          <w:sz w:val="18"/>
          <w:szCs w:val="18"/>
          <w:color w:val="auto"/>
        </w:rPr>
      </w:pPr>
    </w:p>
    <w:p>
      <w:pPr>
        <w:jc w:val="both"/>
        <w:ind w:firstLine="8"/>
        <w:spacing w:after="0" w:line="216" w:lineRule="auto"/>
        <w:tabs>
          <w:tab w:leader="none" w:pos="2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as of any date, the value of the Stock determined in good faith, from time to time, by the Committee in its sole discretion. The Committee may adopt such formulas as in its opinion shall reflect the true fair market value of such stock from time to time and may rely on such independent advice with respect to such fair market value as the Committee shall deem appropriate. In the event that the Shares of the Company are traded on a national securities exchange, the Committee may determine that the Fair Market Value of the Stock shall be based upon the last sale before or the first sale after the Grant Date, the closing price on the trading day before or the trading day of the grant, or any other reasonable basis using actual transactions in such Stock as reported by the exchange on which the Shares are traded and consistently applied. The determination of Fair Market Value also may be based upon an average selling price during a specified period that is within 30 days before or 30 days after the Grant Date, provided that the commitment to grant the stock right based on such valuation method must be irrevocable before the beginning of the specified period, and such valuation method must be used consistently for grants of stock rights under the same and substantially similar programs.</w:t>
      </w:r>
    </w:p>
    <w:p>
      <w:pPr>
        <w:spacing w:after="0" w:line="132"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SAR" means any SAR that is granted independently of any Option.</w:t>
      </w:r>
    </w:p>
    <w:p>
      <w:pPr>
        <w:spacing w:after="0" w:line="144" w:lineRule="exact"/>
        <w:rPr>
          <w:rFonts w:ascii="Times New Roman" w:cs="Times New Roman" w:eastAsia="Times New Roman" w:hAnsi="Times New Roman"/>
          <w:sz w:val="18"/>
          <w:szCs w:val="18"/>
          <w:color w:val="auto"/>
        </w:rPr>
      </w:pPr>
    </w:p>
    <w:p>
      <w:pPr>
        <w:jc w:val="both"/>
        <w:ind w:firstLine="8"/>
        <w:spacing w:after="0" w:line="215"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mean any of the following events, which has not been either consented to in advance by the Participant in writing or cured by the Company within a reasonable period of time not to exceed 20 days after the Participant provides written notice thereof: (i) the requirement that the Participant's principal service for the Company be performed more than 30 miles from the Participant's primary office as of the effective date of a Change in Control, (ii) other than as part of an across-the-board reduction affecting all similarly-situated employees, a material reduction in the Participant's base compensation in effect immediately before the Change in Control; (iii) other than as part of an across-the-board reduction affecting all similarly-situated employees, the failure by the Company to continue to provide the Participant with the same level of overall compensation and benefits provided immediately before the Change in Control, or the taking of any action by the Company which would directly or indirectly reduce any of such benefits or deprive the Participant of any material fringe benefit; (iv) the assignment to the Participant of duties and responsibilities materially different from those associated with his or her position immediately before the Change in Control; or (v) a material diminution or reduction, on or after a Change in Control, in the Participant's responsibilities or authority, including reporting responsibilities in connection with the Participant's service with the Company.</w:t>
      </w:r>
    </w:p>
    <w:p>
      <w:pPr>
        <w:sectPr>
          <w:pgSz w:w="11900" w:h="16838" w:orient="portrait"/>
          <w:cols w:equalWidth="0" w:num="1">
            <w:col w:w="11240"/>
          </w:cols>
          <w:pgMar w:left="320" w:top="108" w:right="339" w:bottom="0" w:gutter="0" w:footer="0" w:header="0"/>
        </w:sectPr>
      </w:pPr>
    </w:p>
    <w:bookmarkStart w:id="42" w:name="page43"/>
    <w:bookmarkEnd w:id="42"/>
    <w:p>
      <w:pPr>
        <w:jc w:val="both"/>
        <w:ind w:firstLine="8"/>
        <w:spacing w:after="0" w:line="224" w:lineRule="auto"/>
        <w:tabs>
          <w:tab w:leader="none" w:pos="2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means a Participant, Beneficiary or Permitted Transferee who is in possession of an Award Agreement representing an Award that (i) in the case of a Participant has been granted to such individual, (ii) in the case of a Beneficiary has transferred to such person under the laws of descent and distribution or (iii) in the case of a Permitted Transferee, has been transferred to such person as permitted by the Committee, and such Award Agreement has not expired, been canceled or terminated.</w:t>
      </w:r>
    </w:p>
    <w:p>
      <w:pPr>
        <w:spacing w:after="0" w:line="131" w:lineRule="exact"/>
        <w:rPr>
          <w:rFonts w:ascii="Times New Roman" w:cs="Times New Roman" w:eastAsia="Times New Roman" w:hAnsi="Times New Roman"/>
          <w:sz w:val="18"/>
          <w:szCs w:val="18"/>
          <w:color w:val="auto"/>
        </w:rPr>
      </w:pPr>
    </w:p>
    <w:p>
      <w:pPr>
        <w:ind w:firstLine="8"/>
        <w:spacing w:after="0" w:line="237" w:lineRule="auto"/>
        <w:tabs>
          <w:tab w:leader="none" w:pos="2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any Option designated as such and granted in accordance with the requirements of Code section 422 or any successor provisions thereto.</w:t>
      </w:r>
    </w:p>
    <w:p>
      <w:pPr>
        <w:spacing w:after="0" w:line="13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any Option to purchase Shares that is not an Incentive Stock Option.</w:t>
      </w:r>
    </w:p>
    <w:p>
      <w:pPr>
        <w:spacing w:after="0" w:line="144" w:lineRule="exact"/>
        <w:rPr>
          <w:rFonts w:ascii="Times New Roman" w:cs="Times New Roman" w:eastAsia="Times New Roman" w:hAnsi="Times New Roman"/>
          <w:sz w:val="18"/>
          <w:szCs w:val="18"/>
          <w:color w:val="auto"/>
        </w:rPr>
      </w:pPr>
    </w:p>
    <w:p>
      <w:pPr>
        <w:ind w:firstLine="8"/>
        <w:spacing w:after="0" w:line="250"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 right to purchase Stock at a stated price for a specified period of time. Such definition includes both Nonqualified Stock Options and Incentive Stock Options.</w:t>
      </w:r>
    </w:p>
    <w:p>
      <w:pPr>
        <w:spacing w:after="0" w:line="81" w:lineRule="exact"/>
        <w:rPr>
          <w:rFonts w:ascii="Times New Roman" w:cs="Times New Roman" w:eastAsia="Times New Roman" w:hAnsi="Times New Roman"/>
          <w:sz w:val="18"/>
          <w:szCs w:val="18"/>
          <w:color w:val="auto"/>
        </w:rPr>
      </w:pPr>
    </w:p>
    <w:p>
      <w:pPr>
        <w:ind w:firstLine="8"/>
        <w:spacing w:after="0" w:line="237" w:lineRule="auto"/>
        <w:tabs>
          <w:tab w:leader="none" w:pos="2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Agreement" or "Option Award Agreement" means a written or electronic agreement or instrument between the Company and a Holder evidencing an Option.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Exercise Price" means the price at which Shares subject to an Option may be purchased, determined in accordance with Section 6.02(b).</w:t>
      </w:r>
    </w:p>
    <w:p>
      <w:pPr>
        <w:spacing w:after="0" w:line="117" w:lineRule="exact"/>
        <w:rPr>
          <w:rFonts w:ascii="Times New Roman" w:cs="Times New Roman" w:eastAsia="Times New Roman" w:hAnsi="Times New Roman"/>
          <w:sz w:val="18"/>
          <w:szCs w:val="18"/>
          <w:color w:val="auto"/>
        </w:rPr>
      </w:pPr>
    </w:p>
    <w:p>
      <w:pPr>
        <w:jc w:val="both"/>
        <w:ind w:firstLine="8"/>
        <w:spacing w:after="0" w:line="231" w:lineRule="auto"/>
        <w:tabs>
          <w:tab w:leader="none" w:pos="3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Holder" shall have the meaning as set forth in Section 6.02. For the avoidance of any doubt, in situations where the Option has been transferred to a Permitted Transferee or passed to a Beneficiary in accordance with the laws of descent and distribution, the Option Holder will not be the same person as the Holder of the Option.</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Effective Date" means May 18, 2006, such date being the date this Plan was originally approved by the Company's stockholders.</w:t>
      </w:r>
    </w:p>
    <w:p>
      <w:pPr>
        <w:spacing w:after="0" w:line="117" w:lineRule="exact"/>
        <w:rPr>
          <w:rFonts w:ascii="Times New Roman" w:cs="Times New Roman" w:eastAsia="Times New Roman" w:hAnsi="Times New Roman"/>
          <w:sz w:val="18"/>
          <w:szCs w:val="18"/>
          <w:color w:val="auto"/>
        </w:rPr>
      </w:pPr>
    </w:p>
    <w:p>
      <w:pPr>
        <w:ind w:firstLine="8"/>
        <w:spacing w:after="0" w:line="237" w:lineRule="auto"/>
        <w:tabs>
          <w:tab w:leader="none" w:pos="3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Service Provider of the Company designated by the Committee from time to time during the term of the Plan to receive one or more Awards under the Plan.</w:t>
      </w:r>
    </w:p>
    <w:p>
      <w:pPr>
        <w:spacing w:after="0" w:line="90" w:lineRule="exact"/>
        <w:rPr>
          <w:rFonts w:ascii="Times New Roman" w:cs="Times New Roman" w:eastAsia="Times New Roman" w:hAnsi="Times New Roman"/>
          <w:sz w:val="18"/>
          <w:szCs w:val="18"/>
          <w:color w:val="auto"/>
        </w:rPr>
      </w:pPr>
    </w:p>
    <w:p>
      <w:pPr>
        <w:ind w:firstLine="8"/>
        <w:spacing w:after="0" w:line="237" w:lineRule="auto"/>
        <w:tabs>
          <w:tab w:leader="none" w:pos="3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 means any Award that will be issued or granted to a Participant, or become vested or payable to a Participant, as the case may be, upon the achievement of certain performance goals.</w:t>
      </w:r>
    </w:p>
    <w:p>
      <w:pPr>
        <w:spacing w:after="0" w:line="90" w:lineRule="exact"/>
        <w:rPr>
          <w:rFonts w:ascii="Times New Roman" w:cs="Times New Roman" w:eastAsia="Times New Roman" w:hAnsi="Times New Roman"/>
          <w:sz w:val="18"/>
          <w:szCs w:val="18"/>
          <w:color w:val="auto"/>
        </w:rPr>
      </w:pPr>
    </w:p>
    <w:p>
      <w:pPr>
        <w:ind w:firstLine="8"/>
        <w:spacing w:after="0" w:line="250" w:lineRule="auto"/>
        <w:tabs>
          <w:tab w:leader="none" w:pos="29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means the period of time as specified by the Committee during which any performance goals or Performance Awards are to be measured.</w:t>
      </w:r>
    </w:p>
    <w:p>
      <w:pPr>
        <w:spacing w:after="0" w:line="81" w:lineRule="exact"/>
        <w:rPr>
          <w:rFonts w:ascii="Times New Roman" w:cs="Times New Roman" w:eastAsia="Times New Roman" w:hAnsi="Times New Roman"/>
          <w:sz w:val="18"/>
          <w:szCs w:val="18"/>
          <w:color w:val="auto"/>
        </w:rPr>
      </w:pPr>
    </w:p>
    <w:p>
      <w:pPr>
        <w:ind w:right="20" w:firstLine="8"/>
        <w:spacing w:after="0" w:line="237" w:lineRule="auto"/>
        <w:tabs>
          <w:tab w:leader="none" w:pos="3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means an Award made pursuant to Section 9 which entitles a Holder to receive Shares, their cash equivalent, or a combination thereof based on the achievement of performance targets during a Performance Period.</w:t>
      </w:r>
    </w:p>
    <w:p>
      <w:pPr>
        <w:spacing w:after="0" w:line="90" w:lineRule="exact"/>
        <w:rPr>
          <w:rFonts w:ascii="Times New Roman" w:cs="Times New Roman" w:eastAsia="Times New Roman" w:hAnsi="Times New Roman"/>
          <w:sz w:val="18"/>
          <w:szCs w:val="18"/>
          <w:color w:val="auto"/>
        </w:rPr>
      </w:pPr>
    </w:p>
    <w:p>
      <w:pPr>
        <w:ind w:firstLine="8"/>
        <w:spacing w:after="0" w:line="237" w:lineRule="auto"/>
        <w:tabs>
          <w:tab w:leader="none" w:pos="3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 means an Award made pursuant to Section 9 which entitles a Holder to receive cash, Shares or a combination thereof based on the achievement of performance targets during a Performance Period.</w:t>
      </w:r>
    </w:p>
    <w:p>
      <w:pPr>
        <w:spacing w:after="0" w:line="90" w:lineRule="exact"/>
        <w:rPr>
          <w:rFonts w:ascii="Times New Roman" w:cs="Times New Roman" w:eastAsia="Times New Roman" w:hAnsi="Times New Roman"/>
          <w:sz w:val="18"/>
          <w:szCs w:val="18"/>
          <w:color w:val="auto"/>
        </w:rPr>
      </w:pPr>
    </w:p>
    <w:p>
      <w:pPr>
        <w:ind w:right="20" w:firstLine="8"/>
        <w:spacing w:after="0" w:line="250" w:lineRule="auto"/>
        <w:tabs>
          <w:tab w:leader="none" w:pos="28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shall have the meaning ascribed to such term in Section 3(a)(9) of the 1934 Act and used in Sections 13(d) and 14(d) thereof, including "group" as defined in Section 13(d) thereof.</w:t>
      </w:r>
    </w:p>
    <w:p>
      <w:pPr>
        <w:spacing w:after="0" w:line="8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Euronet Worldwide, Inc. 2006 Stock Incentive Plan, as set forth in this instrument and as hereafter amended from time to time.</w:t>
      </w:r>
    </w:p>
    <w:p>
      <w:pPr>
        <w:spacing w:after="0" w:line="117" w:lineRule="exact"/>
        <w:rPr>
          <w:rFonts w:ascii="Times New Roman" w:cs="Times New Roman" w:eastAsia="Times New Roman" w:hAnsi="Times New Roman"/>
          <w:sz w:val="18"/>
          <w:szCs w:val="18"/>
          <w:color w:val="auto"/>
        </w:rPr>
      </w:pPr>
    </w:p>
    <w:p>
      <w:pPr>
        <w:ind w:firstLine="8"/>
        <w:spacing w:after="0" w:line="237" w:lineRule="auto"/>
        <w:tabs>
          <w:tab w:leader="none" w:pos="3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Year" means each 12-month period beginning January 1 and ending the following December 31, except that for the first year of the Plan it shall begin on the Original Effective Date and extend to December 31 of that year.</w:t>
      </w:r>
    </w:p>
    <w:p>
      <w:pPr>
        <w:spacing w:after="0" w:line="9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Stock granted under Section 8 that is subject those restrictions set forth therein and the Award Agreement.</w:t>
      </w:r>
    </w:p>
    <w:p>
      <w:pPr>
        <w:spacing w:after="0" w:line="117" w:lineRule="exact"/>
        <w:rPr>
          <w:rFonts w:ascii="Times New Roman" w:cs="Times New Roman" w:eastAsia="Times New Roman" w:hAnsi="Times New Roman"/>
          <w:sz w:val="18"/>
          <w:szCs w:val="18"/>
          <w:color w:val="auto"/>
        </w:rPr>
      </w:pPr>
    </w:p>
    <w:p>
      <w:pPr>
        <w:ind w:right="20" w:firstLine="8"/>
        <w:spacing w:after="0" w:line="237" w:lineRule="auto"/>
        <w:tabs>
          <w:tab w:leader="none" w:pos="45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means an Award granted under Section 8 evidencing the Holder's right to receive a Share (or cash payment equal to the Fair Market Value of a Share) at some future date.</w:t>
      </w:r>
    </w:p>
    <w:p>
      <w:pPr>
        <w:spacing w:after="0" w:line="13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16b-3" means Rule 16b-3 promulgated under the 1934 Act, and any future regulation amending, supplementing, or superseding such regulation.</w:t>
      </w:r>
    </w:p>
    <w:p>
      <w:pPr>
        <w:spacing w:after="0" w:line="157" w:lineRule="exact"/>
        <w:rPr>
          <w:rFonts w:ascii="Times New Roman" w:cs="Times New Roman" w:eastAsia="Times New Roman" w:hAnsi="Times New Roman"/>
          <w:sz w:val="18"/>
          <w:szCs w:val="18"/>
          <w:color w:val="auto"/>
        </w:rPr>
      </w:pPr>
    </w:p>
    <w:p>
      <w:pPr>
        <w:ind w:firstLine="8"/>
        <w:spacing w:after="0" w:line="237" w:lineRule="auto"/>
        <w:tabs>
          <w:tab w:leader="none" w:pos="3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 or "Stock Appreciation Right" means an Award, granted either alone or in connection with an Option, that is designated as a SAR pursuant to Section 7.</w:t>
      </w:r>
    </w:p>
    <w:p>
      <w:pPr>
        <w:spacing w:after="0" w:line="13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 Holder" shall have the meaning as set forth in Section 7.02.</w:t>
      </w:r>
    </w:p>
    <w:p>
      <w:pPr>
        <w:spacing w:after="0" w:line="144" w:lineRule="exact"/>
        <w:rPr>
          <w:rFonts w:ascii="Times New Roman" w:cs="Times New Roman" w:eastAsia="Times New Roman" w:hAnsi="Times New Roman"/>
          <w:sz w:val="18"/>
          <w:szCs w:val="18"/>
          <w:color w:val="auto"/>
        </w:rPr>
      </w:pPr>
    </w:p>
    <w:p>
      <w:pPr>
        <w:ind w:firstLine="8"/>
        <w:spacing w:after="0" w:line="250" w:lineRule="auto"/>
        <w:tabs>
          <w:tab w:leader="none" w:pos="3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Person" means a Person who is subject to obligations under section 16 of the 1934 Act with respect to transactions involving equity securities of the Company.</w:t>
      </w:r>
    </w:p>
    <w:p>
      <w:pPr>
        <w:spacing w:after="0" w:line="108" w:lineRule="exact"/>
        <w:rPr>
          <w:rFonts w:ascii="Times New Roman" w:cs="Times New Roman" w:eastAsia="Times New Roman" w:hAnsi="Times New Roman"/>
          <w:sz w:val="18"/>
          <w:szCs w:val="18"/>
          <w:color w:val="auto"/>
        </w:rPr>
      </w:pPr>
    </w:p>
    <w:p>
      <w:pPr>
        <w:jc w:val="both"/>
        <w:ind w:firstLine="8"/>
        <w:spacing w:after="0" w:line="223" w:lineRule="auto"/>
        <w:tabs>
          <w:tab w:leader="none" w:pos="2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means an Eligible Employee, non-employee director, officer, or outside consultant of the Company or any Subsidiary, as well as any prospective director, officer, employee, or outside consultant of the Company or any Subsidiary. Solely for purposes of Substitute Awards, the term Service Provider includes any current or former employee or non-employee director of an Acquired Entity (as defined in the definition of Substitute Awards) who holds Acquired Entity Awards (as defined in the definition of Substitute Awards) immediately prior to the Acquisition Date (as defined in the definition of Substitute Awards).</w:t>
      </w:r>
    </w:p>
    <w:p>
      <w:pPr>
        <w:spacing w:after="0" w:line="9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a share of Stock.</w:t>
      </w:r>
    </w:p>
    <w:p>
      <w:pPr>
        <w:spacing w:after="0" w:line="14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means authorized and issued or unissued common stock of the Company, at such par value as may be established from time to time.</w:t>
      </w:r>
    </w:p>
    <w:p>
      <w:pPr>
        <w:spacing w:after="0" w:line="117" w:lineRule="exact"/>
        <w:rPr>
          <w:rFonts w:ascii="Times New Roman" w:cs="Times New Roman" w:eastAsia="Times New Roman" w:hAnsi="Times New Roman"/>
          <w:sz w:val="18"/>
          <w:szCs w:val="18"/>
          <w:color w:val="auto"/>
        </w:rPr>
      </w:pPr>
    </w:p>
    <w:p>
      <w:pPr>
        <w:ind w:firstLine="8"/>
        <w:spacing w:after="0" w:line="250" w:lineRule="auto"/>
        <w:tabs>
          <w:tab w:leader="none" w:pos="3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(i) in the case of an Incentive Stock Option, a "subsidiary corporation," whether now or hereafter existing, as defined in Code section 424(f), and (ii) in the case of any other type of Award, in addition to a subsidiary corporation as defined in (i),</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limited liability company, partnership or other entity in which the Company controls fifty percent (50%) or more of the voting power or equity interests.</w:t>
      </w:r>
    </w:p>
    <w:p>
      <w:pPr>
        <w:spacing w:after="0" w:line="131" w:lineRule="exact"/>
        <w:rPr>
          <w:sz w:val="20"/>
          <w:szCs w:val="20"/>
          <w:color w:val="auto"/>
        </w:rPr>
      </w:pPr>
    </w:p>
    <w:p>
      <w:pPr>
        <w:jc w:val="both"/>
        <w:ind w:firstLine="8"/>
        <w:spacing w:after="0" w:line="254" w:lineRule="auto"/>
        <w:tabs>
          <w:tab w:leader="none" w:pos="3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 means an Award granted under the Plan in substitution for stock or stock based awards ("Acquired Entity Awards") held by current and former employees or former non-employee directors of another corporation or entity who become Service Providers as the result of a merger or consolidation of the employing corporation or other entity (the "Acquired Entity") with the Company, a Subsidiary or an Affiliate, or the acquisition by the Company, a Subsidiary or an Affiliate, of property or stock of, or other ownership interest in, the Acquired Entity immediately prior to such merger, consolidation or acquisition ("Acquisition Date") as agreed to by the parties to such corporate transaction and as may be set forth in the definitive purchase agreement. The limitations of Sections 4.01 and 5.05 on the number of Shares reserved or available for grants, and the limitations under Sections 6.02 and 7.01 with respect to the Option Exercise Prices and SAR exercise prices, shall not apply to Substitute Awards. Any issuance of a Substitute Award which relates to an Option or a SAR shall be completed in conformity with the rules under Code section 409A relating to the substitutions and assumptions of stock rights by reason of a corporate transaction.</w:t>
      </w:r>
    </w:p>
    <w:p>
      <w:pPr>
        <w:sectPr>
          <w:pgSz w:w="11900" w:h="16838" w:orient="portrait"/>
          <w:cols w:equalWidth="0" w:num="1">
            <w:col w:w="11240"/>
          </w:cols>
          <w:pgMar w:left="320" w:top="108" w:right="339" w:bottom="0" w:gutter="0" w:footer="0" w:header="0"/>
        </w:sectPr>
      </w:pPr>
    </w:p>
    <w:bookmarkStart w:id="43" w:name="page44"/>
    <w:bookmarkEnd w:id="43"/>
    <w:p>
      <w:pPr>
        <w:jc w:val="both"/>
        <w:ind w:firstLine="8"/>
        <w:spacing w:after="0" w:line="266" w:lineRule="auto"/>
        <w:tabs>
          <w:tab w:leader="none" w:pos="4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"Tandem SAR" means a SAR which is granted in connection with, or related to, an Option, and which requires forfeiture of the right to purchase an equal number of Shares under the related Option upon the exercise of such SAR; or alternatively, which requires the cancellation of an equal amount of SARs upon the purchase of the Shares subject to the Option.</w:t>
      </w:r>
    </w:p>
    <w:p>
      <w:pPr>
        <w:spacing w:after="0" w:line="108" w:lineRule="exact"/>
        <w:rPr>
          <w:rFonts w:ascii="Times New Roman" w:cs="Times New Roman" w:eastAsia="Times New Roman" w:hAnsi="Times New Roman"/>
          <w:sz w:val="18"/>
          <w:szCs w:val="18"/>
          <w:color w:val="auto"/>
        </w:rPr>
      </w:pPr>
    </w:p>
    <w:p>
      <w:pPr>
        <w:jc w:val="both"/>
        <w:ind w:firstLine="8"/>
        <w:spacing w:after="0" w:line="266" w:lineRule="auto"/>
        <w:tabs>
          <w:tab w:leader="none" w:pos="3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Option" means any Option, or portion thereof, which is fully exercisable by the Holder. Vested Options remain exercisable only for that period of time as provided for under this Plan and any applicable Option Award Agreement. Once a Vested Option is no longer exercisable after otherwise having been exercisable, the Option shall become null and void.</w:t>
      </w:r>
    </w:p>
    <w:p>
      <w:pPr>
        <w:spacing w:after="0" w:line="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 Gender and Number. Except when otherwise indicated by the context, the masculine gender shall also include the feminine gender, and the definition of any term herein in the singular shall also include the plural.</w:t>
      </w:r>
    </w:p>
    <w:p>
      <w:pPr>
        <w:spacing w:after="0" w:line="90" w:lineRule="exact"/>
        <w:rPr>
          <w:sz w:val="20"/>
          <w:szCs w:val="20"/>
          <w:color w:val="auto"/>
        </w:rPr>
      </w:pPr>
    </w:p>
    <w:p>
      <w:pPr>
        <w:ind w:left="440" w:hanging="432"/>
        <w:spacing w:after="0"/>
        <w:tabs>
          <w:tab w:leader="none" w:pos="4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ADMINISTRATION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3.01 Composition of Committee. The Plan shall be administered by the Committee. To the extent the Board considers it desirable for transactions relating to Awards to be eligible to qualify for an exemption under Rule 16b-3, the Committee shall consist of two or more directors of the Company, all of whom qualify as "non-employee directors" within the meaning of Rule 16b-3.</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3.02 Authority of Committee. Subject to the terms of the Plan and applicable law, and in addition to other express powers and authorizations conferred on the Committee by the Plan, the Committee shall have full power and authority to:</w:t>
      </w:r>
    </w:p>
    <w:p>
      <w:pPr>
        <w:spacing w:after="0" w:line="94" w:lineRule="exact"/>
        <w:rPr>
          <w:sz w:val="20"/>
          <w:szCs w:val="20"/>
          <w:color w:val="auto"/>
        </w:rPr>
      </w:pPr>
    </w:p>
    <w:p>
      <w:pPr>
        <w:ind w:left="260" w:hanging="252"/>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Service Providers to whom Awards may from time to time be granted hereunder;</w:t>
      </w:r>
    </w:p>
    <w:p>
      <w:pPr>
        <w:spacing w:after="0" w:line="15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eligible Service Providers;</w:t>
      </w:r>
    </w:p>
    <w:p>
      <w:pPr>
        <w:spacing w:after="0" w:line="144" w:lineRule="exact"/>
        <w:rPr>
          <w:rFonts w:ascii="Times New Roman" w:cs="Times New Roman" w:eastAsia="Times New Roman" w:hAnsi="Times New Roman"/>
          <w:sz w:val="18"/>
          <w:szCs w:val="18"/>
          <w:color w:val="auto"/>
        </w:rPr>
      </w:pPr>
    </w:p>
    <w:p>
      <w:pPr>
        <w:ind w:firstLine="8"/>
        <w:spacing w:after="0" w:line="282" w:lineRule="auto"/>
        <w:tabs>
          <w:tab w:leader="none" w:pos="2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to be covered by, or with respect to which payments, rights, or other matters are to be calculated in connection with, Awards;</w:t>
      </w:r>
    </w:p>
    <w:p>
      <w:pPr>
        <w:spacing w:after="0" w:line="9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w:t>
      </w:r>
    </w:p>
    <w:p>
      <w:pPr>
        <w:spacing w:after="0" w:line="157" w:lineRule="exact"/>
        <w:rPr>
          <w:rFonts w:ascii="Times New Roman" w:cs="Times New Roman" w:eastAsia="Times New Roman" w:hAnsi="Times New Roman"/>
          <w:sz w:val="18"/>
          <w:szCs w:val="18"/>
          <w:color w:val="auto"/>
        </w:rPr>
      </w:pPr>
    </w:p>
    <w:p>
      <w:pPr>
        <w:ind w:firstLine="8"/>
        <w:spacing w:after="0" w:line="282" w:lineRule="auto"/>
        <w:tabs>
          <w:tab w:leader="none" w:pos="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to what extent, and under what circumstances Awards may be settled or exercised in cash, Shares, other securities, other Awards or other property;</w:t>
      </w:r>
    </w:p>
    <w:p>
      <w:pPr>
        <w:spacing w:after="0" w:line="80" w:lineRule="exact"/>
        <w:rPr>
          <w:rFonts w:ascii="Times New Roman" w:cs="Times New Roman" w:eastAsia="Times New Roman" w:hAnsi="Times New Roman"/>
          <w:sz w:val="18"/>
          <w:szCs w:val="18"/>
          <w:color w:val="auto"/>
        </w:rPr>
      </w:pPr>
    </w:p>
    <w:p>
      <w:pPr>
        <w:ind w:firstLine="8"/>
        <w:spacing w:after="0" w:line="282" w:lineRule="auto"/>
        <w:tabs>
          <w:tab w:leader="none" w:pos="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to what extent, and under what circumstance Awards may be canceled, forfeited, or suspended and the method or methods by which Awards may be settled, exercised, canceled, forfeited, or suspended;</w:t>
      </w:r>
    </w:p>
    <w:p>
      <w:pPr>
        <w:spacing w:after="0" w:line="94" w:lineRule="exact"/>
        <w:rPr>
          <w:rFonts w:ascii="Times New Roman" w:cs="Times New Roman" w:eastAsia="Times New Roman" w:hAnsi="Times New Roman"/>
          <w:sz w:val="18"/>
          <w:szCs w:val="18"/>
          <w:color w:val="auto"/>
        </w:rPr>
      </w:pPr>
    </w:p>
    <w:p>
      <w:pPr>
        <w:ind w:right="20" w:firstLine="8"/>
        <w:spacing w:after="0" w:line="282" w:lineRule="auto"/>
        <w:tabs>
          <w:tab w:leader="none" w:pos="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 omission, reconcile any inconsistency and otherwise interpret and administer the Plan and any instrument or Award Agreement relating to the Plan or any Award hereunder;</w:t>
      </w:r>
    </w:p>
    <w:p>
      <w:pPr>
        <w:spacing w:after="0" w:line="94"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exercisability of any Option, the vesting of any Restricted Shares or otherwise remove any restriction on any Award such that the Award becomes fully payable;</w:t>
      </w:r>
    </w:p>
    <w:p>
      <w:pPr>
        <w:spacing w:after="0" w:line="80" w:lineRule="exact"/>
        <w:rPr>
          <w:rFonts w:ascii="Times New Roman" w:cs="Times New Roman" w:eastAsia="Times New Roman" w:hAnsi="Times New Roman"/>
          <w:sz w:val="18"/>
          <w:szCs w:val="18"/>
          <w:color w:val="auto"/>
        </w:rPr>
      </w:pPr>
    </w:p>
    <w:p>
      <w:pPr>
        <w:ind w:firstLine="8"/>
        <w:spacing w:after="0" w:line="282" w:lineRule="auto"/>
        <w:tabs>
          <w:tab w:leader="none" w:pos="2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and amend the Plan, establish, amend, suspend, or waive such rules, regulations and procedures of the Plan, and appoint such agents as it shall deem appropriate for the proper administration of the Plan; and</w:t>
      </w:r>
    </w:p>
    <w:p>
      <w:pPr>
        <w:spacing w:after="0" w:line="94"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determination and take any other action that the Committee deems necessary or desirable for the administration of the Plan.</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3.03 Committee Delegation. The Committee may delegate to any member of the Board or committee of Board members such of its powers as it deems appropriate, including the power to sub-delegate, except that only a member of the Board (or a committee thereof)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may grant Awards from time to time to specified categories of Service Providers in amounts and on terms to be specified by the Board; provided that no such grants shall be made other than by the Board or the Committee to individuals who are then Section 16 Persons. A majority of the members of the Committee may determine its actions and fix the time and place of its meetings.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3.04 Determination Under the Plan. Unless otherwise expressly provided in the Plan, all designations, determinations, adjustments, interpretations, and other decisions under or with respect to the Plan, any Award or Award Agreement shall be within the sole discretion of the Committee, may be made at any time and shall be final, conclusive, and binding upon all persons, including the Company, any Participant, any Holder, and any stockholder. No member of the Committee shall be liable for any action, determination or interpretation made in good faith, and all members of the Committee shall, in addition to their rights as directors, be fully protected by the Company with respect to any such action, determination or interpretation.</w:t>
      </w:r>
    </w:p>
    <w:p>
      <w:pPr>
        <w:spacing w:after="0" w:line="13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IV.</w:t>
        <w:tab/>
        <w:t>STOCK SUBJECT TO THE PLAN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4.01 Number of Shares. Subject to adjustment as provided in Section 4.03 and subject to the maximum number of Shares that may be granted to an individual in a calendar year as set forth in Section 5.05, no more than a total of 19,470,000 Shares are authorized for issuance under the Plan (the "Maximum Share Limit") in accordance with the provisions of the Plan and subject to such restrictions or other provisions as the Committee may from time to time deem necessary. Any Shares required to satisfy Substitute Awards shall not count against the Maximum Share Limit. Any Shares issued hereunder may consist, in whole or in part, of authorized and unissued shares or treasury shares. The Shares may be divided among the various Plan components as the Committee shall determine; provided, however, the maximum number of Shares that may be issued pursuant to Incentive Stock Options shall be the sum of the Maximum Share Limit and any Incentive Stock Options issued as Substitute Awards. Shares that are subject to an underlying Award and Shares that are issued pursuant to the exercise of an Award shall be applied to reduce the maximum number of Shares remaining available for use under the Plan. Any Shares granted in connection with Options and Stock Appreciation Rights shall be counted against this limit as one (1) Share for every one (1) Option or Stock Appreciation Right awarded. Any Shares granted in connection with Awards other than Options and Stock Appreciation Rights shall be counted against this limit as two (2) Shares for every one (1) Share granted in connection with such Award. The Company shall at all times during the term of the Plan and while any Awards are outstanding retain as authorized and unissued Stock, or as treasury Stock, at least the number of Shares from time to time required under the provisions of the Plan, or otherwise assure itself of its ability to perform its obligations hereunder.</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4.02 Unused and Forfeited Stock. Any Shares that are subject to an Award under this Plan that are not used because the terms and conditions of the Award are not met, including any Shares that are subject to an Award that expires or is terminated for any reason, shall automatically become available for grant under the Plan. Any Shares used for full or partial payment of the purchase price of the Shares with respect to which an Option is exercised and any Shares retained by the Company pursuant to Section 16.02 must still be considered as having been granted for purposes of determining whether the Share limitation provided for in Section 4.01 has been reached.</w:t>
      </w:r>
    </w:p>
    <w:p>
      <w:pPr>
        <w:sectPr>
          <w:pgSz w:w="11900" w:h="16838" w:orient="portrait"/>
          <w:cols w:equalWidth="0" w:num="1">
            <w:col w:w="11240"/>
          </w:cols>
          <w:pgMar w:left="320" w:top="121" w:right="339" w:bottom="0" w:gutter="0" w:footer="0" w:header="0"/>
        </w:sectPr>
      </w:pPr>
    </w:p>
    <w:bookmarkStart w:id="44" w:name="page45"/>
    <w:bookmarkEnd w:id="44"/>
    <w:p>
      <w:pPr>
        <w:spacing w:after="0" w:line="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4.03 Adjustments in Authorized Shares. If, without the receipt of consideration therefore by the Company, the Company shall at any time increase or decrease the number of its outstanding Shares or change in any way the rights and privileges of such Shares such as, but not limited to, the payment of a stock dividend or any other distribution upon such Shares payable in Stock, or through a stock split, subdivision, consolidation, combination, reclassification or recapitalization involving the Stock, or any similar corporate event or transaction such that an adjustment is determined by the Committee to be appropriate in order to prevent dilution or enlargement of the benefits or potential benefits intended to be made available under the Plan, then in relation to the Shares that are affected by one or more of the above events, (i) the numbers, rights privileges and kinds of Shares that may be issued under this Plan or under particular forms of Awards, (ii) the number and kind of Shares subject to outstanding Awards, (iii) the Option Exercise Price or SAR exercise price applicable to outstanding Awards, and (iv) the annual individual limitation set forth in Section 5.05, shall be increased, decreased or changed in like manner, as if they had been issued and outstanding, fully paid and non assessable at the time of such occurrence. The manner in which Awards are adjusted pursuant to this Section 4.03 is to be determined by the Board or the Committee; provided that all adjustments must be determined by the Board or Committee in good faith and must be effectuated so as to preserve the value that any Participant has in outstanding Awards as of the time of the event giving rise to any potential dilution or enlargement of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 General Adjustment Rules.</w:t>
      </w:r>
    </w:p>
    <w:p>
      <w:pPr>
        <w:spacing w:after="0" w:line="185" w:lineRule="exact"/>
        <w:rPr>
          <w:sz w:val="20"/>
          <w:szCs w:val="20"/>
          <w:color w:val="auto"/>
        </w:rPr>
      </w:pPr>
    </w:p>
    <w:p>
      <w:pPr>
        <w:ind w:right="20" w:firstLine="8"/>
        <w:spacing w:after="0" w:line="282" w:lineRule="auto"/>
        <w:tabs>
          <w:tab w:leader="none" w:pos="2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adjustment or substitution provided for in this Section 4 shall result in the creation of a fractional Share under any Award, such fractional Share shall be rounded to the nearest whole Share and fractional Shares shall not be issued.</w:t>
      </w:r>
    </w:p>
    <w:p>
      <w:pPr>
        <w:spacing w:after="0" w:line="94" w:lineRule="exact"/>
        <w:rPr>
          <w:rFonts w:ascii="Times New Roman" w:cs="Times New Roman" w:eastAsia="Times New Roman" w:hAnsi="Times New Roman"/>
          <w:sz w:val="18"/>
          <w:szCs w:val="18"/>
          <w:color w:val="auto"/>
        </w:rPr>
      </w:pPr>
    </w:p>
    <w:p>
      <w:pPr>
        <w:jc w:val="both"/>
        <w:ind w:firstLine="8"/>
        <w:spacing w:after="0" w:line="266" w:lineRule="auto"/>
        <w:tabs>
          <w:tab w:leader="none" w:pos="2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substitution or adjustment affecting an Option or a SAR (including a Nonqualified Stock Option), such substitution or adjustment shall be made in a manner that is in accordance with the substitution and assumption rules set forth in Treasury Regulations 1.424-1 and the applicable guidance relating to Code section 409A.</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PARTICIPATION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5.01 Basis of Grant. Participants in the Plan shall be those Service Providers, who, in the judgment of the Committee, are performing, or during the term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their incentive arrangement will perform, important services in the management, operation and development of the Company, and significantly contribute, or are expected to significantly contribute, to the achievement of long-term corporate economic objectives. Participants may also include Service Providers who, in the Committee's discretion, are entitled to receive Awards as an inducement to perform services for the Company or any Subsidiary; provided that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 Award Agreement may contain terms and conditions providing for the termination of such inducement Award in the event that such Service Provider is not retained to perform services for the Company within the period specified therein.</w:t>
      </w:r>
    </w:p>
    <w:p>
      <w:pPr>
        <w:spacing w:after="0" w:line="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5.02 Types of Grants; Limits. Participants may be granted from time to time one or more Awards; provided, however, that the grant of each such Award shall be separately approved by the Committee or its designee, and receipt of one such Award shall not result in the automatic receipt of any other Award.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Written or electronic notice shall be given to such Person, specifying the terms, conditions, right and duties related to such Award. Under no circumstance shall Incentive Stock Options be granted to (i) non-employee directors, (ii) Consultants, (iii) any prospective non-employee director, employee or consultant, or (iv) any person not permitted to receive Incentive Stock Options under the Code.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5.03 Award Agreements. Each Participant shall enter into an Award Agreement(s) with the Company, in such form as the Committee shall determine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is consistent with the provisions of the Plan, specifying such terms, conditions, rights and duties. Unless otherwise explicitly stated in the Award Agreement, Awards shall be deemed to be granted as of the date specified in the grant resolution of the Committee, which date shall be the date of any related agreement(s) with the Participant. Unless explicitly provided for in a particular Award Agreement that the terms of the Plan are being superseded,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event of any inconsistency between the provisions of the Plan and any such Award Agreement(s) entered into hereunder, the provisions of the Plan shall govern.</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5.04 Restrictive Covenants. The Committee may, in its sole and absolute discretion, place certain restrictive covenants in an Award Agreement requiring the Participant to agree to refrain from certain actions. Such Restrictive Covenants, if contained in the Award Agreement, will be binding on the Participant.</w:t>
      </w:r>
    </w:p>
    <w:p>
      <w:pPr>
        <w:spacing w:after="0" w:line="7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5.05 Maximum Annual Award. The maximum number of Shares with respect to which an Award or Awards may be granted to any Participant in any one taxable year of the Company (the "Maximum Annual Participant Award") shall not exceed Five Hundred Thousand (500,000) Shares (increased,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proportionately, in the event of any stock split or stock dividend with respect to the Shares). The Maximum Annual Participant Award shall include any Bonus Shares that are paid to a Participant in that taxable year pursuant to the achievement of one or more established and objective performance goals under the Company's Executive Annual Incentive Plan or pursuant to any other Company-sponsored compensation plan or program. If an Option is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tandem with a SAR, such that the exercise of the Option or SAR with respect to a Share cancels the tandem SAR or Option right, respectively, with respect to each Share, the tandem Option and SAR rights with respect to each Share shall be counted as covering but one Share for purposes of the Maximum Annual Participant Award.</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5.06 Vesting. At least 95% of Awards granted to Participants under the Plan shall vest and therefore become exercisable no earlier than one (1) year after the Date of Grant.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5.07 Clawback Policy. Any Award granted under the Plan may be subject to certain provisions of the Dodd-Frank Wall Street Reform and Consumer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Protection Act of 2010 (the "Dodd-Frank Act") or any other compensation clawback policy adopted by the Committee requiring the Company to be able to claw back compensation paid to its executives under certain circumstances. Any Participant or Holder receiving an Award acknowledges that the Award may be clawed back by the Company in accordance with the Dodd-Frank Act or any policies and procedures adopted by the Committee or as set forth in 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Agreement.</w:t>
      </w:r>
    </w:p>
    <w:p>
      <w:pPr>
        <w:spacing w:after="0" w:line="9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5.08 Chief Executive Officer Holding Period. The Award Agreement for any Award granted to the Chief Executive Officer will contain a requirement that any Shares issued upon the vesting of the Award will be held for a minimum of one (1) year subsequent to the date of vesting, unless the Chief Executive Officer retires or is terminated prior to such time. Notwithstanding the foregoing, the Chief Executive Officer shall be permitted to subject such Shares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withholding provisions of Section 16.02.</w:t>
      </w:r>
    </w:p>
    <w:p>
      <w:pPr>
        <w:spacing w:after="0" w:line="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5.09 Dividend Equivalents. Notwithstanding any other provision of this Plan, no dividend or dividend equivalents are paid on unvested awards for all equity award types.</w:t>
      </w:r>
    </w:p>
    <w:p>
      <w:pPr>
        <w:spacing w:after="0" w:line="10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STOCK OPTIONS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6.01 Grant of Options. A Participant may be granted one or more Options. The Committee in its sole discretion shall designate whether an Option is an Incentive Stock Option or a Nonqualified Stock Option. The Committee may grant both an Incentive Stock Option and a Nonqualified Stock Option to the same Participant at the same time or at different times. Incentive Stock Options and Nonqualified Stock Options, whether granted at the same or different times, shall be deemed to have been awarded in separate grants, shall be clearly</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identified, and in no event shall the exercise of one Option affect the right to exercise any other Option or affect the number of Shares for which any other Option may be exercised.</w:t>
      </w:r>
    </w:p>
    <w:p>
      <w:pPr>
        <w:sectPr>
          <w:pgSz w:w="11900" w:h="16900" w:orient="portrait"/>
          <w:cols w:equalWidth="0" w:num="1">
            <w:col w:w="11240"/>
          </w:cols>
          <w:pgMar w:left="320" w:top="121" w:right="339" w:bottom="0" w:gutter="0" w:footer="0" w:header="0"/>
        </w:sectPr>
      </w:pPr>
    </w:p>
    <w:bookmarkStart w:id="45" w:name="page46"/>
    <w:bookmarkEnd w:id="45"/>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6.02 Option Agreements. Each Option granted under the Plan shall be evidenced by an Option Award Agreement which shall be entered into by the Company and the Participant to whom the Option is granted (the "Option Holder"), and which shall contain, or be subject to, the following terms and conditions, as well as such other terms and conditions not inconsistent therewith, as the Committee may consider appropriate in each case.</w:t>
      </w:r>
    </w:p>
    <w:p>
      <w:pPr>
        <w:spacing w:after="0" w:line="135" w:lineRule="exact"/>
        <w:rPr>
          <w:sz w:val="20"/>
          <w:szCs w:val="20"/>
          <w:color w:val="auto"/>
        </w:rPr>
      </w:pPr>
    </w:p>
    <w:p>
      <w:pPr>
        <w:jc w:val="both"/>
        <w:ind w:firstLine="8"/>
        <w:spacing w:after="0" w:line="255" w:lineRule="auto"/>
        <w:tabs>
          <w:tab w:leader="none" w:pos="2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Each Option Award Agreement shall state that it covers a specified number of Shares, as determined by the Committee. To the extent that the aggregate Fair Market Value of Shares with respect to which Options designated as Incentive Stock Options are exercisable for the first time by any Option Holder during any calendar year exceeds $100,000 or, if different, the maximum limitation in effect at the time of grant under Code section 422(d), or any successor provision, such Options in excess of such limit shall be treated as Nonqualified Stock Options. The foregoing shall be applied by taking Options into account in the order in which they were granted. For the purposes of the foregoing, the Fair Market Value of any Share shall be determined as of the time the Option with respect to such Share is granted. In the event the foregoing results in a portion of an Option designated as an Incentive Stock Option exceeding the $100,000 limitation, only such excess shall be treated as a Nonqualified Stock Option.</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26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Each Option Award Agreement shall state the Option Exercise Price at which each Share covered by an Option may be purchased. Such Option Exercise Price shall be determined in each case by the Committee, but in no event other than with respect to a Substitute Award shall the Option Exercise Price for each Share covered by an Option be less than the Fair Market Value of the Stock on the Option's Grant Date, as determined by the Committee; provided, however, that the Option Exercise Price for each Share covered by an Incentive Stock Option granted to an Eligible Employee who then owns stock possessing more than 10% of the total combined voting power of all classes of stock of the Company or any parent or Subsidiary corporation of the Company must be at least 110% of the Fair Market Value of the Stock subject to the Incentive Stock Option on the Option's Grant Date.</w:t>
      </w:r>
    </w:p>
    <w:p>
      <w:pPr>
        <w:spacing w:after="0" w:line="146" w:lineRule="exact"/>
        <w:rPr>
          <w:rFonts w:ascii="Times New Roman" w:cs="Times New Roman" w:eastAsia="Times New Roman" w:hAnsi="Times New Roman"/>
          <w:sz w:val="18"/>
          <w:szCs w:val="18"/>
          <w:color w:val="auto"/>
        </w:rPr>
      </w:pPr>
    </w:p>
    <w:p>
      <w:pPr>
        <w:jc w:val="both"/>
        <w:ind w:firstLine="8"/>
        <w:spacing w:after="0" w:line="254" w:lineRule="auto"/>
        <w:tabs>
          <w:tab w:leader="none" w:pos="2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Options. Each Option Award Agreement shall state the period of time, determined by the Committee, within which the Option may be exercised by the Option Holder (the "Option Period"). The Option Period must expire, in all cases, not more than ten years from the Option's Grant Date; provided, however, that the Option Period of an Incentive Stock Option granted to an Eligible Employee who then owns Stock possessing more than 10% of the total combined voting power of all classes of Stock of the Company must expire not more than five years from the Option's Grant Date. Each Option Award Agreement shall also state the periods of time, if any, as determined by the Committee, when incremental portions of each Option shall become exercisable. If any Option or portion thereof is not exercised during its Option Period, such unexercised portion shall be deemed to have been forfeited and have no further force or effect. Due to Code section 409A's treatment of an extension or renewal of an Option as the granting of a new Option, the Committee shall not extend or renew the term of an Option without the consent of the Holder.</w:t>
      </w:r>
    </w:p>
    <w:p>
      <w:pPr>
        <w:spacing w:after="0" w:line="191"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Service, Death, Disability, etc. Each Option Agreement shall state the period of time, if any, determined by the Committee, within which the Vested Option may be exercised after an Option Holder ceases to be a Service Provider on account of the Participant's death, Disability, voluntary resignation, removal from the Board or the Company having terminated such Option Holder's employment with or without Cause. Unless an Option Award Agreement provides otherwise, a Participant's change in status between serving as an employee and/or director will not be considered a cessation of the Participant as a Service Provider for purposes of any Option expiration period under the Plan.</w:t>
      </w:r>
    </w:p>
    <w:p>
      <w:pPr>
        <w:spacing w:after="0" w:line="142" w:lineRule="exact"/>
        <w:rPr>
          <w:rFonts w:ascii="Times New Roman" w:cs="Times New Roman" w:eastAsia="Times New Roman" w:hAnsi="Times New Roman"/>
          <w:sz w:val="18"/>
          <w:szCs w:val="18"/>
          <w:color w:val="auto"/>
        </w:rPr>
      </w:pPr>
    </w:p>
    <w:p>
      <w:pPr>
        <w:jc w:val="both"/>
        <w:ind w:firstLine="8"/>
        <w:spacing w:after="0" w:line="261" w:lineRule="auto"/>
        <w:tabs>
          <w:tab w:leader="none" w:pos="2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Except to the extent permitted by the Committee pursuant to Section 12.03, Options shall not be transferable by the Option Holder except by will or pursuant to the laws of descent and distribution. Each Vested Option shall be exercisable during the Option Holder's lifetime only by him or her, or in the event of Disability or incapacity, by his or her guardian or legal representative. Shares issuable pursuant to any Option shall be delivered only to or for the account of the Option Holder, or in the event of Disability or incapacity, to his or her guardian or legal representative.</w:t>
      </w:r>
    </w:p>
    <w:p>
      <w:pPr>
        <w:spacing w:after="0" w:line="152"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Payments, etc.</w:t>
      </w:r>
    </w:p>
    <w:p>
      <w:pPr>
        <w:spacing w:after="0" w:line="185" w:lineRule="exact"/>
        <w:rPr>
          <w:sz w:val="20"/>
          <w:szCs w:val="20"/>
          <w:color w:val="auto"/>
        </w:rPr>
      </w:pPr>
    </w:p>
    <w:p>
      <w:pPr>
        <w:jc w:val="both"/>
        <w:ind w:firstLine="8"/>
        <w:spacing w:after="0" w:line="255" w:lineRule="auto"/>
        <w:tabs>
          <w:tab w:leader="none" w:pos="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Option Award Agreement, each Vested Option may be exercised by delivery to the Corporate Secretary of the Company of a written or electronic notice specifying the number of Shares with respect to which such Option is exercised and payment of the Option Exercise Price. Such notice shall be in a form satisfactory to the Committee or its designee and shall specify the particular Vested Option that is being exercised and the number of Shares with respect to which the Vested Option is being exercised. The exercise of the Vested Option shall be deemed effective upon receipt of such notice by the Corporate Secretary and payment to the Company. The purchase of such Stock shall take place at the principal offices of the Company upon delivery of such notice, at which time the purchase price of the Stock shall be paid in full by any of the methods or any combination of the methods set forth in (ii) below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The Option Exercise Price shall be paid by any of the following methods:</w:t>
      </w:r>
    </w:p>
    <w:p>
      <w:pPr>
        <w:spacing w:after="0" w:line="185"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certified bank check;</w:t>
      </w:r>
    </w:p>
    <w:p>
      <w:pPr>
        <w:spacing w:after="0" w:line="144" w:lineRule="exact"/>
        <w:rPr>
          <w:rFonts w:ascii="Times New Roman" w:cs="Times New Roman" w:eastAsia="Times New Roman" w:hAnsi="Times New Roman"/>
          <w:sz w:val="18"/>
          <w:szCs w:val="18"/>
          <w:color w:val="auto"/>
        </w:rPr>
      </w:pPr>
    </w:p>
    <w:p>
      <w:pPr>
        <w:jc w:val="both"/>
        <w:ind w:firstLine="8"/>
        <w:spacing w:after="0" w:line="230" w:lineRule="auto"/>
        <w:tabs>
          <w:tab w:leader="none" w:pos="20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to the Company of a number of Shares then owned by the Holder, the Fair Market Value of which equals the purchase price of the Stock purchased pursuant to the Vested Option; provided, however, that Shares used for this purpose must have been held by the Holder for such minimum period of time as may be established from time to time by the Committee; and provided further that the Fair Market Value of any Shares delivered in payment of the purchase price upon exercise of the Options shall be the Fair Market Value as of the exercise date, which shall be the date of delivery of the certificates for the Stock used as payment of the Option Exercise Price. In lieu of actually surrendering to the Company a number of Shares then owned by the Holder, the Committee may, in its discretion permit the Holder to submit to the Company a statement affirming ownership by the Holder of such number of Shares and request that such Shares, although not actually surrendered, be deemed to have been surrendered by the Holder as payment of the exercise price.</w:t>
      </w:r>
    </w:p>
    <w:p>
      <w:pPr>
        <w:spacing w:after="0" w:line="92" w:lineRule="exact"/>
        <w:rPr>
          <w:rFonts w:ascii="Times New Roman" w:cs="Times New Roman" w:eastAsia="Times New Roman" w:hAnsi="Times New Roman"/>
          <w:sz w:val="17"/>
          <w:szCs w:val="17"/>
          <w:color w:val="auto"/>
        </w:rPr>
      </w:pPr>
    </w:p>
    <w:p>
      <w:pPr>
        <w:ind w:firstLine="8"/>
        <w:spacing w:after="0" w:line="237" w:lineRule="auto"/>
        <w:tabs>
          <w:tab w:leader="none" w:pos="1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Holder other than an Executive Officer or except as otherwise prohibited by the Committee, by payment through a broker in accordance with procedures permitted by Regulation T of the Federal Reserve Board.</w:t>
      </w:r>
    </w:p>
    <w:p>
      <w:pPr>
        <w:spacing w:after="0" w:line="90" w:lineRule="exact"/>
        <w:rPr>
          <w:rFonts w:ascii="Times New Roman" w:cs="Times New Roman" w:eastAsia="Times New Roman" w:hAnsi="Times New Roman"/>
          <w:sz w:val="18"/>
          <w:szCs w:val="18"/>
          <w:color w:val="auto"/>
        </w:rPr>
      </w:pPr>
    </w:p>
    <w:p>
      <w:pPr>
        <w:jc w:val="both"/>
        <w:ind w:firstLine="8"/>
        <w:spacing w:after="0" w:line="231" w:lineRule="auto"/>
        <w:tabs>
          <w:tab w:leader="none" w:pos="1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Nonqualified Stock Option, by a "net exercise" arrangement pursuant to which the Company will not require a payment of the Option Exercise Price but will reduce the number of Shares of Stock upon the exercise by the largest number of whole shares that has a Fair Market Value on the date of exercise that does not exceed the aggregate Option Exercise Price.</w:t>
      </w:r>
    </w:p>
    <w:p>
      <w:pPr>
        <w:spacing w:after="0" w:line="9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consideration provided in the foregoing subsections (1), (2), (3) and (4).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The Company shall not guarantee a third-party loan obtained by a Holder to pay part of or the entire Option Exercise Price of the Shares.</w:t>
      </w:r>
    </w:p>
    <w:p>
      <w:pPr>
        <w:spacing w:after="0" w:line="104" w:lineRule="exact"/>
        <w:rPr>
          <w:sz w:val="20"/>
          <w:szCs w:val="20"/>
          <w:color w:val="auto"/>
        </w:rPr>
      </w:pPr>
    </w:p>
    <w:p>
      <w:pPr>
        <w:jc w:val="both"/>
        <w:ind w:firstLine="8"/>
        <w:spacing w:after="0" w:line="231" w:lineRule="auto"/>
        <w:tabs>
          <w:tab w:leader="none" w:pos="2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 Unless otherwise specified in the Option Award Agreement, an Option shall be considered as having been granted on the date the Committee or its delegate completes the corporate action necessary to create a legally binding right constituting the Option, as set forth under the applicable Treasury Regulations issued under Section 409A.</w:t>
      </w:r>
    </w:p>
    <w:p>
      <w:pPr>
        <w:spacing w:after="0" w:line="9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w:t>
      </w:r>
    </w:p>
    <w:p>
      <w:pPr>
        <w:spacing w:after="0" w:line="157" w:lineRule="exact"/>
        <w:rPr>
          <w:rFonts w:ascii="Times New Roman" w:cs="Times New Roman" w:eastAsia="Times New Roman" w:hAnsi="Times New Roman"/>
          <w:sz w:val="18"/>
          <w:szCs w:val="18"/>
          <w:color w:val="auto"/>
        </w:rPr>
      </w:pPr>
    </w:p>
    <w:p>
      <w:pPr>
        <w:jc w:val="both"/>
        <w:ind w:firstLine="8"/>
        <w:spacing w:after="0" w:line="226" w:lineRule="auto"/>
        <w:tabs>
          <w:tab w:leader="none" w:pos="2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Upon any exercise of a Nonqualified Stock Option, the Option Holder shall make appropriate arrangements with the Company to provide for the minimum amount of additional withholding required by applicable federal and state income tax and payroll laws, including payment of such taxes through delivery of Stock or by withholding Stock to be issued under the Option, as provided in Section 16.</w:t>
      </w:r>
    </w:p>
    <w:p>
      <w:pPr>
        <w:sectPr>
          <w:pgSz w:w="11900" w:h="16931" w:orient="portrait"/>
          <w:cols w:equalWidth="0" w:num="1">
            <w:col w:w="11240"/>
          </w:cols>
          <w:pgMar w:left="320" w:top="121" w:right="339" w:bottom="0" w:gutter="0" w:footer="0" w:header="0"/>
        </w:sectPr>
      </w:pPr>
    </w:p>
    <w:bookmarkStart w:id="46" w:name="page47"/>
    <w:bookmarkEnd w:id="46"/>
    <w:p>
      <w:pPr>
        <w:jc w:val="both"/>
        <w:ind w:firstLine="8"/>
        <w:spacing w:after="0" w:line="217" w:lineRule="auto"/>
        <w:tabs>
          <w:tab w:leader="none" w:pos="27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In the event that an Option Holder makes a disposition (as defined in Code section 424(c)) of any Stock acquired pursuant to the exercise of an Incentive Stock Option prior to the later of (a) the expiration of two years from the date on which the Incentive Stock Option was granted or (b) the expiration of one (1) year from the date on which the Option was exercised, the Participant shall send written notice to the Company at its principal office (Attention: Corporate Secretary) of the date of such disposition, the number of shares disposed of, the amount of proceeds received from such disposition, and any other information relating to such disposition as the Company may reasonably request. The Option Holder shall, in the event of such a disposition, make appropriate arrangements with the Company to provide for the amount of additional withholding, if any, required by applicable Federal and state income tax laws.</w:t>
      </w:r>
    </w:p>
    <w:p>
      <w:pPr>
        <w:spacing w:after="0" w:line="94" w:lineRule="exact"/>
        <w:rPr>
          <w:rFonts w:ascii="Times New Roman" w:cs="Times New Roman" w:eastAsia="Times New Roman" w:hAnsi="Times New Roman"/>
          <w:sz w:val="18"/>
          <w:szCs w:val="18"/>
          <w:color w:val="auto"/>
        </w:rPr>
      </w:pPr>
    </w:p>
    <w:p>
      <w:pPr>
        <w:jc w:val="both"/>
        <w:ind w:firstLine="8"/>
        <w:spacing w:after="0" w:line="214" w:lineRule="auto"/>
        <w:tabs>
          <w:tab w:leader="none" w:pos="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Options. Subject to the limitations set forth below and those contained in Sections 6 and 15, the Committee may make any adjustment in the Option Exercise Price, the number of Shares subject to, or the terms of, an outstanding Option and a subsequent granting of an Option by amendment or by substitution of an outstanding Option. Such amendment, substitution, or re-grant may result in terms and conditions (including Option Exercise Price, number of Shares covered, vesting schedule or exercise period) that differ from the terms and conditions of the original Option; provided, however, except as permitted under Section 11, the Committee may not, without stockholder approval (i) amend an Option to reduce its Option Exercise Price, (ii) cancel an Option and regrant an Option with an Option Exercise Price lower than the original Option Exercise Price of the cancelled Option, (iii) cancel an Option in exchange for cash or another Award or (iv) take any other action (whether in the form of an amendment, cancellation or replacement grant) that has the effect of "repricing" an Option, as defined under applicable NASDAQ rules or the rules of the established stock exchange or quotation system on which the Company Stock is then listed or traded. The Committee also may not adversely affect the rights of any Option Holder to previously granted Options without the consent of such Option Holder. If such action is affected by the amendment, the effective date of such amendment shall be the date of the original grant. Any adjustment, modification, extension or renewal of an Option shall be effected such that the Option is either exempt from, or is compliant with, Code section 409A.</w:t>
      </w:r>
    </w:p>
    <w:p>
      <w:pPr>
        <w:spacing w:after="0" w:line="1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6.03 Stockholder Privileges. No Holder shall have any rights as a stockholder with respect to any Shares covered by an Option until the Holder becomes the holder of record of such Stock, and no adjustments shall be made for dividends or other distributions or other rights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to which there is a record date preceding the date such Holder becomes the holder of record of such Stock, except as provided in Section 4.</w:t>
      </w:r>
    </w:p>
    <w:p>
      <w:pPr>
        <w:spacing w:after="0" w:line="22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7"/>
          <w:szCs w:val="17"/>
          <w:b w:val="1"/>
          <w:bCs w:val="1"/>
          <w:color w:val="auto"/>
        </w:rPr>
        <w:t>STOCK APPRECIATION RIGHTS</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7.01 Grant of SARs. Subject to the terms and conditions of this Plan, a SAR may be granted to a Participant at any time and from time to time as shall be determined by the Committee in its sole discretion. The Committee may grant Freestanding SARs or Tandem SARs, or any combination thereof.</w:t>
      </w:r>
    </w:p>
    <w:p>
      <w:pPr>
        <w:spacing w:after="0" w:line="82" w:lineRule="exact"/>
        <w:rPr>
          <w:sz w:val="20"/>
          <w:szCs w:val="20"/>
          <w:color w:val="auto"/>
        </w:rPr>
      </w:pPr>
    </w:p>
    <w:p>
      <w:pPr>
        <w:ind w:firstLine="8"/>
        <w:spacing w:after="0" w:line="237" w:lineRule="auto"/>
        <w:tabs>
          <w:tab w:leader="none" w:pos="2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The Committee shall have complete discretion to determine the number of SARs granted to any Participant, subject to the limitations imposed in this Plan and by applicable law.</w:t>
      </w:r>
    </w:p>
    <w:p>
      <w:pPr>
        <w:spacing w:after="0" w:line="90" w:lineRule="exact"/>
        <w:rPr>
          <w:rFonts w:ascii="Times New Roman" w:cs="Times New Roman" w:eastAsia="Times New Roman" w:hAnsi="Times New Roman"/>
          <w:sz w:val="18"/>
          <w:szCs w:val="18"/>
          <w:color w:val="auto"/>
        </w:rPr>
      </w:pPr>
    </w:p>
    <w:p>
      <w:pPr>
        <w:jc w:val="both"/>
        <w:ind w:firstLine="8"/>
        <w:spacing w:after="0" w:line="224" w:lineRule="auto"/>
        <w:tabs>
          <w:tab w:leader="none" w:pos="2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and Other Terms. Except with respect to a Substitute Award, all SARs shall be granted with an exercise price no less than the Fair Market Value of the underlying Shares on the SARs’ Date of Grant. The Committee, subject to the provisions of this Plan, shall have complete discretion to determine the terms and conditions of SARs granted under this Plan. The exercise price per Share of Tandem SARs shall equal the exercise price per Share of the related Option.</w:t>
      </w:r>
    </w:p>
    <w:p>
      <w:pPr>
        <w:spacing w:after="0" w:line="91" w:lineRule="exact"/>
        <w:rPr>
          <w:rFonts w:ascii="Times New Roman" w:cs="Times New Roman" w:eastAsia="Times New Roman" w:hAnsi="Times New Roman"/>
          <w:sz w:val="18"/>
          <w:szCs w:val="18"/>
          <w:color w:val="auto"/>
        </w:rPr>
      </w:pPr>
    </w:p>
    <w:p>
      <w:pPr>
        <w:ind w:firstLine="8"/>
        <w:spacing w:after="0" w:line="237"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SARs. Each SAR Award Agreement shall state the period of time, determined by the Committee, within which the SARs may be exercised by the Holder (the “SAR Period”). The SAR Period must expire, in all cases, not more than ten years from the SAR Grant Date.</w:t>
      </w:r>
    </w:p>
    <w:p>
      <w:pPr>
        <w:spacing w:after="0" w:line="9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7.02 SAR Award Agreement. Each SAR granted under the Plan shall be evidenced by a SAR Award Agreement which shall be entered into by the Company and the Participant to whom the SAR is granted (the "SAR Holder"), and which shall specify the exercise price per share, the terms of the SAR,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of exercise, and such other terms and conditions as the Committee in its sole discretion shall determine.</w:t>
      </w:r>
    </w:p>
    <w:p>
      <w:pPr>
        <w:spacing w:after="0" w:line="9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7.03 Exercise of Tandem SARs.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 With respect to a Tandem SAR granted in connection with an Incentive Stock Option: (a) the Tandem SAR shall expire no later than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expiration of the underlying Incentive Stock Option; (b) the value of the payout with respect to the Tandem SAR shall be for no more than one hundred percent (100%) of the difference between the Exercise Price per Share of the underlying Incentive Stock Option and the Fair Market Value per Share of the Shares subject to the underlying Incentive Stock Option at the time the Tandem SAR is exercised; and (c) the Tandem SAR shall be exercisable only when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Market Value per Share of the Shares subject to the Incentive Stock Option exceeds the Option Price per Share of the Incentive Stock Option.</w:t>
      </w:r>
    </w:p>
    <w:p>
      <w:pPr>
        <w:spacing w:after="0" w:line="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7.04 Exercise of Freestanding SARs. Freestanding SARs shall be exercisable on such terms and conditions as the Committee in its sole discretion shall determine.</w:t>
      </w:r>
    </w:p>
    <w:p>
      <w:pPr>
        <w:spacing w:after="0" w:line="9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7.05 Expiration of SARs. A SAR granted under this Plan shall expire on the earlier of (i) the tenth anniversary of the SARs' Date of Grant or (ii) date set forth in the SAR Award Agreement, which date shall be determined by the Committee in its sole discretion. Unless otherwise specifically provided for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SAR Award Agreement, a Freestanding SAR granted under this Plan shall terminate according to the same rules under which a Nonqualified Stock Option would terminate in the event of a SAR Holder's termination of employment, death or Disability as provided for in the SAR Award Agreement. Unless otherwise specifically provided for in the SAR Award agreement, a Tandem SAR granted under this Plan shall be exercisable at such time or times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only to the extent that the related Option is exercisable. The Tandem SAR shall terminate and no longer be exercisable upon the termination or exercise of the related Options, except that Tandem SARs granted with respect to less than the full number of shares covered by a related Option shall not be reduced until the exercise or termination of the related Option exceeds the number of Shares not covered by the SARs.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7.06 Adjustment of SARs. Subject to the limitations set forth below and those contained in Sections 7 and 15, the Committee may make any adjustment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SAR exercise price, the number of Shares subject to, or the terms of, an outstanding SAR and a subsequent granting of an SAR by amendment or by substitution of an outstanding SAR. Such amendment, substitution, or re-grant may result in terms and conditions (including SAR exercise price, number of Shares covered, vesting schedule or exercise period) that differ from the terms and conditions of the original SAR; provided, however, except as permitted</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under Section 11, the Committee may not, without stockholder approval (i) amend a SAR to reduce its exercise price, (ii) cancel a SAR and regrant a SAR with an exercise price lower than the original exercise price of the cancelled SAR, (iii) cancel a SAR in exchange for cash or another Award or (iv) take any other action (whether in the form of an amendment, cancellation or replacement grant) that has the effect of "repricing" a SAR, as defined under applicable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NASDAQ rules or the rules of the established stock exchange or quotation system on which the Company Stock is then listed or traded. The Committee also may not adversely affect the rights of any SAR Holder to previously granted SARs without the consent of such SAR Holder. If such action is affected by the amendment, the effective date of such amendment shall be the date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original grant. Any adjustment, modification, extension or renewal of a SAR shall be effected such that the SAR is either exempt from, or is compliant with, Code section 409A.</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7.07 Payment of SAR Amount. Upon exercise of a SAR, a Holder shall be entitled to receive payment from the Company in an amount determined by multiplying (i) the positive difference between the Fair Market Value of a Share on the date of exercise over the exercise price per Share by (ii) the number of Shares with respect to which the SAR is exercised. The payment upon a SAR exercise may be in whole Shares of equivalent value, cash, or a combination of whole Shares and cash. Fractional Shares shall be rounded down to the nearest whole Share.</w:t>
      </w:r>
    </w:p>
    <w:p>
      <w:pPr>
        <w:sectPr>
          <w:pgSz w:w="11900" w:h="16838" w:orient="portrait"/>
          <w:cols w:equalWidth="0" w:num="1">
            <w:col w:w="11240"/>
          </w:cols>
          <w:pgMar w:left="320" w:top="108" w:right="339" w:bottom="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7.08 Stockholder Privileges. No Holder shall have any rights as a stockholder with respect to any Shares covered by a SAR until the Holder becomes the holder of record of such Stock, and no adjustments shall be made for dividends or other distributions or other rights as to which there is a record date preceding the date such Holder becomes the holder of record of such Stock, except as provided in Section 4.</w:t>
      </w:r>
    </w:p>
    <w:p>
      <w:pPr>
        <w:spacing w:after="0" w:line="10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7"/>
          <w:szCs w:val="17"/>
          <w:b w:val="1"/>
          <w:bCs w:val="1"/>
          <w:color w:val="auto"/>
        </w:rPr>
        <w:t>AWARDS OF RESTRICTED STOCK AND RESTRICTED STOCK UNITS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8.01 Restricted Stock Awards Granted by Committee. Coincident with or following designation for participation in the Plan and subject to the terms and provisions of the Plan, the Committee, at any time and from time to time, may grant Restricted Stock to any Service Provider in such amounts as the Committee shall determine.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8.02 Restricted Stock Unit Awards Granted by Committee. Coincident with or following designation for participation in the Plan and subject to the terms and provisions of the Plan, the Committee may grant a Service Provider Restricted Stock Units, in connection with or separate from a grant of Restricted Stock. Upon the vesting of Restricted Stock Units, the Holder shall be entitled to receive the full value of the Restricted Stock Units payable in either Shares or cash.</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8.03 Restrictions. A Holder's right to retain Shares of Restricted Stock or be paid with respect to Restricted Stock Units shall be subject to such restrictions, including but not limited to, him or her continuing to perform as a Service Provider for a restriction period specified by the Committee, or the attainment of specified performance goals and objectives, as may be established by the Committee with respect to such Award. The Committee may in its sole discretion require different periods of service or different performance goals and objectives with respect to (i) different Holders, (ii) different Restricted Stock or Restricted Stock Unit Awards, or (iii) separate, designated portions of the Shares constituting a Restricted Stock Award. Any grant of Restricted Stock or Restricted Stock Units shall contain terms such that the Award is either exempt from Code section 409A or complies with such section</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8.04 Privileges of a Stockholder, Transferability. Unless otherwise provided in the Award Agreement, a Participant shall have all voting, liquidation and other rights with respect to Shares of Restricted Stock; provided, however, that in no event shall any dividend relating to Restricted Stock be paid unless and until the restrictions on such Shares shall have lapsed. Any voting, liquidation or other rights shall accrue to the benefit of a Holder only with respect to Shares of Restricted Stock held by, or for the benefit of, the Holder on the record date of any such right. A Participant's right to sell, encumber or otherwise transfer such Restricted Stock shall, in addition to the restrictions otherwise provided for in the Award Agreement, be subject to the limitations of Section 12.02 hereof. Restricted Stock Units shall not have any voting or dividend rights.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8.05 Enforcement of Restrictions. The Committee may in its sole discretion require one or more of the following methods of enforcing the restrictions referred to in Sections 8.03 and 8.04:</w:t>
      </w:r>
    </w:p>
    <w:p>
      <w:pPr>
        <w:spacing w:after="0" w:line="121" w:lineRule="exact"/>
        <w:rPr>
          <w:sz w:val="20"/>
          <w:szCs w:val="20"/>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 legend on the stock certificates, or the Restricted Stock Unit Award Agreement, as applicable, referring to restrictions;</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Holder to keep the stock certificates, duly endorsed, in the custody of the Company while the restrictions remain in effect;</w:t>
      </w:r>
    </w:p>
    <w:p>
      <w:pPr>
        <w:spacing w:after="0" w:line="144" w:lineRule="exact"/>
        <w:rPr>
          <w:rFonts w:ascii="Times New Roman" w:cs="Times New Roman" w:eastAsia="Times New Roman" w:hAnsi="Times New Roman"/>
          <w:sz w:val="18"/>
          <w:szCs w:val="18"/>
          <w:color w:val="auto"/>
        </w:rPr>
      </w:pPr>
    </w:p>
    <w:p>
      <w:pPr>
        <w:ind w:firstLine="8"/>
        <w:spacing w:after="0" w:line="282"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the stock certificates, duly endorsed, be held in the custody of a third party nominee selected by the Company who will hold such Shares of Restricted Stock on behalf of the Holder while the restrictions remain in effect; or</w:t>
      </w:r>
    </w:p>
    <w:p>
      <w:pPr>
        <w:spacing w:after="0" w:line="134" w:lineRule="exact"/>
        <w:rPr>
          <w:rFonts w:ascii="Times New Roman" w:cs="Times New Roman" w:eastAsia="Times New Roman" w:hAnsi="Times New Roman"/>
          <w:sz w:val="18"/>
          <w:szCs w:val="18"/>
          <w:color w:val="auto"/>
        </w:rPr>
      </w:pPr>
    </w:p>
    <w:p>
      <w:pPr>
        <w:ind w:firstLine="8"/>
        <w:spacing w:after="0" w:line="282"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inserting a provision into the Restricted Stock Award Agreement prohibiting assignment of such Award Agreement until the terms and conditions or restrictions contained therein have been satisfied or released, as applicable.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8.06 Termination of Service, Death, Disability, etc. Except as otherwise provided in an Award Agreement, in the event of the death or Disability of a Participant, all service period and other restrictions applicable to Restricted Stock or Restricted Stock Unit Awards then held by him or her shall lapse, and such Awards shall become fully nonforfeitable. Subject to Section 11 and except as otherwise provided in an Award Agreement, in the event a Participant ceases to be a Service Provider for any other reason, any Restricted Stock or Restricted Stock Unit Awards as to which the service period or other vesting conditions have not been satisfied shall be forfeited.</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7"/>
          <w:szCs w:val="17"/>
          <w:b w:val="1"/>
          <w:bCs w:val="1"/>
          <w:color w:val="auto"/>
        </w:rPr>
        <w:t>PERFORMANCE SHARES AND PERFORMANCE UNITS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9.01 Awards Granted by Committee. Coincident with or following designation for participation in the Plan, a Participant may be granted Performance Shares or Performance Units.</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9.02 Amount of Award. The Committee shall establish a maximum amount of a Holder's Award, which amount shall be denominated in Shares in the case of Performance Shares or in dollars in the case of Performance Units.</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9.03 Communication of Award. Written notice of the maximum amount of a Holder's Award and the Performance Period determined by Committee shall be given to a Participant as soon as practicable after approval of the Award by the Committee.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9.04 Amount of Award Payable. The Committee shall establish maximum and minimum performance targets to be achieved during the applicable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Performance Period. Performance targets established by the Committee shall relate to corporate, group, unit or individual performance and may be established in terms of (i) specified levels of earnings per share from continuing operations, (ii) operating income, (iii) revenues, (iv) gross margin, (v) return on operating assets (whether all assets or designated assets), (vi) return on equity, (vii) economic value added, (viii) stock price appreciation, (ix) total stockholder return (measured in terms of stock price appreciation and dividend growth), (x) net income, (xi) debt reduction, (xii) cost control, or (xiii)</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other measures or standards determined by the Committee. Multiple performance targets may be used and the components of multiple performance targets may be given the same or different weighting in determining the amount of an Award earned, and may relate to absolute performance or relative performance measured against other groups, units, individual or entities. Achievement of the maximum performance target shall entitle the Holder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payment (subject to Sections 9.05, 9.06 and 9.07) at the full or maximum amount specified with respect to the Award; provided, however, that notwithstanding any other provisions of this Plan, in the case of an Award of Performance Shares the Committee in its discretion may establish an upper limit on the amount payable (whether in cash or Stock) as a result of the achievement of the maximum performance target. The Committee may also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establish that a portion of a full or maximum amount of a Holder's Award will be paid (subject to Section 9.05, 9.06 and 9.07) for performance which exceeds the minimum performance target but falls below the maximum performance target applicable to such Award.</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9.05 Adjustments. Except to the extent any Performance Share or Performance Unit Award is subject to Section 17, in which case any adjustment is subject to the limitations of Section 17.03, at any time prior to payment of a Performance Share or Performance Unit Award, the Committee may adjust previously established performance targets or other terms and conditions to reflect events such as changes in law, regulations, or accounting practice, changes in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position within the Company, or mergers, acquisitions or divestitures.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9.06 Payment of Awards. Following the conclusion of each Performance Period, the Committee shall determine the extent to which performance targets</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have been attained, and the satisfaction of any other terms and conditions with respect to an Award relating to such Performance Period. The Committee shall determine what, if any, payment is due with respect to an Award and whether such payment shall be made in cash, Stock or some combination thereof,</w:t>
      </w:r>
    </w:p>
    <w:p>
      <w:pPr>
        <w:sectPr>
          <w:pgSz w:w="11900" w:h="16838" w:orient="portrait"/>
          <w:cols w:equalWidth="0" w:num="1">
            <w:col w:w="11240"/>
          </w:cols>
          <w:pgMar w:left="320" w:top="121" w:right="339" w:bottom="0" w:gutter="0" w:footer="0" w:header="0"/>
        </w:sectPr>
      </w:pPr>
    </w:p>
    <w:bookmarkStart w:id="48" w:name="page49"/>
    <w:bookmarkEnd w:id="48"/>
    <w:p>
      <w:pPr>
        <w:spacing w:after="0" w:line="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determined by the Committee. Payment shall be made in a lump sum, during the calendar year that first follows the end of the calendar year in which the applicable Performance Period ends.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9.07 Termination of Employment. If a Participant ceases to be a Service Provider for any reason other than having been terminated for Cause after the end of a Performance Period yet before receiving payment as provided for in Section 9.06, the Holder (or the Holder's Beneficiaries) shall be entitled to receive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full amount payable as soon as practicable after such amount has been determined by the Committee. Unless otherwise determined by the Committee, if a Holder ceases to be a Service Provider before the end of a Performance Period by reason of his or her death or Disability, the Performance Period for such Holder for the purpose of determining the amount of the Award payable shall end at the end of the calendar quarter immediately preceding the date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such Holder ceased to be a Service Provider. The amount of an Award payable to a Holder to whom the preceding sentence is applicable shall be paid in a lump sum, during the calendar year that first follows the end of the calendar year in which the applicable Performance Period would have ended but for the Holder's cessation as a Service Provider and shall be that fraction of the Award computed pursuant to the preceding sentence the numerator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is the number of calendar quarters during the Performance Period during all of which said Holder was a Service Provider and the denominator of which is the number of full calendar quarters in the Performance Period. In the event a Holder is terminated as a Service Provider for Cause, either before the end of the Performance Period or after the end of the Performance Period but prior to the amount of the Award having been paid, the Holder's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participation in the Plan shall cease, all outstanding Awards of Performance Shares or Performance Units to such Participant and any right to receive the payment for any Awards (whether or not any Performance Period has been completed) shall be canceled.</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9.08 Stockholder Privileges. No Holder shall have any rights as a stockholder with respect to any Shares payable upon vesting of Performance Shares or Performance Units until the Holder becomes the holder of record of such Stock, and no adjustments shall be made for dividends or other distributions or other rights as to which there is a record date preceding the date such Holder becomes the holder of record of such Stock, except as provided in Section 4.</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X.</w:t>
      </w:r>
      <w:r>
        <w:rPr>
          <w:sz w:val="20"/>
          <w:szCs w:val="20"/>
          <w:color w:val="auto"/>
        </w:rPr>
        <w:tab/>
      </w:r>
      <w:r>
        <w:rPr>
          <w:rFonts w:ascii="Times New Roman" w:cs="Times New Roman" w:eastAsia="Times New Roman" w:hAnsi="Times New Roman"/>
          <w:sz w:val="17"/>
          <w:szCs w:val="17"/>
          <w:b w:val="1"/>
          <w:bCs w:val="1"/>
          <w:color w:val="auto"/>
        </w:rPr>
        <w:t>BONUS SHARES</w:t>
      </w:r>
    </w:p>
    <w:p>
      <w:pPr>
        <w:spacing w:after="0" w:line="12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10.01 Awards Granted by the Committee. Subject to the terms of the Plan, the Committee may grant Bonus Shares to any Participant in such amount and upon such terms and at any time and from time to time as shall be determined by the Committee. The Committee may grant such Bonus Shares in connection with or pursuant to another Company-sponsored compensation plan or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10.02 Stockholder Privileges. No Holder shall have any rights as a stockholder with respect to any Bonus Shares until the Holder becomes the holder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record of such Stock, and no adjustments shall be made for dividends or other distributions or other rights as to which there is a record date preceding the date such Holder becomes the holder of record of such Stock, except as provided in Section 4.</w:t>
      </w:r>
    </w:p>
    <w:p>
      <w:pPr>
        <w:spacing w:after="0" w:line="9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7"/>
          <w:szCs w:val="17"/>
          <w:b w:val="1"/>
          <w:bCs w:val="1"/>
          <w:color w:val="auto"/>
        </w:rPr>
        <w:t>REORGANIZATION, CHANGE IN CONTROL OR LIQUIDATION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11.01 Except as otherwise provided in an Award Agreement or other agreement approved by the Committee to which any Participant is a party, in the event that within the period commencing on a Change in Control and ending on the first anniversary of the Change in Control, a Participant resigns for Good Reason or the Company terminates the Participant's employment other than for cause, each Option, share of Restricted Stock and/or other Award shall without regard to any vesting schedule, restriction or performance target, automatically become fully exercisable, fully vested or fully payable, as the case may be, as of the date of such termination of employment; provided, however, to the extent required by Code section 409A, if the Participant was a "specified employee" as defined under Code section 409A as of the time of such Participant's separation from service, no share of Restricted Stock or other Award shall become payable until six months and one day from the effective date of such Participant's separation from service.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11.02 In addition to the foregoing, in the event the Company undergoes a Change in Control or in the event of a corporate merger, consolidation, major acquisition of property (or stock), separation, reorganization or liquidation in which the Company is a party and in which a Change in Control does not occur, the Committee, or the board of directors of any corporation assuming the obligations of the Company, shall have the full power and discretion to take any one or more of the following actions:</w:t>
      </w:r>
    </w:p>
    <w:p>
      <w:pPr>
        <w:spacing w:after="0" w:line="112" w:lineRule="exact"/>
        <w:rPr>
          <w:sz w:val="20"/>
          <w:szCs w:val="20"/>
          <w:color w:val="auto"/>
        </w:rPr>
      </w:pPr>
    </w:p>
    <w:p>
      <w:pPr>
        <w:ind w:right="20" w:firstLine="8"/>
        <w:spacing w:after="0" w:line="282" w:lineRule="auto"/>
        <w:tabs>
          <w:tab w:leader="none" w:pos="2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reducing the economic value of outstanding Awards, prescribe and amend the terms and conditions for the exercise of, or settlement of, outstanding Awards granted hereunder;</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restrictions on Restricted Stock, Restricted Stock Units or, as applicable, Performance Awards;</w:t>
      </w:r>
    </w:p>
    <w:p>
      <w:pPr>
        <w:spacing w:after="0" w:line="117"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Options or SARs granted hereunder must be exercised in connection with the closing of such transactions, and that if not so exercised, such Options or SARs will expire; or</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Award then outstanding to be assumed, or new rights of equivalent economic value substituted therefore, by the acquiring or surviving corporation.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such determinations by the Committee may be made generally with respect to all Participants or may be made on a case-by-case basis with respect to particular Participants. Notwithstanding the foregoing, in the event of any transaction undertaken for the purpose of reincorporating the Company under the laws of another jurisdiction, where such transaction does not materially affect the beneficial ownership of the Company's Shares, such transaction shall not constitute a merger, consolidation, major acquisition of property for stock, separation, reorganization, liquidation, or Change in Control for purposes of this Section 11</w:t>
      </w:r>
    </w:p>
    <w:p>
      <w:pPr>
        <w:spacing w:after="0" w:line="9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7"/>
          <w:szCs w:val="17"/>
          <w:b w:val="1"/>
          <w:bCs w:val="1"/>
          <w:color w:val="auto"/>
        </w:rPr>
        <w:t>RIGHTS OF EMPLOYEES; PARTICIPANTS</w:t>
      </w:r>
    </w:p>
    <w:p>
      <w:pPr>
        <w:spacing w:after="0" w:line="14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12.01 Employment. Nothing contained in the Plan or in any Award granted under the Plan shall confer upon any Participant any right with respect to the continuation of his or her services as a Service Provider or interfere in any way with the right of the Company, subject to the terms of any separate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employment or consulting agreement to the contrary, at any time to terminate such services or to increase or decrease the compensation of the Participant from the rate in existence at the time of the grant of an Award. Whether an authorized leave of absence, or absence in military or government service, shall constitute a termination of Participant's services as a Service Provider shall be determined by the Committee at the time.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12.02 Nontransferability. Except as provided in Section 12.03, no right or interest of any Holder in an Award granted pursuant to the Plan shall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assignable or transferable during the lifetime of the Participant, either voluntarily or involuntarily, or be subjected to any lien, directly or indirectly, by operation of law, or otherwise, including execution, levy, garnishment, attachment, pledge or bankruptcy. In the event of a Participant's death, a Holder's rights and interests in all Awards shall, to the extent not otherwise prohibited hereunder, be transferable by testamentary will or the laws of descent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distribution, and payment of any amounts due under the Plan shall be made to, and exercise of any Options or SARs may be made by, the Holder's legal representatives, heirs or legatees. If, in the opinion of the Committee, a person entitled to payments or to exercise rights with respect to the Plan is disabled from caring for his or her affairs because of a mental condition, physical condition or age, payment due such person may be made to, and such rights shall</w:t>
      </w:r>
    </w:p>
    <w:p>
      <w:pPr>
        <w:spacing w:after="0" w:line="2" w:lineRule="exact"/>
        <w:rPr>
          <w:sz w:val="20"/>
          <w:szCs w:val="20"/>
          <w:color w:val="auto"/>
        </w:rPr>
      </w:pPr>
    </w:p>
    <w:p>
      <w:pPr>
        <w:jc w:val="center"/>
        <w:ind w:right="500"/>
        <w:spacing w:after="0" w:line="399" w:lineRule="auto"/>
        <w:rPr>
          <w:sz w:val="20"/>
          <w:szCs w:val="20"/>
          <w:color w:val="auto"/>
        </w:rPr>
      </w:pPr>
      <w:r>
        <w:rPr>
          <w:rFonts w:ascii="Times New Roman" w:cs="Times New Roman" w:eastAsia="Times New Roman" w:hAnsi="Times New Roman"/>
          <w:sz w:val="18"/>
          <w:szCs w:val="18"/>
          <w:color w:val="auto"/>
        </w:rPr>
        <w:t>be exercised by, such person's guardian, conservator, or other legal personal representative upon furnishing the Committee with evidence satisfactory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Committee of such status. "Transfers" shall not be deemed to include transfers to the Company or "cashless exercise" procedures with third parties who provide financing for the purpose of (or who otherwise facilitate) the exercise of Awards consistent with applicable laws and the authorization of the Committee.</w:t>
      </w:r>
    </w:p>
    <w:p>
      <w:pPr>
        <w:sectPr>
          <w:pgSz w:w="11900" w:h="16899" w:orient="portrait"/>
          <w:cols w:equalWidth="0" w:num="1">
            <w:col w:w="11240"/>
          </w:cols>
          <w:pgMar w:left="320" w:top="108" w:right="339" w:bottom="0" w:gutter="0" w:footer="0" w:header="0"/>
        </w:sectPr>
      </w:pPr>
    </w:p>
    <w:bookmarkStart w:id="49" w:name="page50"/>
    <w:bookmarkEnd w:id="49"/>
    <w:p>
      <w:pPr>
        <w:spacing w:after="0" w:line="5"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12.03 Permitted Transfers. Pursuant to conditions and procedures established by the Committee from time to time, the Committee may permit Awards to be transferred without consideration other than nominal consideration, exercised by and paid to certain persons or entities related to a Participant, including</w:t>
      </w:r>
    </w:p>
    <w:p>
      <w:pPr>
        <w:jc w:val="both"/>
        <w:spacing w:after="0" w:line="208" w:lineRule="auto"/>
        <w:rPr>
          <w:sz w:val="20"/>
          <w:szCs w:val="20"/>
          <w:color w:val="auto"/>
        </w:rPr>
      </w:pPr>
      <w:r>
        <w:rPr>
          <w:rFonts w:ascii="Times New Roman" w:cs="Times New Roman" w:eastAsia="Times New Roman" w:hAnsi="Times New Roman"/>
          <w:sz w:val="18"/>
          <w:szCs w:val="18"/>
          <w:color w:val="auto"/>
        </w:rPr>
        <w:t>but not limited to members of the Participant's immediate family, charitable institutions, or trusts or other entities whose beneficiaries or beneficial owners are members of the Participant's immediate family and/or charitable institutions (a "Permitted Transferee"). In the case of initial Awards, at the request of the Participant, the Committee may permit the naming of the related person or entity as the Award recipient. Any permitted transfer shall be subject to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condition that the Committee receive evidence satisfactory to it that the transfer is being made for estate and/or tax planning purposes on a gratuitous or donative basis and without consideration (other than nominal consideration). Notwithstanding the foregoing, Incentive Stock Options shall only be transferable to the extent permitted in Code section 422, or such successor provision thereto, and the treasury regulations thereunder.</w:t>
      </w:r>
    </w:p>
    <w:p>
      <w:pPr>
        <w:spacing w:after="0" w:line="1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XIII.</w:t>
      </w:r>
      <w:r>
        <w:rPr>
          <w:sz w:val="20"/>
          <w:szCs w:val="20"/>
          <w:color w:val="auto"/>
        </w:rPr>
        <w:tab/>
      </w:r>
      <w:r>
        <w:rPr>
          <w:rFonts w:ascii="Times New Roman" w:cs="Times New Roman" w:eastAsia="Times New Roman" w:hAnsi="Times New Roman"/>
          <w:sz w:val="17"/>
          <w:szCs w:val="17"/>
          <w:b w:val="1"/>
          <w:bCs w:val="1"/>
          <w:color w:val="auto"/>
        </w:rPr>
        <w:t>GENERAL RESTRICTIONS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13.01 Investment Representations. The Company may require any person to whom an Option or other Award is granted, as a condition of exercising such Option or receiving Stock under the Award, to give written assurances in substance and form satisfactory to the Company and its counsel to the effect that such person is acquiring the Stock subject to the Option or the Award for his own account for investment and not with any present intention of selling 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otherwise distributing the same, and to such other effects as the Company deems necessary or appropriate in order to comply with federal and applicable state securities laws. Legends evidencing such restrictions may be placed on the certificates evidencing the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13.02 Compliance with Securities Laws.</w:t>
      </w:r>
    </w:p>
    <w:p>
      <w:pPr>
        <w:spacing w:after="0" w:line="144" w:lineRule="exact"/>
        <w:rPr>
          <w:sz w:val="20"/>
          <w:szCs w:val="20"/>
          <w:color w:val="auto"/>
        </w:rPr>
      </w:pPr>
    </w:p>
    <w:p>
      <w:pPr>
        <w:jc w:val="both"/>
        <w:ind w:firstLine="8"/>
        <w:spacing w:after="0" w:line="223" w:lineRule="auto"/>
        <w:tabs>
          <w:tab w:leader="none" w:pos="2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shall be subject to the requirement that, if at any time counsel to the Company shall determine that the listing, registration or qualification of the Shares subject to such Award upon any securities exchange or under any state or federal law, or the consent or approval of any governmental or regulatory body, is necessary as a condition of, or in connection with, the issuance or purchase of Shares thereunder, such Award may not be accepted or exercised in whole or in part unless such listing, registration, qualification, consent or approval shall have been effected or obtained on conditions acceptable to the Committee. Nothing herein shall be deemed to require the Company to apply for or to obtain such listing, registration or qualification.</w:t>
      </w:r>
    </w:p>
    <w:p>
      <w:pPr>
        <w:spacing w:after="0" w:line="118" w:lineRule="exact"/>
        <w:rPr>
          <w:rFonts w:ascii="Times New Roman" w:cs="Times New Roman" w:eastAsia="Times New Roman" w:hAnsi="Times New Roman"/>
          <w:sz w:val="18"/>
          <w:szCs w:val="18"/>
          <w:color w:val="auto"/>
        </w:rPr>
      </w:pPr>
    </w:p>
    <w:p>
      <w:pPr>
        <w:jc w:val="both"/>
        <w:ind w:firstLine="8"/>
        <w:spacing w:after="0" w:line="231" w:lineRule="auto"/>
        <w:tabs>
          <w:tab w:leader="none" w:pos="2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who is a director or an Executive Officer is restricted from taking any action with respect to any Award if such action would result in a violation of (i) Section 306 of the Sarbanes-Oxley Act of 2002, and the regulations promulgated thereunder, whether or not such law and regulations are applicable to the Company, or (ii) any policies adopted by the Company restricting transactions in the Stock.</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13.03 Stock Restriction Agreement. The Committee may provide that Shares issuable upon the exercise of an Option shall, under certain conditions, be subject to restrictions whereby the Company has (i) a right of first refusal with respect to such shares, (ii) specific rights or limitations with respect to the Participant's ability to vote such shares, or (iii) a right or obligation to repurchase all or a portion of such shares, which restrictions may survive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cessation or termination as a Service Provider.</w:t>
      </w:r>
    </w:p>
    <w:p>
      <w:pPr>
        <w:spacing w:after="0" w:line="1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XIV.</w:t>
      </w:r>
      <w:r>
        <w:rPr>
          <w:sz w:val="20"/>
          <w:szCs w:val="20"/>
          <w:color w:val="auto"/>
        </w:rPr>
        <w:tab/>
      </w:r>
      <w:r>
        <w:rPr>
          <w:rFonts w:ascii="Times New Roman" w:cs="Times New Roman" w:eastAsia="Times New Roman" w:hAnsi="Times New Roman"/>
          <w:sz w:val="17"/>
          <w:szCs w:val="17"/>
          <w:b w:val="1"/>
          <w:bCs w:val="1"/>
          <w:color w:val="auto"/>
        </w:rPr>
        <w:t>OTHER EMPLOYEE BENEFITS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amount of any compensation deemed to be received by a Participant as a result of the exercise of an Option or the grant, payment or vesting of any other Award shall not constitute "earnings" with respect to which any other benefits of such Participant are determined, including without limitation benefits under (a) any pension, profit sharing, life insurance or salary continuation plan or other employee benefit plan of the Company or (b)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between the Company and the Participant, except as such plan or agreement shall otherwise expressly provide.</w:t>
      </w:r>
    </w:p>
    <w:p>
      <w:pPr>
        <w:spacing w:after="0" w:line="1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XV.</w:t>
      </w:r>
      <w:r>
        <w:rPr>
          <w:sz w:val="20"/>
          <w:szCs w:val="20"/>
          <w:color w:val="auto"/>
        </w:rPr>
        <w:tab/>
      </w:r>
      <w:r>
        <w:rPr>
          <w:rFonts w:ascii="Times New Roman" w:cs="Times New Roman" w:eastAsia="Times New Roman" w:hAnsi="Times New Roman"/>
          <w:sz w:val="17"/>
          <w:szCs w:val="17"/>
          <w:b w:val="1"/>
          <w:bCs w:val="1"/>
          <w:color w:val="auto"/>
        </w:rPr>
        <w:t>PLAN AMENDMENT, MODIFICATION AND TERMINATION</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15.01 Amendment, Modification, and Termination. The Board may at any time terminate, and from time to time may amend or modify, the Plan; provided, however, that no amendment or modification may become effective without approval of the amendment or modification by the stockholders if stockholder approval is required to enable the Plan to satisfy any applicable statutory or regulatory requirements, to comply with the requirements for listing on any exchange where the Shares are listed, or if the Company, on the advice of counsel, determines that stockholder approval is otherwise necessary or desirable.</w:t>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15.02 Adjustment Upon Certain Unusual or Nonrecurring Events. The Board may make adjustments in the terms and conditions of Awards in recognition of unusual or nonrecurring events (including the events described in Section 4.03) affecting the Company or the financial statements of the Company or of changes in applicable laws, regulations, or accounting principles, whenever the Board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determines that such adjustments are appropriate in order to prevent dilution or enlargement of the benefits or potential benefits intended to be made available under the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15.03 Awards Previously Granted. Notwithstanding any other provision of the Plan to the contrary (but subject to Section 2.01(j) and Section 15.02), no termination, amendment or modification of the Plan shall adversely affect in any material way any Award previously granted under the Plan, without the written or electronic consent of the Holder of such Award.</w:t>
      </w:r>
    </w:p>
    <w:p>
      <w:pPr>
        <w:spacing w:after="0" w:line="13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XVI.</w:t>
      </w:r>
      <w:r>
        <w:rPr>
          <w:sz w:val="20"/>
          <w:szCs w:val="20"/>
          <w:color w:val="auto"/>
        </w:rPr>
        <w:tab/>
      </w:r>
      <w:r>
        <w:rPr>
          <w:rFonts w:ascii="Times New Roman" w:cs="Times New Roman" w:eastAsia="Times New Roman" w:hAnsi="Times New Roman"/>
          <w:sz w:val="17"/>
          <w:szCs w:val="17"/>
          <w:b w:val="1"/>
          <w:bCs w:val="1"/>
          <w:color w:val="auto"/>
        </w:rPr>
        <w:t>WITHHOLDING</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16.01 Withholding Requirement. The Company's obligations to deliver Shares upon the exercise of an Option, or upon the vesting of any other Award, shall be subject to the Holder's satisfaction of all applicable federal, state and local income and other tax withholding requirements.</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16.02 Withholding with Stock. For Eligible Employees, the Company may permit the Holder to pay all minimum required amounts of tax withholding, or any part thereof, by electing to transfer to the Company, or to have the Company withhold from Shares otherwise issuable to the Holder, Shares having a value not to exceed the minimum amount required to be withheld under federal, state or local law or such lesser amount as may be elected by the Holder.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non-employees, including non-employee directors, the Company may also permit the Holder to transfer to the Company or have the Company withhold from Shares otherwise issuable to the Holder, an amount of Shares determined by the Holder necessary to cover applicable federal, state or local income or self-employment taxes relating to the exercise, vesting or payment of the Award. All elections shall be subject to the approval or disapproval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Committee or its delegate. The value of Shares to be withheld shall be based on the Fair Market Value of the Stock on the date that the amount of tax to be withheld is to be determined (the "Tax Date"), as determined by the Committee. Any such elections by Holder to have Shares withheld for this purpose will be subject to the following restrictions:</w:t>
      </w:r>
    </w:p>
    <w:p>
      <w:pPr>
        <w:spacing w:after="0" w:line="131" w:lineRule="exact"/>
        <w:rPr>
          <w:sz w:val="20"/>
          <w:szCs w:val="20"/>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elections must be made prior to the Tax Date;</w:t>
      </w:r>
    </w:p>
    <w:p>
      <w:pPr>
        <w:spacing w:after="0" w:line="15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elections shall be irrevocable; and</w:t>
      </w:r>
    </w:p>
    <w:p>
      <w:pPr>
        <w:spacing w:after="0" w:line="144" w:lineRule="exact"/>
        <w:rPr>
          <w:rFonts w:ascii="Times New Roman" w:cs="Times New Roman" w:eastAsia="Times New Roman" w:hAnsi="Times New Roman"/>
          <w:sz w:val="18"/>
          <w:szCs w:val="18"/>
          <w:color w:val="auto"/>
        </w:rPr>
      </w:pPr>
    </w:p>
    <w:p>
      <w:pPr>
        <w:ind w:firstLine="8"/>
        <w:spacing w:after="0" w:line="250" w:lineRule="auto"/>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an officer or director of the Company within the meaning of Section 16 of the 1934 Act ("Section 16"), the Holder must satisfy the requirements of such Section 16 and any applicable rules thereunder with respect to the use of Stock to satisfy such tax withholding obligation.</w:t>
      </w:r>
    </w:p>
    <w:p>
      <w:pPr>
        <w:spacing w:after="0" w:line="1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XVII.</w:t>
      </w:r>
      <w:r>
        <w:rPr>
          <w:sz w:val="20"/>
          <w:szCs w:val="20"/>
          <w:color w:val="auto"/>
        </w:rPr>
        <w:tab/>
      </w:r>
      <w:r>
        <w:rPr>
          <w:rFonts w:ascii="Times New Roman" w:cs="Times New Roman" w:eastAsia="Times New Roman" w:hAnsi="Times New Roman"/>
          <w:sz w:val="17"/>
          <w:szCs w:val="17"/>
          <w:b w:val="1"/>
          <w:bCs w:val="1"/>
          <w:color w:val="auto"/>
        </w:rPr>
        <w:t>SECTION 162(m) PROVISIONS</w:t>
      </w:r>
    </w:p>
    <w:p>
      <w:pPr>
        <w:spacing w:after="0" w:line="16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17.01 Section 162(m) of the Internal Revenue Code ("Section 162(m)") generally provides that publicly held companies may not deduct compensation paid to certain of their top executive officers to the extent such compensation exceeds $1 million per office in any year. The exemption from the deduction limit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162(m) for "performance-based compensation" has been repealed, effective for taxable years beginning after December 31, 2017, such that</w:t>
      </w:r>
    </w:p>
    <w:p>
      <w:pPr>
        <w:sectPr>
          <w:pgSz w:w="11900" w:h="16843" w:orient="portrait"/>
          <w:cols w:equalWidth="0" w:num="1">
            <w:col w:w="11240"/>
          </w:cols>
          <w:pgMar w:left="320" w:top="108" w:right="339" w:bottom="0" w:gutter="0" w:footer="0" w:header="0"/>
        </w:sectPr>
      </w:pPr>
    </w:p>
    <w:bookmarkStart w:id="50" w:name="page51"/>
    <w:bookmarkEnd w:id="50"/>
    <w:p>
      <w:pPr>
        <w:jc w:val="both"/>
        <w:spacing w:after="0" w:line="237" w:lineRule="auto"/>
        <w:rPr>
          <w:sz w:val="20"/>
          <w:szCs w:val="20"/>
          <w:color w:val="auto"/>
        </w:rPr>
      </w:pPr>
      <w:r>
        <w:rPr>
          <w:rFonts w:ascii="Times New Roman" w:cs="Times New Roman" w:eastAsia="Times New Roman" w:hAnsi="Times New Roman"/>
          <w:sz w:val="18"/>
          <w:szCs w:val="18"/>
          <w:color w:val="auto"/>
        </w:rPr>
        <w:t>compensation paid to our "covered employees" in excess of $1 million will not be deductible unless it qualifies for transition relief applicable to certain arrangements in place as of November 2, 2017.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17.02 Adjustments. Notwithstanding any provision of the Plan other than Section 4.03 or Section 11, with respect to any Award that is subject to Section</w:t>
      </w:r>
    </w:p>
    <w:p>
      <w:pPr>
        <w:spacing w:after="0"/>
        <w:rPr>
          <w:sz w:val="20"/>
          <w:szCs w:val="20"/>
          <w:color w:val="auto"/>
        </w:rPr>
      </w:pPr>
      <w:r>
        <w:rPr>
          <w:rFonts w:ascii="Times New Roman" w:cs="Times New Roman" w:eastAsia="Times New Roman" w:hAnsi="Times New Roman"/>
          <w:sz w:val="18"/>
          <w:szCs w:val="18"/>
          <w:color w:val="auto"/>
        </w:rPr>
        <w:t>17, the Committee may not adjust upwards the amount payable pursuant to such Award.</w:t>
      </w:r>
    </w:p>
    <w:p>
      <w:pPr>
        <w:spacing w:after="0" w:line="13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XVIII.</w:t>
      </w:r>
      <w:r>
        <w:rPr>
          <w:sz w:val="20"/>
          <w:szCs w:val="20"/>
          <w:color w:val="auto"/>
        </w:rPr>
        <w:tab/>
      </w:r>
      <w:r>
        <w:rPr>
          <w:rFonts w:ascii="Times New Roman" w:cs="Times New Roman" w:eastAsia="Times New Roman" w:hAnsi="Times New Roman"/>
          <w:sz w:val="17"/>
          <w:szCs w:val="17"/>
          <w:b w:val="1"/>
          <w:bCs w:val="1"/>
          <w:color w:val="auto"/>
        </w:rPr>
        <w:t>NONEXCLUSIVITY OF THE PLAN</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18.01 Neither the adoption of the Plan by the Board nor the submission of the Plan to stockholders of the Company for approval shall be construed as creating any limitations on the power or authority of the Board to continue to maintain or adopt such other or additional incentive or other compensation arrangements of whatever nature as the Board may deem necessary or desirable or preclude or limit the continuation of any other plan, practice 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arrangement for the payment of compensation or fringe benefits to employees, or non-employee directors generally, or to any class or group of employees, or non-employee directors, which the Company now has lawfully put into effect, including, without limitation, any retirement, pension, savings and stock purchase plan, insurance, death and disability benefits and executive short-term incentive plans.</w:t>
      </w:r>
    </w:p>
    <w:p>
      <w:pPr>
        <w:spacing w:after="0" w:line="1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XIX.</w:t>
      </w:r>
      <w:r>
        <w:rPr>
          <w:sz w:val="20"/>
          <w:szCs w:val="20"/>
          <w:color w:val="auto"/>
        </w:rPr>
        <w:tab/>
      </w:r>
      <w:r>
        <w:rPr>
          <w:rFonts w:ascii="Times New Roman" w:cs="Times New Roman" w:eastAsia="Times New Roman" w:hAnsi="Times New Roman"/>
          <w:sz w:val="17"/>
          <w:szCs w:val="17"/>
          <w:b w:val="1"/>
          <w:bCs w:val="1"/>
          <w:color w:val="auto"/>
        </w:rPr>
        <w:t>REQUIREMENTS OF LAW</w:t>
      </w:r>
    </w:p>
    <w:p>
      <w:pPr>
        <w:spacing w:after="0" w:line="16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19.01 Requirements of Law. The issuance of Stock and the payment of cash pursuant to the Plan shall be subject to all applicable laws, rules and regulations, and to such approvals by any governmental agencies or stock exchanges as may be required. Notwithstanding any provision of the Plan or any Award, Holders shall not be entitled to exercise, or receive benefits under any Award, and the Company shall not be obligated to deliver any Shares or other</w:t>
      </w:r>
    </w:p>
    <w:p>
      <w:pPr>
        <w:ind w:left="5540" w:right="880" w:hanging="5525"/>
        <w:spacing w:after="0" w:line="337" w:lineRule="auto"/>
        <w:rPr>
          <w:sz w:val="20"/>
          <w:szCs w:val="20"/>
          <w:color w:val="auto"/>
        </w:rPr>
      </w:pPr>
      <w:r>
        <w:rPr>
          <w:rFonts w:ascii="Times New Roman" w:cs="Times New Roman" w:eastAsia="Times New Roman" w:hAnsi="Times New Roman"/>
          <w:sz w:val="18"/>
          <w:szCs w:val="18"/>
          <w:color w:val="auto"/>
        </w:rPr>
        <w:t>benefits to a Holder, if such exercise or delivery would constitute a violation by the Holder or the Company of any applicable law or regulation.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3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19.02 Code Section 409A. This Plan is intended to meet or to be exempt from the requirements of Code section 409A, and shall be administered, construed and interpreted in a manner that is in accordance with and in furtherance of such intent. Any provision of this Plan that would cause an Award to fail to satisfy Code section 409A or, if applicable, an exemption from the requirements of that Section, shall be amended (in a manner that as closely as practicable achieves the original intent of this Plan) to comply with Code section 409A or any such exemption on a timely basis, which may be made on a retroactive basis, in accordance with regulations and other guidance issued under Code section 409A.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19.03 Rule 16b-3. Transactions under the Plan and to the extent applicable, within the scope of Rule 16b-3 are intended to comply with all applicable conditions of Rule 16b-3. To the extent any provision of the Plan or any action by the Committee under the Plan fails to so comply, such provision or action shall, without further action by any person, be deemed to be automatically amended to the extent necessary to effect compliance with Rule 16b-3; provided, however, that if such provision or action cannot be amended to effect such compliance, such provision or action shall be deemed null and void to the extent permitted by law and deemed advisable by the Committee.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19.04 Governing Law. The Plan and all agreements hereunder shall be construed in accordance with and governed by the laws of the State of Delaware without giving effect to the principles of the conflict of laws to the contrary.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808355</wp:posOffset>
            </wp:positionH>
            <wp:positionV relativeFrom="page">
              <wp:posOffset>88900</wp:posOffset>
            </wp:positionV>
            <wp:extent cx="5932170" cy="77495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5932170" cy="774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w:t>
      </w:r>
    </w:p>
    <w:p>
      <w:pPr>
        <w:spacing w:after="0" w:line="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713740</wp:posOffset>
            </wp:positionH>
            <wp:positionV relativeFrom="page">
              <wp:posOffset>88900</wp:posOffset>
            </wp:positionV>
            <wp:extent cx="6120765" cy="44405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120765"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w:t>
      </w:r>
    </w:p>
    <w:p>
      <w:pPr>
        <w:spacing w:after="0" w:line="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3"/>
      <w:numFmt w:val="bullet"/>
      <w:start w:val="1"/>
    </w:lvl>
  </w:abstractNum>
  <w:abstractNum w:abstractNumId="4">
    <w:nsid w:val="5C482A97"/>
    <w:multiLevelType w:val="hybridMultilevel"/>
    <w:lvl w:ilvl="0">
      <w:lvlJc w:val="left"/>
      <w:lvlText w:val="☐"/>
      <w:numFmt w:val="bullet"/>
      <w:start w:val="1"/>
    </w:lvl>
    <w:lvl w:ilvl="1">
      <w:lvlJc w:val="left"/>
      <w:lvlText w:val="4"/>
      <w:numFmt w:val="bullet"/>
      <w:start w:val="1"/>
    </w:lvl>
  </w:abstractNum>
  <w:abstractNum w:abstractNumId="5">
    <w:nsid w:val="2463B9EA"/>
    <w:multiLevelType w:val="hybridMultilevel"/>
    <w:lvl w:ilvl="0">
      <w:lvlJc w:val="left"/>
      <w:lvlText w:val="2"/>
      <w:numFmt w:val="bullet"/>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3"/>
    </w:lvl>
  </w:abstractNum>
  <w:abstractNum w:abstractNumId="8">
    <w:nsid w:val="2D517796"/>
    <w:multiLevelType w:val="hybridMultilevel"/>
    <w:lvl w:ilvl="0">
      <w:lvlJc w:val="left"/>
      <w:lvlText w:val=" "/>
      <w:numFmt w:val="bullet"/>
      <w:start w:val="1"/>
    </w:lvl>
  </w:abstractNum>
  <w:abstractNum w:abstractNumId="9">
    <w:nsid w:val="580BD78F"/>
    <w:multiLevelType w:val="hybridMultilevel"/>
    <w:lvl w:ilvl="0">
      <w:lvlJc w:val="left"/>
      <w:lvlText w:val=" "/>
      <w:numFmt w:val="bullet"/>
      <w:start w:val="1"/>
    </w:lvl>
  </w:abstractNum>
  <w:abstractNum w:abstractNumId="10">
    <w:nsid w:val="153EA438"/>
    <w:multiLevelType w:val="hybridMultilevel"/>
    <w:lvl w:ilvl="0">
      <w:lvlJc w:val="left"/>
      <w:lvlText w:val="(%1)"/>
      <w:numFmt w:val="decimal"/>
    </w:lvl>
    <w:lvl w:ilvl="1">
      <w:lvlJc w:val="left"/>
      <w:lvlText w:val="*"/>
      <w:numFmt w:val="bullet"/>
      <w:start w:val="1"/>
    </w:lvl>
  </w:abstractNum>
  <w:abstractNum w:abstractNumId="11">
    <w:nsid w:val="3855585C"/>
    <w:multiLevelType w:val="hybridMultilevel"/>
    <w:lvl w:ilvl="0">
      <w:lvlJc w:val="left"/>
      <w:lvlText w:val="(%1)"/>
      <w:numFmt w:val="decimal"/>
      <w:start w:val="5"/>
    </w:lvl>
  </w:abstractNum>
  <w:abstractNum w:abstractNumId="12">
    <w:nsid w:val="70A64E2A"/>
    <w:multiLevelType w:val="hybridMultilevel"/>
    <w:lvl w:ilvl="0">
      <w:lvlJc w:val="left"/>
      <w:lvlText w:val="(%1)"/>
      <w:numFmt w:val="lowerRoman"/>
      <w:start w:val="1"/>
    </w:lvl>
  </w:abstractNum>
  <w:abstractNum w:abstractNumId="13">
    <w:nsid w:val="6A2342EC"/>
    <w:multiLevelType w:val="hybridMultilevel"/>
    <w:lvl w:ilvl="0">
      <w:lvlJc w:val="left"/>
      <w:lvlText w:val="(%1)"/>
      <w:numFmt w:val="lowerRoman"/>
      <w:start w:val="2"/>
    </w:lvl>
  </w:abstractNum>
  <w:abstractNum w:abstractNumId="14">
    <w:nsid w:val="2A487CB0"/>
    <w:multiLevelType w:val="hybridMultilevel"/>
    <w:lvl w:ilvl="0">
      <w:lvlJc w:val="left"/>
      <w:lvlText w:val=" "/>
      <w:numFmt w:val="bullet"/>
      <w:start w:val="1"/>
    </w:lvl>
  </w:abstractNum>
  <w:abstractNum w:abstractNumId="15">
    <w:nsid w:val="1D4ED43B"/>
    <w:multiLevelType w:val="hybridMultilevel"/>
    <w:lvl w:ilvl="0">
      <w:lvlJc w:val="left"/>
      <w:lvlText w:val=" "/>
      <w:numFmt w:val="bullet"/>
      <w:start w:val="1"/>
    </w:lvl>
  </w:abstractNum>
  <w:abstractNum w:abstractNumId="16">
    <w:nsid w:val="725A06FB"/>
    <w:multiLevelType w:val="hybridMultilevel"/>
    <w:lvl w:ilvl="0">
      <w:lvlJc w:val="left"/>
      <w:lvlText w:val=" "/>
      <w:numFmt w:val="bullet"/>
      <w:start w:val="1"/>
    </w:lvl>
  </w:abstractNum>
  <w:abstractNum w:abstractNumId="17">
    <w:nsid w:val="2CD89A32"/>
    <w:multiLevelType w:val="hybridMultilevel"/>
    <w:lvl w:ilvl="0">
      <w:lvlJc w:val="left"/>
      <w:lvlText w:val=" "/>
      <w:numFmt w:val="bullet"/>
      <w:start w:val="1"/>
    </w:lvl>
  </w:abstractNum>
  <w:abstractNum w:abstractNumId="18">
    <w:nsid w:val="57E4CCAF"/>
    <w:multiLevelType w:val="hybridMultilevel"/>
    <w:lvl w:ilvl="0">
      <w:lvlJc w:val="left"/>
      <w:lvlText w:val=" "/>
      <w:numFmt w:val="bullet"/>
      <w:start w:val="1"/>
    </w:lvl>
  </w:abstractNum>
  <w:abstractNum w:abstractNumId="19">
    <w:nsid w:val="7A6D8D3C"/>
    <w:multiLevelType w:val="hybridMultilevel"/>
    <w:lvl w:ilvl="0">
      <w:lvlJc w:val="left"/>
      <w:lvlText w:val=" "/>
      <w:numFmt w:val="bullet"/>
      <w:start w:val="1"/>
    </w:lvl>
  </w:abstractNum>
  <w:abstractNum w:abstractNumId="20">
    <w:nsid w:val="4B588F54"/>
    <w:multiLevelType w:val="hybridMultilevel"/>
    <w:lvl w:ilvl="0">
      <w:lvlJc w:val="left"/>
      <w:lvlText w:val=" "/>
      <w:numFmt w:val="bullet"/>
      <w:start w:val="1"/>
    </w:lvl>
  </w:abstractNum>
  <w:abstractNum w:abstractNumId="21">
    <w:nsid w:val="542289EC"/>
    <w:multiLevelType w:val="hybridMultilevel"/>
    <w:lvl w:ilvl="0">
      <w:lvlJc w:val="left"/>
      <w:lvlText w:val=" "/>
      <w:numFmt w:val="bullet"/>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 "/>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lvl w:ilvl="1">
      <w:lvlJc w:val="left"/>
      <w:lvlText w:val="%2."/>
      <w:numFmt w:val="decimal"/>
      <w:start w:val="2"/>
    </w:lvl>
  </w:abstractNum>
  <w:abstractNum w:abstractNumId="26">
    <w:nsid w:val="684A481A"/>
    <w:multiLevelType w:val="hybridMultilevel"/>
    <w:lvl w:ilvl="0">
      <w:lvlJc w:val="left"/>
      <w:lvlText w:val=" "/>
      <w:numFmt w:val="bullet"/>
      <w:start w:val="1"/>
    </w:lvl>
  </w:abstractNum>
  <w:abstractNum w:abstractNumId="27">
    <w:nsid w:val="579478FE"/>
    <w:multiLevelType w:val="hybridMultilevel"/>
    <w:lvl w:ilvl="0">
      <w:lvlJc w:val="left"/>
      <w:lvlText w:val="(%1)"/>
      <w:numFmt w:val="decimal"/>
      <w:start w:val="1"/>
    </w:lvl>
    <w:lvl w:ilvl="1">
      <w:lvlJc w:val="left"/>
      <w:lvlText w:val=" "/>
      <w:numFmt w:val="bullet"/>
      <w:start w:val="1"/>
    </w:lvl>
  </w:abstractNum>
  <w:abstractNum w:abstractNumId="28">
    <w:nsid w:val="749ABB43"/>
    <w:multiLevelType w:val="hybridMultilevel"/>
    <w:lvl w:ilvl="0">
      <w:lvlJc w:val="left"/>
      <w:lvlText w:val=" "/>
      <w:numFmt w:val="bullet"/>
      <w:start w:val="1"/>
    </w:lvl>
  </w:abstractNum>
  <w:abstractNum w:abstractNumId="29">
    <w:nsid w:val="3DC240FB"/>
    <w:multiLevelType w:val="hybridMultilevel"/>
    <w:lvl w:ilvl="0">
      <w:lvlJc w:val="left"/>
      <w:lvlText w:val=" "/>
      <w:numFmt w:val="bullet"/>
      <w:start w:val="1"/>
    </w:lvl>
  </w:abstractNum>
  <w:abstractNum w:abstractNumId="30">
    <w:nsid w:val="1BA026FA"/>
    <w:multiLevelType w:val="hybridMultilevel"/>
    <w:lvl w:ilvl="0">
      <w:lvlJc w:val="left"/>
      <w:lvlText w:val=" "/>
      <w:numFmt w:val="bullet"/>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1"/>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1."/>
      <w:numFmt w:val="decimal"/>
      <w:start w:val="4"/>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1"/>
    </w:lvl>
    <w:lvl w:ilvl="1">
      <w:lvlJc w:val="left"/>
      <w:lvlText w:val="%2."/>
      <w:numFmt w:val="decimal"/>
      <w:start w:val="3"/>
    </w:lvl>
  </w:abstractNum>
  <w:abstractNum w:abstractNumId="37">
    <w:nsid w:val="4F4EF005"/>
    <w:multiLevelType w:val="hybridMultilevel"/>
    <w:lvl w:ilvl="0">
      <w:lvlJc w:val="left"/>
      <w:lvlText w:val="%1."/>
      <w:numFmt w:val="decimal"/>
      <w:start w:val="9"/>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lowerRoman"/>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3"/>
    </w:lvl>
  </w:abstractNum>
  <w:abstractNum w:abstractNumId="43">
    <w:nsid w:val="180115BE"/>
    <w:multiLevelType w:val="hybridMultilevel"/>
    <w:lvl w:ilvl="0">
      <w:lvlJc w:val="left"/>
      <w:lvlText w:val="(%1)"/>
      <w:numFmt w:val="decimal"/>
      <w:start w:val="5"/>
    </w:lvl>
  </w:abstractNum>
  <w:abstractNum w:abstractNumId="44">
    <w:nsid w:val="235BA861"/>
    <w:multiLevelType w:val="hybridMultilevel"/>
    <w:lvl w:ilvl="0">
      <w:lvlJc w:val="left"/>
      <w:lvlText w:val=" "/>
      <w:numFmt w:val="bullet"/>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 "/>
      <w:numFmt w:val="bullet"/>
      <w:start w:val="1"/>
    </w:lvl>
  </w:abstractNum>
  <w:abstractNum w:abstractNumId="47">
    <w:nsid w:val="15B5AF5C"/>
    <w:multiLevelType w:val="hybridMultilevel"/>
    <w:lvl w:ilvl="0">
      <w:lvlJc w:val="left"/>
      <w:lvlText w:val="%1."/>
      <w:numFmt w:val="upperLetter"/>
      <w:start w:val="35"/>
    </w:lvl>
  </w:abstractNum>
  <w:abstractNum w:abstractNumId="48">
    <w:nsid w:val="741226BB"/>
    <w:multiLevelType w:val="hybridMultilevel"/>
    <w:lvl w:ilvl="0">
      <w:lvlJc w:val="left"/>
      <w:lvlText w:val="(%1)"/>
      <w:numFmt w:val="lowerLetter"/>
      <w:start w:val="1"/>
    </w:lvl>
  </w:abstractNum>
  <w:abstractNum w:abstractNumId="49">
    <w:nsid w:val="D34B6A8"/>
    <w:multiLevelType w:val="hybridMultilevel"/>
    <w:lvl w:ilvl="0">
      <w:lvlJc w:val="left"/>
      <w:lvlText w:val="(%1)"/>
      <w:numFmt w:val="lowerRoman"/>
      <w:start w:val="1"/>
    </w:lvl>
  </w:abstractNum>
  <w:abstractNum w:abstractNumId="50">
    <w:nsid w:val="10233C99"/>
    <w:multiLevelType w:val="hybridMultilevel"/>
    <w:lvl w:ilvl="0">
      <w:lvlJc w:val="left"/>
      <w:lvlText w:val="(%1)"/>
      <w:numFmt w:val="lowerLetter"/>
      <w:start w:val="10"/>
    </w:lvl>
  </w:abstractNum>
  <w:abstractNum w:abstractNumId="51">
    <w:nsid w:val="3F6AB60F"/>
    <w:multiLevelType w:val="hybridMultilevel"/>
    <w:lvl w:ilvl="0">
      <w:lvlJc w:val="left"/>
      <w:lvlText w:val="(%1)"/>
      <w:numFmt w:val="lowerRoman"/>
      <w:start w:val="1"/>
    </w:lvl>
  </w:abstractNum>
  <w:abstractNum w:abstractNumId="52">
    <w:nsid w:val="61574095"/>
    <w:multiLevelType w:val="hybridMultilevel"/>
    <w:lvl w:ilvl="0">
      <w:lvlJc w:val="left"/>
      <w:lvlText w:val="(%1)"/>
      <w:numFmt w:val="lowerLetter"/>
      <w:start w:val="11"/>
    </w:lvl>
  </w:abstractNum>
  <w:abstractNum w:abstractNumId="53">
    <w:nsid w:val="7E0C57B1"/>
    <w:multiLevelType w:val="hybridMultilevel"/>
    <w:lvl w:ilvl="0">
      <w:lvlJc w:val="left"/>
      <w:lvlText w:val="(%1)"/>
      <w:numFmt w:val="lowerLetter"/>
      <w:start w:val="15"/>
    </w:lvl>
  </w:abstractNum>
  <w:abstractNum w:abstractNumId="54">
    <w:nsid w:val="77AE35EB"/>
    <w:multiLevelType w:val="hybridMultilevel"/>
    <w:lvl w:ilvl="0">
      <w:lvlJc w:val="left"/>
      <w:lvlText w:val="(%1)"/>
      <w:numFmt w:val="lowerLetter"/>
      <w:start w:val="22"/>
    </w:lvl>
  </w:abstractNum>
  <w:abstractNum w:abstractNumId="55">
    <w:nsid w:val="579BE4F1"/>
    <w:multiLevelType w:val="hybridMultilevel"/>
    <w:lvl w:ilvl="0">
      <w:lvlJc w:val="left"/>
      <w:lvlText w:val="(%1)"/>
      <w:numFmt w:val="lowerLetter"/>
      <w:start w:val="27"/>
    </w:lvl>
  </w:abstractNum>
  <w:abstractNum w:abstractNumId="56">
    <w:nsid w:val="310C50B3"/>
    <w:multiLevelType w:val="hybridMultilevel"/>
    <w:lvl w:ilvl="0">
      <w:lvlJc w:val="left"/>
      <w:lvlText w:val="(%1)"/>
      <w:numFmt w:val="lowerLetter"/>
      <w:start w:val="48"/>
    </w:lvl>
  </w:abstractNum>
  <w:abstractNum w:abstractNumId="57">
    <w:nsid w:val="5FF87E05"/>
    <w:multiLevelType w:val="hybridMultilevel"/>
    <w:lvl w:ilvl="0">
      <w:lvlJc w:val="left"/>
      <w:lvlText w:val="(%1)"/>
      <w:numFmt w:val="lowerLetter"/>
      <w:start w:val="49"/>
    </w:lvl>
  </w:abstractNum>
  <w:abstractNum w:abstractNumId="58">
    <w:nsid w:val="2F305DEF"/>
    <w:multiLevelType w:val="hybridMultilevel"/>
    <w:lvl w:ilvl="0">
      <w:lvlJc w:val="left"/>
      <w:lvlText w:val="%1."/>
      <w:numFmt w:val="upperLetter"/>
      <w:start w:val="61"/>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lowerLetter"/>
      <w:start w:val="1"/>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Roman"/>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lowerLetter"/>
      <w:start w:val="7"/>
    </w:lvl>
  </w:abstractNum>
  <w:abstractNum w:abstractNumId="65">
    <w:nsid w:val="100F8FCA"/>
    <w:multiLevelType w:val="hybridMultilevel"/>
    <w:lvl w:ilvl="0">
      <w:lvlJc w:val="left"/>
      <w:lvlText w:val="(%1)"/>
      <w:numFmt w:val="lowerRoman"/>
      <w:start w:val="2"/>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lowerLetter"/>
      <w:start w:val="1"/>
    </w:lvl>
  </w:abstractNum>
  <w:abstractNum w:abstractNumId="68">
    <w:nsid w:val="5F5E7FD0"/>
    <w:multiLevelType w:val="hybridMultilevel"/>
    <w:lvl w:ilvl="0">
      <w:lvlJc w:val="left"/>
      <w:lvlText w:val="(%1)"/>
      <w:numFmt w:val="lowerLetter"/>
      <w:start w:val="1"/>
    </w:lvl>
  </w:abstractNum>
  <w:abstractNum w:abstractNumId="69">
    <w:nsid w:val="98A3148"/>
    <w:multiLevelType w:val="hybridMultilevel"/>
    <w:lvl w:ilvl="0">
      <w:lvlJc w:val="left"/>
      <w:lvlText w:val="(%1)"/>
      <w:numFmt w:val="lowerLetter"/>
      <w:start w:val="1"/>
    </w:lvl>
  </w:abstractNum>
  <w:abstractNum w:abstractNumId="70">
    <w:nsid w:val="799D02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2026-04-13T05:10:45Z</dcterms:created>
  <dcterms:modified xsi:type="dcterms:W3CDTF">2026-04-13T05:10:45Z</dcterms:modified>
</cp:coreProperties>
</file>