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12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83"/>
        <w:spacing w:after="0"/>
        <w:tabs>
          <w:tab w:leader="none" w:pos="148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For the transition period from</w:t>
            </w:r>
          </w:p>
        </w:tc>
        <w:tc>
          <w:tcPr>
            <w:tcW w:w="3100" w:type="dxa"/>
            <w:vAlign w:val="bottom"/>
            <w:gridSpan w:val="3"/>
          </w:tcPr>
          <w:p>
            <w:pPr>
              <w:ind w:left="640"/>
              <w:spacing w:after="0"/>
              <w:rPr>
                <w:sz w:val="20"/>
                <w:szCs w:val="20"/>
                <w:color w:val="auto"/>
              </w:rPr>
            </w:pPr>
            <w:r>
              <w:rPr>
                <w:rFonts w:ascii="Arial" w:cs="Arial" w:eastAsia="Arial" w:hAnsi="Arial"/>
                <w:sz w:val="18"/>
                <w:szCs w:val="18"/>
                <w:b w:val="1"/>
                <w:bCs w:val="1"/>
                <w:color w:val="auto"/>
              </w:rPr>
              <w:t>to</w:t>
            </w: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80"/>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00" w:type="dxa"/>
            <w:vAlign w:val="bottom"/>
            <w:gridSpan w:val="3"/>
          </w:tcPr>
          <w:p>
            <w:pPr>
              <w:jc w:val="center"/>
              <w:ind w:left="384"/>
              <w:spacing w:after="0"/>
              <w:rPr>
                <w:sz w:val="20"/>
                <w:szCs w:val="20"/>
                <w:color w:val="auto"/>
              </w:rPr>
            </w:pPr>
            <w:r>
              <w:rPr>
                <w:rFonts w:ascii="Arial" w:cs="Arial" w:eastAsia="Arial" w:hAnsi="Arial"/>
                <w:sz w:val="14"/>
                <w:szCs w:val="14"/>
                <w:b w:val="1"/>
                <w:bCs w:val="1"/>
                <w:color w:val="auto"/>
                <w:w w:val="93"/>
              </w:rPr>
              <w:t>Commission File Number 001-31648</w:t>
            </w: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30"/>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20" w:type="dxa"/>
            <w:vAlign w:val="bottom"/>
            <w:gridSpan w:val="6"/>
          </w:tcPr>
          <w:p>
            <w:pPr>
              <w:jc w:val="center"/>
              <w:ind w:right="1968"/>
              <w:spacing w:after="0"/>
              <w:rPr>
                <w:sz w:val="20"/>
                <w:szCs w:val="20"/>
                <w:color w:val="auto"/>
              </w:rPr>
            </w:pPr>
            <w:r>
              <w:rPr>
                <w:rFonts w:ascii="Arial" w:cs="Arial" w:eastAsia="Arial" w:hAnsi="Arial"/>
                <w:sz w:val="29"/>
                <w:szCs w:val="29"/>
                <w:b w:val="1"/>
                <w:bCs w:val="1"/>
                <w:color w:val="auto"/>
              </w:rPr>
              <w:t>EURONET WORLDWIDE, INC.</w:t>
            </w:r>
          </w:p>
        </w:tc>
      </w:tr>
      <w:tr>
        <w:trPr>
          <w:trHeight w:val="170"/>
        </w:trPr>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960" w:type="dxa"/>
            <w:vAlign w:val="bottom"/>
            <w:gridSpan w:val="5"/>
          </w:tcPr>
          <w:p>
            <w:pPr>
              <w:jc w:val="center"/>
              <w:ind w:right="334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30"/>
        </w:trPr>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00" w:type="dxa"/>
            <w:vAlign w:val="bottom"/>
            <w:gridSpan w:val="3"/>
          </w:tcPr>
          <w:p>
            <w:pPr>
              <w:jc w:val="right"/>
              <w:ind w:right="240"/>
              <w:spacing w:after="0"/>
              <w:rPr>
                <w:sz w:val="20"/>
                <w:szCs w:val="20"/>
                <w:color w:val="auto"/>
              </w:rPr>
            </w:pPr>
            <w:r>
              <w:rPr>
                <w:rFonts w:ascii="Arial" w:cs="Arial" w:eastAsia="Arial" w:hAnsi="Arial"/>
                <w:sz w:val="18"/>
                <w:szCs w:val="18"/>
                <w:color w:val="auto"/>
              </w:rPr>
              <w:t>________________________</w:t>
            </w:r>
          </w:p>
        </w:tc>
        <w:tc>
          <w:tcPr>
            <w:tcW w:w="104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771"/>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Delaware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60" w:type="dxa"/>
            <w:vAlign w:val="bottom"/>
            <w:gridSpan w:val="2"/>
          </w:tcPr>
          <w:p>
            <w:pPr>
              <w:jc w:val="right"/>
              <w:ind w:right="2148"/>
              <w:spacing w:after="0"/>
              <w:rPr>
                <w:sz w:val="20"/>
                <w:szCs w:val="20"/>
                <w:color w:val="auto"/>
              </w:rPr>
            </w:pPr>
            <w:r>
              <w:rPr>
                <w:rFonts w:ascii="Arial" w:cs="Arial" w:eastAsia="Arial" w:hAnsi="Arial"/>
                <w:sz w:val="14"/>
                <w:szCs w:val="14"/>
                <w:b w:val="1"/>
                <w:bCs w:val="1"/>
                <w:color w:val="auto"/>
              </w:rPr>
              <w:t>74-2806888</w:t>
            </w:r>
          </w:p>
        </w:tc>
      </w:tr>
      <w:tr>
        <w:trPr>
          <w:trHeight w:val="203"/>
        </w:trPr>
        <w:tc>
          <w:tcPr>
            <w:tcW w:w="6080" w:type="dxa"/>
            <w:vAlign w:val="bottom"/>
            <w:gridSpan w:val="6"/>
          </w:tcPr>
          <w:p>
            <w:pPr>
              <w:jc w:val="center"/>
              <w:ind w:right="180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860" w:type="dxa"/>
            <w:vAlign w:val="bottom"/>
            <w:gridSpan w:val="2"/>
          </w:tcPr>
          <w:p>
            <w:pPr>
              <w:jc w:val="center"/>
              <w:ind w:right="1188"/>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54"/>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6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2"/>
              </w:rPr>
              <w:t>3500 College Boulevard</w:t>
            </w: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ind w:left="560"/>
              <w:spacing w:after="0"/>
              <w:rPr>
                <w:sz w:val="20"/>
                <w:szCs w:val="20"/>
                <w:color w:val="auto"/>
              </w:rPr>
            </w:pPr>
            <w:r>
              <w:rPr>
                <w:rFonts w:ascii="Arial" w:cs="Arial" w:eastAsia="Arial" w:hAnsi="Arial"/>
                <w:sz w:val="14"/>
                <w:szCs w:val="14"/>
                <w:b w:val="1"/>
                <w:bCs w:val="1"/>
                <w:color w:val="auto"/>
              </w:rPr>
              <w:t>Leawood,</w:t>
            </w:r>
          </w:p>
        </w:tc>
        <w:tc>
          <w:tcPr>
            <w:tcW w:w="1140" w:type="dxa"/>
            <w:vAlign w:val="bottom"/>
          </w:tcPr>
          <w:p>
            <w:pPr>
              <w:spacing w:after="0"/>
              <w:rPr>
                <w:sz w:val="17"/>
                <w:szCs w:val="17"/>
                <w:color w:val="auto"/>
              </w:rPr>
            </w:pPr>
          </w:p>
        </w:tc>
        <w:tc>
          <w:tcPr>
            <w:tcW w:w="1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Kansas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66211</w:t>
            </w:r>
          </w:p>
        </w:tc>
        <w:tc>
          <w:tcPr>
            <w:tcW w:w="28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60" w:type="dxa"/>
            <w:vAlign w:val="bottom"/>
            <w:gridSpan w:val="4"/>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60" w:type="dxa"/>
            <w:vAlign w:val="bottom"/>
            <w:gridSpan w:val="2"/>
          </w:tcPr>
          <w:p>
            <w:pPr>
              <w:jc w:val="center"/>
              <w:ind w:right="2148"/>
              <w:spacing w:after="0"/>
              <w:rPr>
                <w:sz w:val="20"/>
                <w:szCs w:val="20"/>
                <w:color w:val="auto"/>
              </w:rPr>
            </w:pPr>
            <w:r>
              <w:rPr>
                <w:rFonts w:ascii="Arial" w:cs="Arial" w:eastAsia="Arial" w:hAnsi="Arial"/>
                <w:sz w:val="14"/>
                <w:szCs w:val="14"/>
                <w:b w:val="1"/>
                <w:bCs w:val="1"/>
                <w:color w:val="auto"/>
                <w:w w:val="98"/>
              </w:rPr>
              <w:t>(Zip Code)</w:t>
            </w:r>
          </w:p>
        </w:tc>
      </w:tr>
      <w:tr>
        <w:trPr>
          <w:trHeight w:val="367"/>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(913) 327-4200</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86"/>
        </w:trPr>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960" w:type="dxa"/>
            <w:vAlign w:val="bottom"/>
            <w:gridSpan w:val="5"/>
          </w:tcPr>
          <w:p>
            <w:pPr>
              <w:jc w:val="center"/>
              <w:ind w:right="332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8"/>
        </w:trPr>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60" w:type="dxa"/>
            <w:vAlign w:val="bottom"/>
            <w:gridSpan w:val="5"/>
          </w:tcPr>
          <w:p>
            <w:pPr>
              <w:ind w:left="14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512"/>
        </w:trPr>
        <w:tc>
          <w:tcPr>
            <w:tcW w:w="48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3100" w:type="dxa"/>
            <w:vAlign w:val="bottom"/>
            <w:gridSpan w:val="3"/>
          </w:tcPr>
          <w:p>
            <w:pPr>
              <w:jc w:val="center"/>
              <w:ind w:left="264"/>
              <w:spacing w:after="0"/>
              <w:rPr>
                <w:sz w:val="20"/>
                <w:szCs w:val="20"/>
                <w:color w:val="auto"/>
              </w:rPr>
            </w:pPr>
            <w:r>
              <w:rPr>
                <w:rFonts w:ascii="Arial" w:cs="Arial" w:eastAsia="Arial" w:hAnsi="Arial"/>
                <w:sz w:val="14"/>
                <w:szCs w:val="14"/>
                <w:b w:val="1"/>
                <w:bCs w:val="1"/>
                <w:color w:val="auto"/>
                <w:w w:val="94"/>
              </w:rPr>
              <w:t>Trading Symbol(s)</w:t>
            </w:r>
          </w:p>
        </w:tc>
        <w:tc>
          <w:tcPr>
            <w:tcW w:w="10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1"/>
        </w:trPr>
        <w:tc>
          <w:tcPr>
            <w:tcW w:w="2980" w:type="dxa"/>
            <w:vAlign w:val="bottom"/>
            <w:gridSpan w:val="3"/>
          </w:tcPr>
          <w:p>
            <w:pPr>
              <w:ind w:left="46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tcPr>
          <w:p>
            <w:pPr>
              <w:spacing w:after="0"/>
              <w:rPr>
                <w:sz w:val="18"/>
                <w:szCs w:val="18"/>
                <w:color w:val="auto"/>
              </w:rPr>
            </w:pP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EEFT</w:t>
            </w:r>
          </w:p>
        </w:tc>
        <w:tc>
          <w:tcPr>
            <w:tcW w:w="10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r>
        <w:trPr>
          <w:trHeight w:val="203"/>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1.375% Senior Notes due 2026</w:t>
            </w:r>
          </w:p>
        </w:tc>
        <w:tc>
          <w:tcPr>
            <w:tcW w:w="1140" w:type="dxa"/>
            <w:vAlign w:val="bottom"/>
          </w:tcPr>
          <w:p>
            <w:pPr>
              <w:spacing w:after="0"/>
              <w:rPr>
                <w:sz w:val="17"/>
                <w:szCs w:val="17"/>
                <w:color w:val="auto"/>
              </w:rPr>
            </w:pPr>
          </w:p>
        </w:tc>
        <w:tc>
          <w:tcPr>
            <w:tcW w:w="19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EEFT26</w:t>
            </w:r>
          </w:p>
        </w:tc>
        <w:tc>
          <w:tcPr>
            <w:tcW w:w="10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w w:val="94"/>
              </w:rPr>
              <w:t>Nasdaq Global Market</w:t>
            </w:r>
          </w:p>
        </w:tc>
      </w:tr>
    </w:tbl>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8"/>
          <w:szCs w:val="18"/>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42" w:lineRule="exact"/>
        <w:rPr>
          <w:sz w:val="24"/>
          <w:szCs w:val="24"/>
          <w:color w:val="auto"/>
        </w:rPr>
      </w:pPr>
    </w:p>
    <w:p>
      <w:pPr>
        <w:ind w:right="1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ind w:right="5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4" w:lineRule="exact"/>
        <w:rPr>
          <w:sz w:val="24"/>
          <w:szCs w:val="24"/>
          <w:color w:val="auto"/>
        </w:rPr>
      </w:pPr>
    </w:p>
    <w:p>
      <w:pPr>
        <w:spacing w:after="0" w:line="38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4" w:right="259" w:bottom="149" w:gutter="0" w:footer="0" w:header="0"/>
        </w:sectPr>
      </w:pPr>
    </w:p>
    <w:p>
      <w:pPr>
        <w:spacing w:after="0" w:line="29" w:lineRule="exact"/>
        <w:rPr>
          <w:sz w:val="24"/>
          <w:szCs w:val="24"/>
          <w:color w:val="auto"/>
        </w:rPr>
      </w:pPr>
    </w:p>
    <w:p>
      <w:pPr>
        <w:ind w:left="1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5">
            <w:col w:w="1740" w:space="440"/>
            <w:col w:w="1200" w:space="380"/>
            <w:col w:w="1900" w:space="720"/>
            <w:col w:w="1780" w:space="500"/>
            <w:col w:w="2740"/>
          </w:cols>
          <w:pgMar w:left="240" w:top="234" w:right="259" w:bottom="149" w:gutter="0" w:footer="0" w:header="0"/>
          <w:type w:val="continuous"/>
        </w:sectPr>
      </w:pPr>
    </w:p>
    <w:p>
      <w:pPr>
        <w:spacing w:after="0" w:line="30"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0" w:lineRule="exact"/>
        <w:rPr>
          <w:sz w:val="24"/>
          <w:szCs w:val="24"/>
          <w:color w:val="auto"/>
        </w:rPr>
      </w:pPr>
    </w:p>
    <w:p>
      <w:pPr>
        <w:sectPr>
          <w:pgSz w:w="11900" w:h="16838" w:orient="portrait"/>
          <w:cols w:equalWidth="0" w:num="2">
            <w:col w:w="4020" w:space="720"/>
            <w:col w:w="6660"/>
          </w:cols>
          <w:pgMar w:left="240" w:top="234" w:right="259" w:bottom="149" w:gutter="0" w:footer="0" w:header="0"/>
          <w:type w:val="continuous"/>
        </w:sectPr>
      </w:pPr>
    </w:p>
    <w:p>
      <w:pPr>
        <w:spacing w:after="0" w:line="166" w:lineRule="exact"/>
        <w:rPr>
          <w:sz w:val="24"/>
          <w:szCs w:val="24"/>
          <w:color w:val="auto"/>
        </w:rPr>
      </w:pPr>
    </w:p>
    <w:p>
      <w:pPr>
        <w:ind w:left="40" w:right="3040"/>
        <w:spacing w:after="0" w:line="36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As of June 28, 2019, the aggregate market value of the voting and non-voting common equity held by non-affiliates of the registrant was approximately $8.8 billion. The aggregate market value was determined based on the closing price of the Common Stock on June 28, 2019.</w:t>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28, 2020, the registrant had 53,519,855 shares of Common Stock outstanding.</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00"/>
          </w:cols>
          <w:pgMar w:left="240" w:top="234" w:right="259" w:bottom="149"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6"/>
          <w:szCs w:val="16"/>
          <w:color w:val="auto"/>
        </w:rPr>
        <w:t>Portions of the registrant's Proxy Statement for its 2020 Annual Meeting of Stockholders, which will be filed with the Securities and Exchange Commission no later than 120 days after December 31, 2019,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287655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201295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260"/>
          </w:cols>
          <w:pgMar w:left="240" w:top="130"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6"/>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1A.</w:t>
            </w:r>
          </w:p>
        </w:tc>
        <w:tc>
          <w:tcPr>
            <w:tcW w:w="880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Properties</w:t>
              </w:r>
            </w:hyperlink>
          </w:p>
        </w:tc>
        <w:tc>
          <w:tcPr>
            <w:tcW w:w="1300" w:type="dxa"/>
            <w:vAlign w:val="bottom"/>
            <w:gridSpan w:val="7"/>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6">
              <w:r>
                <w:rPr>
                  <w:rFonts w:ascii="Arial" w:cs="Arial" w:eastAsia="Arial" w:hAnsi="Arial"/>
                  <w:sz w:val="18"/>
                  <w:szCs w:val="18"/>
                  <w:color w:val="0000FF"/>
                  <w:w w:val="87"/>
                </w:rPr>
                <w:t>Proceedings</w:t>
              </w:r>
            </w:hyperlink>
          </w:p>
        </w:tc>
        <w:tc>
          <w:tcPr>
            <w:tcW w:w="7460" w:type="dxa"/>
            <w:vAlign w:val="bottom"/>
            <w:gridSpan w:val="15"/>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7"/>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7"/>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Quantitative and Qualitative Disclosures about Market Risk</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60</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62</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Changes in and Disagreements with Accountants on Accounting and Financial Disclosure</w:t>
              </w:r>
            </w:hyperlink>
          </w:p>
        </w:tc>
        <w:tc>
          <w:tcPr>
            <w:tcW w:w="2320" w:type="dxa"/>
            <w:vAlign w:val="bottom"/>
            <w:gridSpan w:val="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7">
              <w:r>
                <w:rPr>
                  <w:rFonts w:ascii="Arial" w:cs="Arial" w:eastAsia="Arial" w:hAnsi="Arial"/>
                  <w:sz w:val="18"/>
                  <w:szCs w:val="18"/>
                  <w:color w:val="0000FF"/>
                  <w:w w:val="79"/>
                </w:rPr>
                <w:t>104</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4"/>
              </w:rPr>
            </w:pPr>
            <w:hyperlink w:anchor="page107">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7">
              <w:r>
                <w:rPr>
                  <w:rFonts w:ascii="Arial" w:cs="Arial" w:eastAsia="Arial" w:hAnsi="Arial"/>
                  <w:sz w:val="18"/>
                  <w:szCs w:val="18"/>
                  <w:color w:val="0000FF"/>
                  <w:w w:val="79"/>
                </w:rPr>
                <w:t>104</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Other Information</w:t>
              </w:r>
            </w:hyperlink>
          </w:p>
        </w:tc>
        <w:tc>
          <w:tcPr>
            <w:tcW w:w="7460" w:type="dxa"/>
            <w:vAlign w:val="bottom"/>
            <w:gridSpan w:val="15"/>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105</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105</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105</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105</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105</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08">
              <w:r>
                <w:rPr>
                  <w:rFonts w:ascii="Arial" w:cs="Arial" w:eastAsia="Arial" w:hAnsi="Arial"/>
                  <w:sz w:val="18"/>
                  <w:szCs w:val="18"/>
                  <w:color w:val="0000FF"/>
                </w:rPr>
                <w:t>105</w:t>
              </w:r>
            </w:hyperlink>
          </w:p>
        </w:tc>
      </w:tr>
      <w:tr>
        <w:trPr>
          <w:trHeight w:val="480"/>
        </w:trPr>
        <w:tc>
          <w:tcPr>
            <w:tcW w:w="40" w:type="dxa"/>
            <w:vAlign w:val="bottom"/>
          </w:tcPr>
          <w:p>
            <w:pPr>
              <w:spacing w:after="0"/>
              <w:rPr>
                <w:sz w:val="24"/>
                <w:szCs w:val="24"/>
                <w:color w:val="auto"/>
              </w:rPr>
            </w:pPr>
          </w:p>
        </w:tc>
        <w:tc>
          <w:tcPr>
            <w:tcW w:w="5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9">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60" w:type="dxa"/>
            <w:vAlign w:val="bottom"/>
            <w:tcBorders>
              <w:top w:val="single" w:sz="8" w:color="0000FF"/>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106</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106</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Form 10-K Summary</w:t>
              </w:r>
            </w:hyperlink>
          </w:p>
        </w:tc>
        <w:tc>
          <w:tcPr>
            <w:tcW w:w="724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Signatures</w:t>
              </w:r>
            </w:hyperlink>
          </w:p>
        </w:tc>
        <w:tc>
          <w:tcPr>
            <w:tcW w:w="7240" w:type="dxa"/>
            <w:vAlign w:val="bottom"/>
            <w:gridSpan w:val="14"/>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37"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References in this report to “we,” “our,” “us,” the “Company” and “Euronet” refer to Euronet Worldwide, Inc. and its subsidiaries unless the context indicates otherwise.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and cloud based payment solutions; electronic distribution of prepaid mobile airtime and other electronic payment products; foreign exchange services and global money transfer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2019:</w:t>
      </w:r>
    </w:p>
    <w:p>
      <w:pPr>
        <w:spacing w:after="0" w:line="225" w:lineRule="exact"/>
        <w:rPr>
          <w:sz w:val="20"/>
          <w:szCs w:val="20"/>
          <w:color w:val="auto"/>
        </w:rPr>
      </w:pPr>
    </w:p>
    <w:p>
      <w:pPr>
        <w:ind w:left="180" w:right="60"/>
        <w:spacing w:after="0" w:line="271" w:lineRule="auto"/>
        <w:rPr>
          <w:sz w:val="20"/>
          <w:szCs w:val="20"/>
          <w:color w:val="auto"/>
        </w:rPr>
      </w:pPr>
      <w:r>
        <w:rPr>
          <w:rFonts w:ascii="Arial" w:cs="Arial" w:eastAsia="Arial" w:hAnsi="Arial"/>
          <w:sz w:val="17"/>
          <w:szCs w:val="17"/>
          <w:color w:val="auto"/>
        </w:rPr>
        <w:t>The Electronic Fund Transfer ("EFT") Processing Segment processes transactions for a network of 46,070 ATMs and approximately 330,000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domestic and international ATM surcharge, advertising, customer relationship management (“CRM”), mobile top-up, bill payment, fraud management, foreign remittance payout, cardless payout, banknote recycling solutions and tax-refund services. Through this segment, we also offer a suite of integrated electronic financial transaction software solutions for electronic payment and transaction delivery systems. In 2019, the EFT Processing Segment accounted for approximately 32% of Euronet's consolidated revenues.</w:t>
      </w:r>
    </w:p>
    <w:p>
      <w:pPr>
        <w:spacing w:after="0" w:line="179" w:lineRule="exact"/>
        <w:rPr>
          <w:sz w:val="20"/>
          <w:szCs w:val="20"/>
          <w:color w:val="auto"/>
        </w:rPr>
      </w:pPr>
    </w:p>
    <w:p>
      <w:pPr>
        <w:ind w:left="180" w:right="60"/>
        <w:spacing w:after="0" w:line="255" w:lineRule="auto"/>
        <w:rPr>
          <w:sz w:val="20"/>
          <w:szCs w:val="20"/>
          <w:color w:val="auto"/>
        </w:rPr>
      </w:pPr>
      <w:r>
        <w:rPr>
          <w:rFonts w:ascii="Arial" w:cs="Arial" w:eastAsia="Arial" w:hAnsi="Arial"/>
          <w:sz w:val="18"/>
          <w:szCs w:val="18"/>
          <w:color w:val="auto"/>
        </w:rPr>
        <w:t>The epay Segment provides distribution and processing of prepaid mobile airtime and other electronic content and payment processing services for various prepaid products, cards and services throughout our worldwide distribution network. We operate a network that includes approximately 728,000 POS terminals that enable electronic processing of prepaid mobile airtime “top-up” services and other digital media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In 2019, the epay Segment accounted for approximately 28% of Euronet's consolidated revenues.</w:t>
      </w:r>
    </w:p>
    <w:p>
      <w:pPr>
        <w:spacing w:after="0" w:line="193" w:lineRule="exact"/>
        <w:rPr>
          <w:sz w:val="20"/>
          <w:szCs w:val="20"/>
          <w:color w:val="auto"/>
        </w:rPr>
      </w:pPr>
    </w:p>
    <w:p>
      <w:pPr>
        <w:ind w:left="180" w:right="80"/>
        <w:spacing w:after="0" w:line="269"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AFEX, and IME,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397,000 locations. xe is a provider of foreign currency exchange information on its currency data websites (www.xe.com and www.x-rates.com). We offer global account-to-account money transfer services through our websites (www.xe.com and https://transferxe.com) and xe customer service representatives. In addition to money transfers, we offer customers bill payment services (primarily in the U.S.), payment alternatives such as money orders, comprehensive check cashing services for a wide variety of issued checks, along with competitive foreign currency exchange services and mobile top-up. Through xe, we offer cash management solutions and foreign currency risk management services to small-and-medium sized businesses. We are one of the largest global money transfer companies measured by revenues and transaction volumes. In 2019, the Money Transfer Segment accounted for approximately 40% of Euronet's consolidated revenues.</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Euronet conducts business globally, serving customers in approximately 170 countries. We have 13 transaction processing centers, six in Europe, five in Asia Pacific and two in North America. We also maintain 66 business offices that are located in 41 countries. Our corporate offices are located in Leawood, Kansas, USA.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 From 1998 until 2005, we developed networks in India, Slovakia, Serbia and Bulgaria.</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2005, we expanded our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2009 Euronet, through one of its group companies, was granted authorization as an e-money institution in the United Kingdom ("U.K.") under the E-Money Directive of the European Union ("E.U."). In 2011, the Second E-Money Directive ("2EMD") came into effect. 2EMD enables authorized e-money institutions to provide payment services and issue e-money throughout the European Economic Area ("EEA") under a single regulatory framework. As a result of 2EMD, Euronet, through one of its group companies, obtained relevant memberships of Visa and Mastercard during 2011. By obtaining the status as an authorized e-money institution together with its principal memberships of Visa and Mastercard, Euronet has been able to expand its Independent ATM Deployment ("IAD") networks across Europe. In 2018, Euronet, through one of its group companies, was reauthorized by the U.K. Financial Conduct Authority to provide payment services under the Second Payment Services Directive (“PSD2”) as well as continue to provide e-money serves under the 2EMD. By the end of 2019, Euronet's IAD network of ATMs had expanded to include 29 countries. Our product portfolio for the EFT Processing Segment operates in 86 countries.</w:t>
      </w:r>
    </w:p>
    <w:p>
      <w:pPr>
        <w:spacing w:after="0" w:line="18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2011,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2007, we established the Money Transfer Segment after completing the acquisition of Los Angeles-based Ria, one of the largest global money transfer companies measured by revenues and transaction volumes. Established in 1987, Ria originates and terminates transactions through a network of sending agents and Company-owned stores located around the world. In November 2009, Ria obtained a payment services license under the E.U.'s Payment Services Directive ("PSD") from the U.K. Financial Services Authority, (now the Financial Conduct Authority), which allowed Ria to operate under one license and one regulator for all EEA Member States ("Member States"). Ria also obtained payment services licenses in Spain and France. The licenses also facilitated expansion into new markets through the sales of money transfers through agents in countries where the use of agents was not previously permitted. Ria became reauthorized under PSD2 in 2018. In 2014, Euronet added a complementary product to the money transfer portfolio through the acquisition of HiFX, which offered account-to-account international payment services to high-income individuals and small-and-medium sized businesses. In 2015, we completed the acquisition of IME (M) Sdn Bhd ("IME") which provided Euronet with immediate entry into the Asian and Middle East money transfer send markets. In 2015, we also added a complementary business line through the acquisition of xe Corporation ("xe"), which provides currency-related data and international payment services. In addition to expanding its money transfer network, the segment expanded its product portfolio to offer complementary non-money transfer products such as bill payment and check cashing, and prepaid services in conjunction with the epay Segment.</w:t>
      </w:r>
    </w:p>
    <w:p>
      <w:pPr>
        <w:spacing w:after="0" w:line="169"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In October 2016, the Company completed the acquisition of YourCash Europe Limited and its subsidiaries (“YourCash”). YourCash is a company incorporated in England that owns and operates primarily merchant filled ATMs in the United Kingdom, the Netherlands, and Ireland.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March 2018, the Company completed the acquisition of Innova Tax Free Group S.L. and its subsidiaries (“Innova”). Innova is a company incorporated in Spain and offers tax refunds services to consumers in Spain, Portugal, United Kingdom, France, Italy and Germany. In May 2018, the Company acquired Easycash Ireland Limited (“Easycash”). Easycash owns and operates a network of ATMs in the Republic of Ireland.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November 2019, the company completed the acquisition of a small ATM outsourcing network.</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domestic and international surcharge, advertising, CRM, prepaid mobile top-up, bill payment, money transfer, fraud management, foreign remittance payout, cardless payout, banknote recycling solutions and tax-refund services. We provide these services either through our Euronet-owned ATMs and POS terminals, through contracts under which we operate ATMs and POS terminals on behalf of our customers or, for certain services, as stand-alone products. Through this segment, we also offer a suite of integrated electronic financial transaction software solutions for electronic payment and transaction delivery systems.</w:t>
      </w:r>
    </w:p>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sources of revenues generated by our ATM network are recurring monthly management fees, transaction-based fees, surcharges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and other electronic content on ATMs and ATM advertising. We primarily service financial institutions in the developing markets of Central, Eastern and Southern Europe (Hungary, Poland, the Czech Republic, Croatia, Romania, Serbia, Greece and Ukraine), the Middle East and Asia Pacific (India, China, Malaysia, Pakistan and the Philippines), as well as several developed countries in Western Europe. As of December 31, 2019, we operated 46,070 ATMs compared to 40,354 at December 31, 2018. The increase was largely due to the expansion of our ATM networks in Asia Pacific and Europe.</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19.1% as indicated in the following table:</w:t>
      </w: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4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r>
      <w:tr>
        <w:trPr>
          <w:trHeight w:val="20"/>
        </w:trPr>
        <w:tc>
          <w:tcPr>
            <w:tcW w:w="7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440" w:type="dxa"/>
            <w:vAlign w:val="bottom"/>
            <w:gridSpan w:val="2"/>
          </w:tcPr>
          <w:p>
            <w:pPr>
              <w:spacing w:after="0"/>
              <w:rPr>
                <w:sz w:val="20"/>
                <w:szCs w:val="20"/>
                <w:color w:val="auto"/>
              </w:rPr>
            </w:pPr>
            <w:r>
              <w:rPr>
                <w:rFonts w:ascii="Arial" w:cs="Arial" w:eastAsia="Arial" w:hAnsi="Arial"/>
                <w:sz w:val="18"/>
                <w:szCs w:val="18"/>
                <w:color w:val="auto"/>
              </w:rPr>
              <w:t>EFT Processing Segment transactions per year</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1,523</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1,885</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2,352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2,721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3,052</w:t>
            </w: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processing centers for the EFT Processing Segment are located in Martinsreid, Germany; Budapest, Hungary; Mumbai, India; Beijing, China; and Karachi, Pakistan. Our processing centers run two types of proprietary transaction switching software: our legacy ITM software, which we have used and sold to banks since 1998 through our Software Solutions unit, and a new, innovative switching software package named “REN” which is hosted in Germany and India. The processing centers operates 24 hours a day, seven days a week. We have been progressively transitioning all of our networks to REN.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Euronet offers outsourced management solutions to financial institutions, merchants, mobile phone operators and other organizations using our processing centers' electronic financial transaction processing software. Our outsourced management solutions include management of existing ATM networks, development of new ATM networks, management of POS networks,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management of automated deposit terminals, management of credit and debit card databases and other financial processing services. These solutions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 increase in transactions, any new outsourced management solutions agreements should provide additional revenue with lower incremental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solutions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Our Euronet-branded ATM networks, also known as IAD networks, are primarily managed by a processing center that uses our internally developed software solutions.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5"/>
          <w:szCs w:val="25"/>
          <w:color w:val="auto"/>
          <w:vertAlign w:val="superscript"/>
        </w:rPr>
        <w:t>®</w:t>
      </w:r>
      <w:r>
        <w:rPr>
          <w:rFonts w:ascii="Arial" w:cs="Arial" w:eastAsia="Arial" w:hAnsi="Arial"/>
          <w:sz w:val="18"/>
          <w:szCs w:val="18"/>
          <w:color w:val="auto"/>
        </w:rPr>
        <w:t>, Visa</w:t>
      </w:r>
      <w:r>
        <w:rPr>
          <w:rFonts w:ascii="Arial" w:cs="Arial" w:eastAsia="Arial" w:hAnsi="Arial"/>
          <w:sz w:val="25"/>
          <w:szCs w:val="25"/>
          <w:color w:val="auto"/>
          <w:vertAlign w:val="superscript"/>
        </w:rPr>
        <w:t>®</w:t>
      </w:r>
      <w:r>
        <w:rPr>
          <w:rFonts w:ascii="Arial" w:cs="Arial" w:eastAsia="Arial" w:hAnsi="Arial"/>
          <w:sz w:val="18"/>
          <w:szCs w:val="18"/>
          <w:color w:val="auto"/>
        </w:rPr>
        <w:t>, Mastercard</w:t>
      </w:r>
      <w:r>
        <w:rPr>
          <w:rFonts w:ascii="Arial" w:cs="Arial" w:eastAsia="Arial" w:hAnsi="Arial"/>
          <w:sz w:val="25"/>
          <w:szCs w:val="25"/>
          <w:color w:val="auto"/>
          <w:vertAlign w:val="superscript"/>
        </w:rPr>
        <w:t>®</w:t>
      </w:r>
      <w:r>
        <w:rPr>
          <w:rFonts w:ascii="Arial" w:cs="Arial" w:eastAsia="Arial" w:hAnsi="Arial"/>
          <w:sz w:val="18"/>
          <w:szCs w:val="18"/>
          <w:color w:val="auto"/>
        </w:rPr>
        <w:t>, Diners Club International</w:t>
      </w:r>
      <w:r>
        <w:rPr>
          <w:rFonts w:ascii="Arial" w:cs="Arial" w:eastAsia="Arial" w:hAnsi="Arial"/>
          <w:sz w:val="25"/>
          <w:szCs w:val="25"/>
          <w:color w:val="auto"/>
          <w:vertAlign w:val="superscript"/>
        </w:rPr>
        <w:t>®</w:t>
      </w:r>
      <w:r>
        <w:rPr>
          <w:rFonts w:ascii="Arial" w:cs="Arial" w:eastAsia="Arial" w:hAnsi="Arial"/>
          <w:sz w:val="18"/>
          <w:szCs w:val="18"/>
          <w:color w:val="auto"/>
        </w:rPr>
        <w:t>, Discover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UnionPay International</w:t>
      </w:r>
      <w:r>
        <w:rPr>
          <w:rFonts w:ascii="Arial" w:cs="Arial" w:eastAsia="Arial" w:hAnsi="Arial"/>
          <w:sz w:val="25"/>
          <w:szCs w:val="25"/>
          <w:color w:val="auto"/>
          <w:vertAlign w:val="superscript"/>
        </w:rPr>
        <w:t>©</w:t>
      </w:r>
      <w:r>
        <w:rPr>
          <w:rFonts w:ascii="Arial" w:cs="Arial" w:eastAsia="Arial" w:hAnsi="Arial"/>
          <w:sz w:val="18"/>
          <w:szCs w:val="18"/>
          <w:color w:val="auto"/>
        </w:rPr>
        <w:t>, as well as international ATM networks such as PULSE</w:t>
      </w:r>
      <w:r>
        <w:rPr>
          <w:rFonts w:ascii="Arial" w:cs="Arial" w:eastAsia="Arial" w:hAnsi="Arial"/>
          <w:sz w:val="25"/>
          <w:szCs w:val="25"/>
          <w:color w:val="auto"/>
          <w:vertAlign w:val="superscript"/>
        </w:rPr>
        <w:t>®</w:t>
      </w:r>
      <w:r>
        <w:rPr>
          <w:rFonts w:ascii="Arial" w:cs="Arial" w:eastAsia="Arial" w:hAnsi="Arial"/>
          <w:sz w:val="18"/>
          <w:szCs w:val="18"/>
          <w:color w:val="auto"/>
        </w:rPr>
        <w:t>. This is accomplished through our agreements and relationships with these institutions, international credit and debit card issuers and international card associations.</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a bank cardholder conducts a transaction on a Euronet-owned ATM or automated deposit terminal,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 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 In some cases, we may also charge a direct access fee or surcharge to cardholders at the ATM. The direct access fee is added to the amount of the cash withdrawal and debited from the cardholder's account.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 and other electronic content.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financial institution or organization may be used at all ATMs that we operate in a given market. In most markets, we operate under sponsorship by our own e-money licensed entity, Euronet 360 Finance Limited ("E360"). In some markets, we have agreements with a financial institution under which we are designated as a service provider (which we refer to as “sponsorship agreements”) for the acceptance of domestic cards and/or cards bearing international logos, such as Visa and Mastercard. These card acceptance or sponsorship agreements allow us to receive transaction authorization directly from the card issuing institution or international card organizations on a stand-in basis.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The financial institution provides the cash needed to complete transactions on the ATM, but we do provide a significant portion of the cash to our IAD network to fund ATM transactions ourselves. Euronet is generally liable for the cash in the ATM networks.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though transaction fees are sometimes denominated in euros or U.S. dollars. Transaction fees are billed to financial institutions and card organizations with payment terms typically no longer than one month.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issued in a country with a currency other than the currency where the ATM or POS is located. The customer is offered a choice between completing the transaction in the local currency or in the customer's home currency via a DCC transaction. If a cardholder chooses to perform a DCC transaction, the acquirer or processor performs the foreign exchange conversion at the time that the funds are delivered at an ATM or transactions completed through the POS terminal, which results in a pre-defined amount of the customer's home currency being charged to their card. Alternatively, the customer may have the transaction converted by the card issuing bank, in which the amount of local currency is communicated to the card issuing bank and the card issuing bank makes the conversion to the customer's home currency.</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When a customer chooses DCC at an ATM or POS device and Euronet acts as the acquirer or processor, we receive all or a portion of the foreign exchange margin on the conversion of the transaction. On our IAD ATMs, Euronet receives the entire foreign exchange margin. If Euronet is not the acquirer or processor of the transaction, we share the DCC revenue with the sponsor bank. On ATMs or POS devices that are operated for banks, or where we offer DCC as a stand-alone service to banks or merchants, we share the foreign exchange margin. The foreign exchange margin on a DCC transaction increases the amount Euronet earns from the underlying ATM or POS transaction and supports deployment of additional ATMs in new locations.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mobile top-up, fraud management, bill payment, domestic and international surcharge, CRM, foreign remittance payout, cardless payout, banknote recycling, electronic content, ticket and voucher, and advertising. We are committed to the ongoing development of innovative new products and services to offer our EFT processing customers.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 location. This single, centralized acquiring platform enables merchants to benefit from cost savings and faster, more efficient payments transfer. Although many European countries are not members of the eurozone, our platform can serve merchants in these countries as well, through our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software products are an integral part of the EFT Processing Segment product lines, and our investment in research, development, delivery and customer support reflects our ongoing commitment to an expanded customer base both internally and externally. Our proprietary software is used by our processing centers in the EFT Processing Segment, resulting in cost savings and added value compared to third-party license and maintenance options. Our proprietary software consists of our legacy ITM software, which we have used and sold to banks since 1998 through our Software Solutions unit, and an innovative switching software package named REN that we released in 2017.</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currently operate REN in our processing center to process payments for our own networks in Europe and we are progressively transitioning all our networks globally to REN. The private cloud architecture of REN allows us to simultaneously deploy REN across multiple physical locations. While we currently only operate REN for our internal resources, REN is scalable and will allow us to offer payment and digital solutions to third parties. In addition to payments processing, REN also supports other digital elements, including card issuing for physical and virtual cards, loyalty services,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Know Your Customer compliance, real time settlement, inventory management, risk and fraud management and other services. REN will be used as a platform to connect Euronet assets to offer digital payment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DCC, surcharge, cardless payment, banknote recycling solutions, tax refund services, advertising, fraud management, bill payment, mobile top-up, CRM and foreign remittance payout.</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continually strive to make our own ATM networks more efficient by eliminating underperforming ATMs and installing ATMs in more desirable locations. We make selective additions to our own ATM network if we see market demand and profit opportunities. In tourist locations, we also shut down ATMs during the winter season when tourist activity is low.</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could provide continued growth while minimizing our capital investment.</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Complementary services offered by our epay Segment, where we provide prepaid mobile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EFT Processing business experiences its heaviest demand for cash withdrawals and DCC during the third quarter of the fiscal year, coinciding with the tourism season. It is also impacted by seasonality during the fourth quarter and first quarter of each year due to higher transaction levels during the holiday season and lower levels after the holiday season. This seasonality is increased due to our practice of "winterizing" ATMs in tourist locations that experience significantly higher traffic during the summer. Winterizing involves shutting down the ATMs during the slower winter months and results in lower overall transaction volumes in the EFT Processing Segment during those months. As we have expanded our IAD network in tourist locations, the financial impact of winterization has increased, because we continue to bear the expense of winterized ATMs even though they do not generate transactions during the winter months.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No individual customer of the EFT Processing Segment makes up greater than 10% of total consolidated revenues. In India, we have contracts with government-owned banks to provide certain ATM driving and transaction switching services and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principal EFT Processing Segment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advantages in our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EFT Processing Segment include breadth of service offering, network availability and response time, price to both the financial institution and to its customers, ATM location and access to other networks.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offer prepaid mobile airtime top-up services and other electronic content and payment processing services for various prepaid products, cards and services on a network of approximately 728,000 POS terminals across approximately 339,000 retailer locations in Europe, the Middle East, Asia Pacific, the United States and South America. Our processing centers for the epay Segment are located in Billericay, U.K.; Martinsried, Germany; Hamburg, Germany; Milan, Italy; Buena Park, California, USA; and Kansas City, Missouri, USA.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2003, we have expanded our prepaid business in new and existing markets by drawing upon our depth of experience to build and expand relationships with content providers, mobile phone operators and retailers. We offer a wide range of products across our retail networks, including prepaid mobile airtime, prepaid debit cards, prepaid gift cards, prepaid electronic content such as music, games and software, prepaid vouchers, transport payments, lottery payments, prepaid long distance and bill payment processing assistance through partnerships with various licensed money transmitters.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epay Segment generates commissions and processing fees from the distribution of electronic content and from telecommunications service providers for the sale and distribution of prepaid mobile airtime. In 2019, of the total revenues and gross profit for the epay Segment, approximately 63% of total revenues and approximately 72% of gross profit was from electronic content other than prepaid mobile airtime (digital media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Customers purchase digital media prepaid content as a gift or for self-use. Content is generally purchased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Directly online from the content provider using an online payment method; or</w:t>
      </w:r>
    </w:p>
    <w:p>
      <w:pPr>
        <w:spacing w:after="0" w:line="23" w:lineRule="exact"/>
        <w:rPr>
          <w:rFonts w:ascii="Arial" w:cs="Arial" w:eastAsia="Arial" w:hAnsi="Arial"/>
          <w:sz w:val="18"/>
          <w:szCs w:val="18"/>
          <w:color w:val="auto"/>
        </w:rPr>
      </w:pPr>
    </w:p>
    <w:p>
      <w:pPr>
        <w:ind w:left="380" w:right="260" w:hanging="196"/>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physical retail stores, online retailers or other electronic channels, including payment wallets, online banking, mobile applications and other 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usage in one of two ways:</w:t>
      </w:r>
    </w:p>
    <w:p>
      <w:pPr>
        <w:spacing w:after="0" w:line="225" w:lineRule="exact"/>
        <w:rPr>
          <w:sz w:val="20"/>
          <w:szCs w:val="20"/>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or</w:t>
      </w:r>
    </w:p>
    <w:p>
      <w:pPr>
        <w:spacing w:after="0" w:line="23" w:lineRule="exact"/>
        <w:rPr>
          <w:rFonts w:ascii="Arial" w:cs="Arial" w:eastAsia="Arial" w:hAnsi="Arial"/>
          <w:sz w:val="18"/>
          <w:szCs w:val="18"/>
          <w:color w:val="auto"/>
        </w:rPr>
      </w:pPr>
    </w:p>
    <w:p>
      <w:pPr>
        <w:ind w:left="380" w:hanging="196"/>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Prepaid mobile phone credits are generally distributed using personal identification numbers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expand our distribution networks by signing new contracts with retailers, and in some markets, by acquiring existing networks. We continue to focus on growing our distribution network through independent sales organizations that contract directly with retailers in their network to distribute prepaid mobile airtime or other digital media content from the retailers' POS terminals. We continue to increase our focus on direct relationships with chains of supermarkets, convenience stores, gas stations, and other larger scale retailers, where we can negotiate agreements with the retailers on multi-year bases.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sale of traditional mobile top-up volume described above, we have expanded distribution into digital media products and other value-added services. We have leveraged our existing technology infrastructure to sell digital media products, which have been sold through our traditional retailer network and new retailer networks such as electronic channels. In the U.S., most prepaid digital media content is purchased for gifting; in markets outside the U.S., consumers generally purchase prepaid digital media content for self-use.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consumer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or discount on each transaction that is withheld from the payments made to the mobile phone operator, and we share that commission/discount with the retailers.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Closed Loop Gift Cards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Closed loop (private-branded) gift cards are generally described as merchant-specific prepaid cards, used for purchases exclusively at a particular merchant's locations. We distribute closed loop gift cards in various categories, including dining, retail, and digital media, such as music, games and software. Generally, the gift card is activated when a consumer loads funds (with cash, debit or credit card payment) or purchases a preloaded value gift card at a retail store location or online.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Gift Cards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Open loop (network-branded) gift cards are prepaid gift cards associated with an electronic payment network (such as Visa or Mastercard) and are honored at multiple, unaffiliated locations (wherever cards from these networks are generally accepted). They are not merchant-specific. We distribute and issue single-use, non-reloadable open loop gift cards carrying the Visa brand in our retail channels. After the consumer purchases the preloaded value gift card at a retail store location or online, the consumer must call the toll-free number on the back of the card to activate it.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Loop Reloadable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distribute Visa and Mastercard issued debit cards provided by Green Dot, NetSpend and other card issuers. We also manage and distribute a proprietary debit card that allows a retailer to issue its own reloadable store-branded card. Open loop reloadable cards have features similar to a bank checking account, including direct deposit, purchasing capability wherever a credit card is accepted, bill payment and ATM access. Fees are charged to consumers for the initial load and reload transactions, monthly account maintenance and other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POS network is used for the distribution of other products and services, including games and software, bill payment, lottery tickets and transportation products. Through our Cadooz subsidiary, we also distribute vouchers and physical gifts into the business-to-business ("B2B") channel principally for the purposes of employee and customer incentives and rewards. In certain locations, the terminals used for prepaid services can also be used for electronic funds transfer to process credit and debit card payments for retail merchandise. We provide promotion and advertising for content providers of their prepaid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content throughout our retail distribution network. We also provide card production and processing services to some of our prepaid gift card partners and telecom content providers.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transactions processed on our POS network over the last five years are indicated in the table below:</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1,335</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1,294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1,186</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1,149</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1,542</w:t>
            </w:r>
          </w:p>
        </w:tc>
      </w:tr>
    </w:tbl>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loss of a high-volume, low-margin customer in the Middle East in 2017 contributed to a decline in processing transactions in 2017 and 2018. The addition of a high-volume, low-margin market in India contributed to an overall increase in processing transactions in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Mobile top-up transactions are declining in many developed markets and transaction fees for mobile transactions are being compressed by the mobile operators. epay's strategy is to defend margins in developing markets by providing value added services to mobile operators and to decrease our reliance on mobile top-up by increasing distribution of other electronic content. New product initiatives focus on products such as gift card malls, prepaid debit cards, transport and electronic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Sony, and Microsoft.</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the product mix continues to change, the epay business is impacted by seasonality during the fourth quarter and first quarter of each year due to the higher transaction levels during the holiday season and lower levels following the holiday season.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Transurban Limited, the largest manager of toll road networks in Australia, Cubic supporting New South Wales Transport ticketing in Australia and with New Zealand Transport Authority, which operates all toll roads in New Zealand.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processing platforms are a competitive advantage. We have extremely flexible technical platforms that enable us to tailor POS solutions to individual retailers and mobile operator and digital media content provider requirements where appropriate. Our platforms are also able to provide value added services other than processing which makes us a more valuable partner to the content providers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for these products.</w:t>
      </w:r>
    </w:p>
    <w:p>
      <w:pPr>
        <w:spacing w:after="0" w:line="19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able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IME, and xe. Ria and IME provide consumer-to-consumer money transfer services through a global network of more than 397,000 locations and our website riamoneytransfer.com and online.imeremit.com. Most of our money transfers are originated through sending agents in approximately 34 countries, with money transfer delivery completed in 160 countries. The initiation of a consumer money transfer occurs through retail agents, Company-owned stores or online, while the delivery of money transfers can occur with bank correspondents, retailer agents or from certain ATMs. Our websites allow consumers to send funds online, using a bank account or credit or debit card, for pay-out directly to a bank account or for cash pickup.</w:t>
      </w:r>
    </w:p>
    <w:p>
      <w:pPr>
        <w:spacing w:after="0" w:line="193"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In addition, we provide global account-to-account money transfer services under the brand name xe. We offer money transfer services via our websites (www.xe.com and https://transferxe.com) and through customer service representatives. xe also provides foreign currency exchange information on its currency data websites (www.xe.com and www.x-rates.com). Through xe, we offer cash management solutions and foreign currency risk management services to small-and-medium sized businesses.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13.7%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68.7</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82.3</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92.2</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107.6</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114.5</w:t>
            </w:r>
          </w:p>
        </w:tc>
      </w:tr>
    </w:tbl>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sending agent network includes a variety of agents, including Walmart, large/medium size regional retailers, convenience stores, bodegas, multi-service shops and phone centers, which are predominantly found in areas with a large immigrant population. Each Ria money transfer transaction is processed using Euronet's proprietary software system and checked for security, completeness and compliance with federal and state regulations at every step of the process. Senders can track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Bracknell, U.K.; Auckland, New Zealand; Kansas City, Missouri, USA; and Kuala Lumpur, Malaysia. We mainly operate Ria call centers in Buena Park, California; Antiguo Cuscatlán, El Salvador; Kuala Lumpur, Malaysia; Dakar, Senegal; Mumbai, India and Madrid, Spain and provide multi-lingual customer service for both our agents and consumers. Additionally, we operate a call center for xe in Sydney, Australia.</w:t>
      </w:r>
    </w:p>
    <w:p>
      <w:pPr>
        <w:spacing w:after="0" w:line="1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are one of the largest global money transfer companies measured by revenues and transaction volumes. Our Money Transfer Segment processed approximately $54 billion in money transfers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Money transfer products and services are sold primarily through three channels at agent locations, Company-owned stores and on internet enabled devices at riamoneytransfer.com, online.imeremit.com, xe.com, and https://transferxe.com (online transactions).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an online transaction, customers send funds, using a bank account or credit or debit card, for pay-out at most of our agent locations around the world or directly to a bank account.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Through our Walmart-2-Walmart Money Transfer Service, which allows customers to transfer money to and from Walmart stores in the U.S., our Ria business executes the transfers with Walmart serving as both the sending agent and payout correspondent. Ria earns a significantly lower margin from these transactions than its traditional money transfers; however, the arrangement adds a significant number of transactions to Ria’s business. The agreement with Walmart establishes Ria as the only party through which Walmart will sell U.S. domestic money transfers branded with Walmart marks. The agreement had an initial term expiring in April 2017 and was renewed for an additional three-year period until April 2020. Thereafter, it will automatically renew for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8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8,000 companies, including electric and gas utilities and telephone/wireless companies. Bill payment services are offered primarily in the U.S.</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xe offers account-to-account international payment service to high-income individuals and small-and-medium sized businesses, complementing our existing consumer-to-consumer money transfer business. xe has a multi-channel platform which allows customers to make transfers, track payments and manage their international payment activity online or through a customer service representative. xe offers cash management solutions and foreign currency risk management services to small-and-medium sized businesses. xe also offers foreign currency exchange subscriptions and advertising on its websites.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in the Money Transfer Segment are derived through the charging of a transaction fee, as well as a margin earned from purchasing foreign currency at wholesale exchange rates and selling the foreign currency to customers at retail exchange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rates. Sending agents and receiving agents for consumer-to-consumer products each earn fees for cash collection and distribution services. Euronet recognizes these fees as direct operating costs at the time of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Money Transfer Segment's strategy is to increase the volume of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our stores and agents and offering our money transfer services at select prepaid retail locations and ATMs we operate in key markets. We will continue to make investments in our systems to support this growth. Additionally, we are expanding our xe business into new markets.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 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Bhutan, Bosnia-Herzegovina, Burundi, China, Costa Rica, Cote d'Ivoire, Cuba, Djibouti, Dominican Republic, Ecuador, Egypt, Eritrea, Ethiopia, Fiji, Gabon, Ghana, Guatemala, Mali, Mauritania, Mexico, Pakistan, Philippines, Poland, Romania, Saudi Arabia, Senegal, Tunisia, Uganda, Ukraine, Vietnam, Burkina Faso, El Salvador, Gambia, Georgia, Guinea, Guinea Bissau, Honduras, India, Kenya, Kyrgyzstan, Liberia, Mauritius, Moldova, Morocco, Myanmar, Niger, Nigeria, Rwanda, Sri Lanka, Suriname, Tanzania, Thailand, Turkey, Yemen and Zambia.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together with hundreds of smaller registered and unregistered money transmitters, as well as certain major national and regional banks, financial institutions and independent sales organizations. Our competition includes The Western Union Company, the leading competitor with revenue approximately two times greater than our revenue. The Western Union Company has a significant competitive advantage due to its greater resources and access to capital for expansion. This may allow them to offer better pricing terms to customers, agents or correspondents, which may result in a loss of our current or potential customers or could force us to lower our prices. In addition to traditional money payment services, new technologies are emerging that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approximately 7,700, 7,100 and 6,600 employees as of December 31, 2019, 2018, and 2017, respectively. We believe our future success will depend in part on our ability to continue to recruit, retain and motivate qualified management, technical and administrative employees. Currently, no union represents any of our employees, except in one of our Spanish subsidiaries. We experienced no work stoppages or strikes by our workforce in 2019 and we consider relations with our employees to be good.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through retail agents, Company owned stores or online. For more discussion, see Item 1A - Risk Factors.</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our European product offerings, including in particular, our money transfer services, merchant acquiring and bill payment products, are regulated services requiring a license under the PSD2, which replaced PSD effective January 13, 2018. Key changes made by PSD2 to PSD include: extension of PSD rules on transparency to additional transactions not previously covered by PSD; enhanced cooperation and information exchange between authorities in the context of authorization and supervision of payment institutions and electronic money institutions; and increased obligations around the management of operational and security risk, increased obligations relating to complaints handling and additional requirements regarding payment security.</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PSD2 requires a license to perform certain defined "payment services" in a European country, which may be extended throughout the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 passported our U.K., German and Spanish payment services authorizations to several Member States and our Spanish authorization to several host Member States. Additionally, in the U.K., we have obtained an e-money license under the 2EMD. The e-money license allows Euronet to issue e-money and provide the same payment services as a PSD2 licensee. The e-money license imposes certain requirements similar to those of the payment services license, including minimum capital requirements, consumer disclosure and internal controls and can be passported to Member States. Our e-money license holder is currently operating in over twenty-one Member States.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Control (“OFAC”), the Bank Secrecy Act as amended by the USA PATRIOT (“BSA”), the Financial Crimes Enforcement Network (“FINCEN”), as well as any existing or future regulations that impact any aspect of our money transfer business.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Regulatory bodies in the U.S. and abroad may impose additional rules on the conduct of our Money Transfer Segment that could have a significant impact on our operations and our agent network. In this regard, the U.S. federal government has implemented U.S. federal regulations for electronic money transfers, including the Electronic Fund Transfer Act, which provides consumer protections for international remittance transfers. The Consumer Financial Protection Bureau ("CFPB"), adopted a rule that provides additional protections for consumers who transmit money internationally, including disclosure requirements, cancellation rights and error resolution procedures for consumer complaints. Under U.S. federal law, it is unlawful for any provider of consumer financial products or services to engage in unfair, deceptive or abusive acts or practices (collectively, "UDAAPs"). The CFPB has rule making and enforcement authority to prevent UDAAPs in connection with transactions for consumer financial products or services. The CFPB audits our compliance with these rules, and we may be subject to fines or penalties for violations of any of such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Segment operations involve the collection and storage of certain types of personal customer data that are subject to privacy and security laws in the U.S. and abroad. In the United States, we are subject to the Gramm-Leach-Bliley Act (“GLBA”) and various state laws including California Consumer Privacy Act ("CCPA"), which requires that financial institutions have in place policies regarding the collection, processing, storage and disclosure of information considered nonpublic personal information. Laws in other countries include the E.U.'s General Data Protection Regulation (2016/679) ("GDPR"), which became effective from May 25, 2018, as well as the laws of other countries.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GDPR establishes stringent requirements for the collection and processing of personal information of individuals within the E.U. The GDPR establishes certain rights of individuals regarding personal information processed by companies as well as requirements for information security, and imposes significant fines that may be revenue-based for violation of its requirements. Any failure on our part to meet the requirements of the GDPR could result in the imposition of fines and penalties that could affect our financial results.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comply with the GLBA and state privacy provisions. In October 2015, the European Court of Justice invalidated the European Commission’s decision of 2000 regarding the transfer of personal data from the E.U. to the United States (known as the "Safe Harbor Decision"). Despite the October 2015 ruling of the European Court of Justice, we believe we remain in compliance with E.U. regulations regarding the transfer of personal data to the United States and other jurisdictions.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subject to the Foreign Corrupt Practices Act ("FCPA"), which prohibits U.S. and other business entities from making improper payments to foreign government officials, political parties or political party officials. We are also subject to the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applicable anti-corruption laws in the jurisdictions in which we operate, such as the U.K. Bribery Act, thus potentially exposing us to liability and potential penalties in multiple jurisdictions. The anti-corruption provisions of the FCPA are enforced by the United States Department of Justice. In addition, the Securities and Exchange Commission ("SEC") requires strict compliance with certain accounting and internal control standards set forth under the</w:t>
      </w:r>
    </w:p>
    <w:p>
      <w:pPr>
        <w:jc w:val="both"/>
        <w:ind w:right="120"/>
        <w:spacing w:after="0" w:line="281" w:lineRule="auto"/>
        <w:rPr>
          <w:sz w:val="20"/>
          <w:szCs w:val="20"/>
          <w:color w:val="auto"/>
        </w:rPr>
      </w:pPr>
      <w:r>
        <w:rPr>
          <w:rFonts w:ascii="Arial" w:cs="Arial" w:eastAsia="Arial" w:hAnsi="Arial"/>
          <w:sz w:val="16"/>
          <w:szCs w:val="16"/>
          <w:color w:val="auto"/>
        </w:rPr>
        <w:t>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Failure to comply with our policies and procedures or the FCPA and other laws can expose Euronet and/or individual employees to potentially severe criminal and civil penalties. Such penalties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counter-terrorist financing compliance policy, procedures and monitoring systems, as well as our consumer protection policies and procedures.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brand names of “Ria,” “Ria Financial Services,” “Ria Envia,” “xe,” "AFEX," "IME,"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 through a Community Trademark application, Brazil, India, Australia and New Zealand. The epay trademark has issued to registration in the U.S., U.K., the E.U., Australia, New Zealand and Brazil. The trademark application in India is still pending. We cannot be certain that we are entitled to use the epay trademark in any markets other than those in which we have registered the trademark. We have filed patent applications for some of our POS top-up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28, 2020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63</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62</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65</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53</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56</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44</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Website addresses are www.euronetworldwide.com and www.eeft.com. We make available all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“For Investors” section under "Document and Charters".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40" w:hanging="316"/>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our ability to successfully achieve anticipated synergies,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00" w:right="200" w:hanging="316"/>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effected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58"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in Europe.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certain holidays and the increase in worker migration patterns. As a result of these seasonal variations, our quarterly operating results may fluctuate materially and could lead to volatility in the price of our shares.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Additionally, economic or political instability, wars, civil unrest, terrorism, epidemics (including but not limited to, Coronavirus outbreak) and natural disasters may make money transfers to, from or within a particular country more difficult. The inability to timely complete money transfers could adversely affect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current U.S. presidential administration has proposed certain actions that could have an adverse effect on our money transfer business.</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money transfer business relies on the free flow of funds along remittance corridors, and our largest corridor is the U.S. to Mexico. Our business benefits from free trade agreements such as the North American Free Trade Agreement ("NAFTA"). On September 30, 2018, the U.S. drafted a new free trade agreement with Canada and Mexico, which was signed on November 30, 2018. If the new USMCA Agreement is not approved by all three countries, then the U.S. administration may exercise its right to withdraw from NAFTA after a six month notice period. The U.S. and Mexico have approved the USMCA agreement. Any withdrawal from NAFTA or the adoption of other proposals that tax, restrict or otherwise limit remittances or transfers of money out of the U.S. could have a material adverse impact on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Concerns over slow economic growth, level of sovereign debt in many parts of the world, inflation levels, energy costs and geopolitical issues have contributed to increased volatility and diminished expectations for the world economy and the markets going forward. These factors, combined with volatile energy and commodity prices, reduced business and consumer confidence and slow recovery from high unemployment rates,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content providers and financial institutions experience decreased demand for their products and services, or if the locations where we provide services decrease in number, we will process fewer transactions, resulting in lower revenues.</w:t>
      </w:r>
    </w:p>
    <w:p>
      <w:pPr>
        <w:spacing w:after="0" w:line="188" w:lineRule="exact"/>
        <w:rPr>
          <w:sz w:val="20"/>
          <w:szCs w:val="20"/>
          <w:color w:val="auto"/>
        </w:rPr>
      </w:pPr>
    </w:p>
    <w:p>
      <w:pPr>
        <w:ind w:right="58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or leaders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We have a moderate amount of debt and other contractual commitments, and while the cost of servicing those obligations is not expected to adversely affect our business, the risk could increase if we incur more debt. We may be required to prepay our obligations under the credit facility.</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of December 31, 2019, total liabilities were $3,078 million, of which $1,091 million represents long-term debt obligations, and total assets were $4,658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93" w:lineRule="exact"/>
        <w:rPr>
          <w:sz w:val="20"/>
          <w:szCs w:val="20"/>
          <w:color w:val="auto"/>
        </w:rPr>
      </w:pPr>
    </w:p>
    <w:p>
      <w:pPr>
        <w:ind w:left="5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6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8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0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Restrictive covenants in our credit facilities may adversely affect us. Our credit facility contains two financial covenants that we must meet as defined in the agreement: (1) Consolidated Total Leverage Ratio, and (2) Consolidated Interest Coverage Ratio. To remain in compliance with our debt covenants, we may be required to increase Earnings Before Interest, Taxes, Depreciation and Amortization ("EBITDA"), repay debt, or both. We cannot assure you that we will have sufficient assets, liquidity or EBITDA to meet or avoid these obligations, which could have an adverse impact on our financial condition.</w:t>
      </w:r>
    </w:p>
    <w:p>
      <w:pPr>
        <w:spacing w:after="0" w:line="154"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62"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16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total assets include approximately $885.7 million, or 19%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If operating results in any of our key markets, including Australia, Germany, Greece, Malaysia, India, New Zealand, the U.S.,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one or more of our business lines in any affected markets and could result in our reconsidering the rate of expansion of business in those markets.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 tightened in the future with regard to repatriation of earnings and investments from these countries. If exchange control restrictions, taxes or limitations are imposed or tightened,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0"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Uncertainties in the interpretation and application of the Tax Cuts and Jobs Act of 2017 could materially affect our tax obligations and effective tax rate.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Tax Cuts and Jobs Act of 2017 (the "Act") was enacted on December 22, 2017, and it significantly affected U.S. tax law by, among other things, changing how the U.S. imposes income tax on multinational corporations. The Act contains several key tax provisions that affect us, including a one-time mandatory transition tax on previously undistributed foreign earnings, a reduction of the corporate income tax rate to 21% effective January 1, 2018, and new taxes on certain foreign sourced earnings, among others.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required to recognize the effect of the tax law changes in the period of enactment, including determining the transition tax, re-measuring our U.S. deferred tax assets and liabilities and reassessing the net realizability of our deferred tax assets and liabilities. Staff Accounting Bulletin No. 118, Income Tax Accounting Implications of the Tax Cuts and Jobs Act (“SAB 118”) allows us to record provisional amounts during a measurement period not to extend beyond one year of the enactment date. As of December 31, 2017, we recorded provisional estimates in our financial statements with respect to certain income tax effects of the Act for which the accounting is incomplete, but a reasonable estimate was able to be determined. During 2018, we continued to perform additional analysis on the application of the Act, taking into account any additional regulatory guidance that was issued by the applicable taxing authorities, which resulted in adjustments to our previously reported provisional estimates, some of which materially affected our tax obligations and our effective tax rate.</w:t>
      </w:r>
    </w:p>
    <w:p>
      <w:pPr>
        <w:spacing w:after="0" w:line="19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addition, the Act requires complex computations not previously provided in U.S. tax law, and the application of accounting guidance for such items is currently uncertain in some respects. Further, compliance with the Act and the accounting for such provisions require accumulation of information not previously required or regularly produced. The U.S. Department of Treasury has broad authority to issue regulations and interpretative guidance that may significantly impact how the law is applied and thus impact our results of operations in the period issued.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or employees of commercial enterprises for the purpose of obtaining or retaining business. We operate in many parts of the world that have experienced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import or export equipment, employ expatriates and resolve tax disputes. We also have a number of contracts with foreign governments or entities owned or controlled by foreign governments. These interactions and contracts create a risk of violation of the FCPA or other similar laws.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150"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data protection, employment, transfer pricing and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business may be adversely affected if recent developments to applicable data protection regulations in the European Union require us to cease the transfer of personal data from the European Union to the United States.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2015, the European Court of Justice invalidated the European Commission’s decision regarding the transfer of personal data from the E.U. to the United States (known as the "Safe Harbor Decision"). Prior to the ruling of the European Court of Justice, the Safe Harbor Decision provided a mechanism that facilitated personal data transfers to the United States in compliance with the E.U.’s Directive on Data Protection. Our money transfer business relies on the transfer of E.U. citizens’ personal information to the United States to enable payment of money remittance transactions to beneficiaries through our correspondent network. Despite the October 2015 ruling of the European Court of Justice, we believe we remain in compliance with E.U. regulations regarding the transfer of personal data to the United States and other jurisdictions. If we are unable to transfer personal data from the E.U. to the United States or other countries where we operate, then it could affect the manner in which we provide our services or adversely affect our financial results.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significant number of our ATMs are located in countries in the European Union that use the euro. From time to time, some of these countries, have considered leaving the European Union and adopting another currency. If such an event were to occur, the conversion of cash that we hold in banks and in our ATM network in that country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currency change does not appear to be an immediate risk under current circumstances, the Company continues to monitor developments in this area and will attempt to mitigate any adverse effects where possible.</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2016, without advance warning, the Indian government announced that it would remove from circulation two of the most often used Indian banknotes, the Rs 500 and Rs 1000 banknotes. The government expected that the notes would rapidly be replaced with a new Rs 500 note and a new Rs 2000 note, retiring (or demonetizing) completely the Rs 1000 banknote. However, distribution of the new notes was delayed, and circulation of the new notes only commenced in February 2017. While the cash supply was restored during the first months of 2017, the shortage of cash in November and December 2016 adversely impacted Euronet's 2016 fourth quarter revenue earned from ATM cash withdrawals on the more than 12,000 ATMs Euronet owns or operates as well as revenue earned from money transfer remittance payout in India. The action by the Indian government was motivated by a desire to penalize Indians holding large quantities of money earned from illicit business. Any similar action by other governments in countries in which we do business could have an adverse effect on our business.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derivative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Various provisions of our certificate of incorporation and bylaws and of Delaware corporate law may discourage, delay or prevent a change in control or takeover attempt of our company by a third party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71" w:lineRule="exact"/>
        <w:rPr>
          <w:sz w:val="20"/>
          <w:szCs w:val="20"/>
          <w:color w:val="auto"/>
        </w:rPr>
      </w:pPr>
    </w:p>
    <w:p>
      <w:pPr>
        <w:ind w:left="500" w:right="20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w:t>
      </w:r>
    </w:p>
    <w:p>
      <w:pPr>
        <w:spacing w:after="0" w:line="117" w:lineRule="exact"/>
        <w:rPr>
          <w:rFonts w:ascii="Arial" w:cs="Arial" w:eastAsia="Arial" w:hAnsi="Arial"/>
          <w:sz w:val="18"/>
          <w:szCs w:val="18"/>
          <w:color w:val="auto"/>
        </w:rPr>
      </w:pPr>
    </w:p>
    <w:p>
      <w:pPr>
        <w:ind w:left="500" w:right="20" w:hanging="316"/>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 and</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exclusive forum bylaw provision for all internal corporate claims.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An additional 8.7 million shares of Common Stock, representing approximately 16% of the shares outstanding as of December 31, 2019,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2019, we had 3.0 million and 0.5 million options and restricted stock awards outstanding, respectively, held by our directors, officers and employees, which entitle these holders to acquire an equal number of shares of our Common Stock. Of this amount, 1.7 million options are vested and exercisable as of December 31, 2019. Approximately 2.4 million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2.1 million shares could potentially be added to our total current Common Stock outstanding through the exercise of options and the vesting of restricted stock awards, which could adversely impact the trading price for our stock.</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Of the 3.5 million total options and restricted stock awards outstanding, an aggregate of 2.1 million options and restricted stock awards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award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Upon the occurrence of certain events, another 2.8 million shares of Common Stock could be issued upon conversion of the Company's convertible notes issued in March 2019; in certain situations, the number of shares issuable could be higher. While we have stated that we intend to settle any conversion of these notes by issuing cash for the principal value of the</w:t>
      </w:r>
    </w:p>
    <w:p>
      <w:pPr>
        <w:spacing w:after="0"/>
        <w:rPr>
          <w:sz w:val="20"/>
          <w:szCs w:val="20"/>
          <w:color w:val="auto"/>
        </w:rPr>
      </w:pPr>
      <w:r>
        <w:rPr>
          <w:rFonts w:ascii="Arial" w:cs="Arial" w:eastAsia="Arial" w:hAnsi="Arial"/>
          <w:sz w:val="18"/>
          <w:szCs w:val="18"/>
          <w:color w:val="auto"/>
        </w:rPr>
        <w:t>notes and issuing shares of Common Stock for the conversion value in excess of the principal, which would significantly</w:t>
      </w:r>
    </w:p>
    <w:p>
      <w:pPr>
        <w:spacing w:after="0" w:line="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reduce the number of shares issued upon conversion, if our financial condition significantly and adversely changes, we may not be able to settle as intended should the notes be converted.</w:t>
      </w:r>
    </w:p>
    <w:p>
      <w:pPr>
        <w:spacing w:after="0" w:line="18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epay Segment </w:t>
      </w:r>
      <w:r>
        <w:rPr>
          <w:rFonts w:ascii="Arial" w:cs="Arial" w:eastAsia="Arial" w:hAnsi="Arial"/>
          <w:sz w:val="18"/>
          <w:szCs w:val="18"/>
          <w:color w:val="auto"/>
        </w:rPr>
        <w:t>- We face competition in the epay business in all of our markets. A few multinational companies operate in several of our markets,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compete with them in a number of countries. In other markets, our competition is from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Money Transfer Segment - </w:t>
      </w:r>
      <w:r>
        <w:rPr>
          <w:rFonts w:ascii="Arial" w:cs="Arial" w:eastAsia="Arial" w:hAnsi="Arial"/>
          <w:sz w:val="18"/>
          <w:szCs w:val="18"/>
          <w:color w:val="auto"/>
        </w:rPr>
        <w:t>Our primary competitors in the money transfer and bill payment business include other large money transfer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money transmitters, as well as certain major national and regional banks, financial institutions and independent sales organizations. Our competitors include The Western Union Company and MoneyGram International Inc. The Western Union Company has a significant competitive advantage due to its greater resources and access to capital for expansion.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Additionally, the number of prepaid mobile top-up transactions we process has declined in certain markets. We have generally been able to mitigate these trends due to growth in the number of higher margin digital media product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7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 resulting from retailer fraud, which could have a material adverse effect on our business, financial condition and results of operations.</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With respect to our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on our business, financial condition and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we continue to expand our electronic payment product offerings, certain of those products may become regulated by state, federal or foreign laws, rules and regulations, including the U.S.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8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contracts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42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a significant portion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18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March 2018, the E.U. proposed additional regulations on cross border transactions within the E.U., including specific regulations on DCC. In December 2018, the European Commission, European Council and European Parliament agreed to legislation that requires disclosure of foreign exchange margins applicable to DCC transactions and eventual comparability between foreign exchange rates offered by DCC providers and bank card issuers. The new legislation comes into effect in April 2020. Such regulation could materially and adversely impact our financial results, by reducing the number of DCC transactions performed over our networks and the level of profit we generate from such transactions.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E.U. has passed a regulation called the GDPR that establishes stringent requirements for the collection and processing of personal information of individuals within the E.U. The GDPR came into effect across the E.U. on May 25, 2018. The GDPR established stringent requirements for the collection and processing of personal information of individuals within the E.U., established certain rights of individuals regarding personal information processed by companies as well as requirements for information security and imposed significant fines that may be revenue-based for violation of its requirements. The GDPR applies to transfers of personal information from the E.U. to countries outside the E.U., including the U.S. Any failure on our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 to meet the requirements of the GDPR could result in the imposition of fines and penalties that could materially and adversely affect our financial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payments could materially reduce our transaction levels and revenues.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developments in the field of payments may reduce the need for ATMs, prepaid product POS terminals and money transfer agents. An example of this type of development is the use of near field technology in retail transactions, which if widely accepted in a market reduces the need for cash and can negatively impact the level of ATM transactions in that market. Advances in biometric payment solutions could have similar adverse impacts.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 the need or demand for prepaid mobile airtime could materially and adversely affect our business.</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associations could materially and adversely affect our business.</w:t>
      </w:r>
    </w:p>
    <w:p>
      <w:pPr>
        <w:spacing w:after="0" w:line="16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networks and telecommunications connections, significant technical disruptions to these systems would adversely affect our revenues and financial results.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business involves the operation and maintenance of sophisticated computer networks and telecommunications connections with financial institutions, mobile phone operators, other content providers, retailers and agents. This, in turn, requires the maintenance of computer equipment and infrastructure, including telecommunications and electrical systems, and the integration and enhancement of complex software applications.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Hamburg, Milan, Buena Park, California and Kansas City, Missouri processing centers. Transactions in our Money Transfer Segment are processed through our Buena Park, California, Kansas City, Missouri, Bracknell, Auckland, and Kuala Lumpur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We are subject to security breaches of our systems. Any such breach may cause us to incur financial losses, liability, harm to our reputation, litigation, regulatory enforcement actions and limitations on our ability to conduct our businesses.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including third party vendors or by our own employees; and the use of fraudulent cards on our network of owned or outsourced ATMs and POS devices. We incorporate industry-standard encryption technology and 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money transfer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were the subject of computer security breaches, and we cannot exclude the possibility of additional breaches in the future.</w:t>
      </w:r>
    </w:p>
    <w:p>
      <w:pPr>
        <w:spacing w:after="0" w:line="11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electronic fraud issues and breaches of our systems, the possible theft and vandalism of ATMs or cash in the ATMs present risks for our ATM business. We install ATMs at high-traffic sites and consequently our ATMs are exposed to theft and vandalism, and to a new form of attack whereby the security of the ATM is breached electronically by transmitting a command to the ATM to dispense cash without a card being present. We constantly monitor ATM security and take measures to protect our systems from such attacks and other breaches, but we cannot be certain that our measures will be effective against new, rapidly developing methods used by criminal elements. Although we are insured against such risks, deductibles, exclusions or limitations in such insurance may leave us bearing some or all of any losses arising from theft or vandalism of ATMs or loss of cash due to security breaches of our ATM networks. In addition, we have experienced increases in claims under our insurance, which has increased our insurance premiums.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many of our markets to have ''sponsors'' to operate ATMs and switch ATM transactions. Our failure to secure ''sponsor'' arrangements in any of our markets that require bank sponsors could prevent us from doing business in that market.</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laws of some countries, only a licensed financial institution may operate ATMs. Because we are not a licensed financial institution outside of the E.U. we are required to have a ''sponsor'' bank to conduct ATM operations in those countries. In addition, in all of our non-E.U. markets, the rules governing national transaction switching networks owned or operated by banks, and other international financial transaction switching networks operated by organizations such as Citibank, Visa and Mastercard,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93"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a portion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2019, the amount of cash used in our ATM networks under these supply agreements was approximately $489 million. Before the cash is disbursed to ATM customers, beneficial ownership of the cash is generally retained by the cash providers, and we have no access or proprietary rights to the cash.</w:t>
      </w:r>
    </w:p>
    <w:p>
      <w:pPr>
        <w:spacing w:after="0" w:line="19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encountered difficulty in obtaining cash supply arrangements in certain of our markets, including Greece, and directly provide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OFAC, BSA, FINCEN, USA PATRIOT Act regulations, the Dodd-Frank Act or any other existing or future regulations that impact any aspect of our money transfer business.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primarily focuses on workers who migrate to foreign countries in search of employment and then send a portion of their earnings to family members in their home countries. Changes in U.S. and foreign government policies or enforcement, including changes that have been, or may be, implemented by the U.S. President or Congress, toward immigration may have a negative effect on immigration in the U.S. and other countries, which could also have an adverse impact on our money transfer revenues.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Both U.S. and foreign regulators have become increasingly aggressive in the enforcement of the various regulatory regimes applicable to our businesses and the imposition of fines and penalties in the event of violations. Our ability to continue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complying with the requirements of OFAC, BSA, FINCEN, the USA PATRIOT Act, the Dodd-Frank Act and other regulations (both U.S. and foreign) is important to our success in achieving growth and an inability to do this could have an adverse impact on our revenues and earnings. Anti-money laundering and consumer protection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services businesses.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consumer-to-consumer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Dodd-Frank Act established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and working capital. Increased volatility may make us less attractive to certain types of investors. Any of these consequences could have a material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United Kingdom's departure from the European Union could adversely affect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June 23, 2016, the U.K. held a referendum in which voters approved an exit from the E.U., commonly referred to as Brexit.</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Brexit withdrawal agreement (officially: Agreement on the withdrawal of the United Kingdom of Great Britain and Northern Ireland from the European Union and the European Atomic Energy Community) is a treaty between the European Union (EU), the European Atomic Energy Community ("Euratom"), and the United Kingdom (UK), signed on 24 January 2020, setting the terms of the withdrawal of the latter from the former two (Brexit). The withdrawal agreement provides for a transition period until December 31, 2020, during which the U.K. remains in the single market, in order to ensure frictionless trade until a long-term relationship is agreed. However, as of February 2020, the withdrawal of the U.K. and Northern Ireland from the E.U. remains subject of negotiations yet to come. If no such agreement is reached by that date and the transition period is not extended, a no-deal Brexit would remain the default outcome in 2021. Although it remains unknown what the final terms will be, it is likely that there will be greater restrictions on the terms of trade and immigration between the U.K. and E.U. countries, and increased regulatory complexities.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xe adjusted operating income decreased compared to 2018 primarily due to lower revenues due to Brexit uncertainty.</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Our EFT Processing Segment and our Money Transfer Segment operate subsidiaries that are licensed in the U.K. as payment institutions and as an e-money institution and have passported their licenses under the PSD2 and 2EMD, respectively, across the Member States. When the U.K. leaves the E.U. single market without an agreement or without an agreement to continue passporting rights, then U.K. payment and/or e-money institutions may lose their rights to continue providing services in the E.U. after December 31, 2020. These measures could potentially disrupt the markets we serve and cause us to use one of our other E.U. licenses or obtain new licenses in another E.U. member state to continue operating in the markets throughout the E.U.</w:t>
      </w:r>
    </w:p>
    <w:p>
      <w:pPr>
        <w:spacing w:after="0" w:line="16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If we are unable to shift business to one of our other E.U. licenses or obtain additional licenses by the date that the U.K. leaves the E.U., then we may have a disruption to the services that we provide in the E.U. under our U.K. licenses. Any disruption of our business following Brexit could have a material adverse effect on our business or financial results.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125" w:right="3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could adversely affect us.</w:t>
      </w:r>
    </w:p>
    <w:p>
      <w:pPr>
        <w:spacing w:after="0" w:line="3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is sensitive to the willingness of our customers to travel. A pandemic could cause disruptions in air and other forms of travel. As of the date of this filing, the COVID-19 (coronavirus) outbreak has resulted in several countries issuing travel warnings, although it has largely been concentrated in China, where the Company has a small presence. Our business is diversified across our segments and management does not believe that the disruptions would have a material adverse effect on our business, financial condition or results of operations. The extent to which our results are affected by the virus will largely depend on future developments which cannot be accurately predicted and are uncertain. This includes new information which may emerge concerning the severity of the virus and attempts to contain or treat the impact.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2019, we also have 36 principal offices in Europe, 14 in Asia Pacific, 10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processing centers for the EFT Processing Segment are located in Martinsreid, Germany; Budapest, Hungary; Mumbai, India; Beijing, China; and Karachi, Pakistan. Processing centers we operate for the epay Segment are located in Billericay, U.K.; Martinsried, Germany; Hamburg, Germany; Milan, Italy; Buena Park, California, USA; and Kansas City, Missouri, USA. Our processing centers for the Money Transfer Segment are located in Buena Park, California, USA; Bracknell, U.K.; Auckland, New Zealand; Kansas City, Missouri, USA; and Kuala Lumpur, Malaysia.</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18,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upon the Consolidated Financial Statements of the Company.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$0.02 par value per share, is quoted on the NASDAQ Global Select Market under the symbol EEFT.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At December 31, 2019, we had 44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2019, we did not issue any equity securities that were not registered under the Securities Act of 1933, which have not been previously reported in a Quarterly Report on Form 10-Q or a Current Report on Form 8-K.</w:t>
      </w:r>
    </w:p>
    <w:p>
      <w:pPr>
        <w:spacing w:after="0" w:line="3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240" w:top="125" w:right="4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2014 through December 31, 2019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2014.</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3100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10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NOTE: Index Data: Calculated (or Derived) based from CRSP NASDAQ Stock Market (U.S. Companies) and CRSP NASDAQ Financial Index, Center for Research in Security Prices (CRSP®), Graduate School of Business, The University of Chicago. Copyright 2019. Used with permission. All rights reserved.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Rights (1)</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(a))(2)</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2,388,186</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3,015,775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493,948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3,509,723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81.29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2,388,186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exercise price in this column does not take into account the restricted stock unit awards.</w:t>
      </w:r>
    </w:p>
    <w:p>
      <w:pPr>
        <w:spacing w:after="0" w:line="9" w:lineRule="exact"/>
        <w:rPr>
          <w:rFonts w:ascii="Arial" w:cs="Arial" w:eastAsia="Arial" w:hAnsi="Arial"/>
          <w:sz w:val="18"/>
          <w:szCs w:val="18"/>
          <w:color w:val="auto"/>
        </w:rPr>
      </w:pPr>
    </w:p>
    <w:p>
      <w:pPr>
        <w:ind w:left="420" w:right="700" w:hanging="412"/>
        <w:spacing w:after="0" w:line="261"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this column is 0.2 million shares remaining under our employee stock purchase plan. During 2019, Euronet issued 16,713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2019, the Company repurchased 217,829 shares at an average share price of $142.89.</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Maximum Dollar Value of</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Programs (in thousands) (1)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 October 31,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217,829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217,829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249,124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November 1 - November 30, 2019</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249,124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1 - December 31, 2019</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249,124</w:t>
            </w:r>
          </w:p>
        </w:tc>
        <w:tc>
          <w:tcPr>
            <w:tcW w:w="0" w:type="dxa"/>
            <w:vAlign w:val="bottom"/>
          </w:tcPr>
          <w:p>
            <w:pPr>
              <w:spacing w:after="0"/>
              <w:rPr>
                <w:sz w:val="1"/>
                <w:szCs w:val="1"/>
                <w:color w:val="auto"/>
              </w:rPr>
            </w:pPr>
          </w:p>
        </w:tc>
      </w:tr>
      <w:tr>
        <w:trPr>
          <w:trHeight w:val="257"/>
        </w:trPr>
        <w:tc>
          <w:tcPr>
            <w:tcW w:w="41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217,829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217,829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remaining to be repurchased at the end of the period. The Board of Directors has authorized a stock repurchase program ("Repurchase Program") allowing Euronet to repurchase up to $375 million in value or 10.0 million shares of stock through March 31, 2020. Euronet has repurchased 245.9 million of stock under the Repurchase Program. On March 11, 2019, in connection with the issuance of the Convertible Notes, the Board of Directors authorized an additional repurchase program of $120 million in value of Euronet’s common stock through March 11, 2021. On February 26, 2020, the Company put a repurchase program in place to repurchase up to $250 million in value, but not more than five million shares of common stock through February 28, 2022. Repurchases under either program may take place in the open market or in privately negotiated transactions, including derivative transactions, and may be made under a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2,750,109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2,536,629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2,252,422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1,958,615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1,772,262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2,072,694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1,497,396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111,744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95,030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80,529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70,025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357,914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204,841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(63,747)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141,094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(62,785)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(42,602)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346,695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232,131</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156,940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174,098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98,492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Earnings per share from continuing operations: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4,657,666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3,321,155</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3,140,029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2,712,872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2,192,714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1,090,939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589,782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404,012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561,663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405,472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Finance lease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40,354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9"/>
        </w:trPr>
        <w:tc>
          <w:tcPr>
            <w:tcW w:w="4700" w:type="dxa"/>
            <w:vAlign w:val="bottom"/>
            <w:gridSpan w:val="2"/>
          </w:tcPr>
          <w:p>
            <w:pPr>
              <w:ind w:left="18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340"/>
              <w:spacing w:after="0"/>
              <w:rPr>
                <w:sz w:val="20"/>
                <w:szCs w:val="20"/>
                <w:color w:val="auto"/>
              </w:rPr>
            </w:pPr>
            <w:r>
              <w:rPr>
                <w:rFonts w:ascii="Arial" w:cs="Arial" w:eastAsia="Arial" w:hAnsi="Arial"/>
                <w:sz w:val="18"/>
                <w:szCs w:val="18"/>
                <w:color w:val="auto"/>
              </w:rPr>
              <w:t>end of period (rounded)</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728,000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719,000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683,000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661,000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674,000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00" w:right="500" w:hanging="378"/>
        <w:spacing w:after="0" w:line="261"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2018 and 2017 include non-cash charges related to impairment of goodwill and acquired intangible assets of $7.0 million and $34.1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accompanying notes included elsewhere in this Annual Report on Form 10-K. This section of this Form 10-K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of Operations” in Part II, Item 7 of our Annual Report on Form 10-K for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63" w:lineRule="exact"/>
        <w:rPr>
          <w:sz w:val="20"/>
          <w:szCs w:val="20"/>
          <w:color w:val="auto"/>
        </w:rPr>
      </w:pPr>
    </w:p>
    <w:p>
      <w:pPr>
        <w:ind w:left="980" w:right="160" w:hanging="648"/>
        <w:spacing w:after="0" w:line="276"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46,070 ATMs and approximately 330,000 POS terminals across Europe, the Middle East, Asia Pacific, and the United States. We provide comprehensive electronic payment solutions consisting of ATM cash withdrawal and deposit services, ATM network participation, outsourced ATM and POS management solutions, credit and debit card outsourcing, DCC,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728,000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140" w:hanging="648"/>
        <w:spacing w:after="0" w:line="289"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names Ria, IME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397,000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5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32%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2019,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over ATMs. Revenues in this segment are also derived from cardless payment, banknote recycling, tax refund services, license fees, professional services and maintenance fees for proprietary application software and sales of related hardware.</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28% of total consolidated revenues for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63%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40% of total consolidated revenues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2019,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offers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2020.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the number of ATMs and cash deposit terminals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360" w:hanging="648"/>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value added services and other products offered by our EFT Processing Segment, including the sale of DCC, acquiring and other prepaid card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digital content;</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enter into sponsorship agreements where our licenses are not applicable;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changes in rules imposed by international card organizations such as Visa and Mastercard on card transactions on ATMs, including reductions in ATM interchange fees, restrictions on the ability to apply direct access fees, the ability to offer DCC transactions on ATMs, and increases in fees charged on DCC transactions;</w:t>
      </w:r>
    </w:p>
    <w:p>
      <w:pPr>
        <w:spacing w:after="0" w:line="73"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impact of changes in laws and regulations affecting the profitability of our services, including regulation of DCC transactions by the E.U.;</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overall market trends on ATM transactions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digital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digital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continued use of third-party providers such as ourselves to supply electronic processing solutions for existing and additional digital content;</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right="40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and digital content market, including consumer shifts between prepaid and postpaid services;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40" w:hanging="648"/>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may be able to grow organically. Competition among prepaid mobile airtime and electronic content distributors results in the increase of commissions paid to retailers and increases in retailer attrition rates. To grow, we must capture market share from other prepaid mobile airtime and electronic content distributors, offer a superior product offering and demonstrate the value of a global network. In certain markets in which we operate, many of the factors that may contribute to rapid growth (growth in electronic content, expansion of our network of retailers and access to products of mobile operators and other content providers) remain present.</w:t>
      </w:r>
    </w:p>
    <w:p>
      <w:pPr>
        <w:spacing w:after="0" w:line="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160" w:hanging="648"/>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mitigation of economic and political factors that have had an adverse impact on money transfer volumes, such as changes in the economic sectors in which immigrants work and the developments in immigration policies in the countries in which we operate;</w:t>
      </w:r>
    </w:p>
    <w:p>
      <w:pPr>
        <w:spacing w:after="0" w:line="38" w:lineRule="exact"/>
        <w:rPr>
          <w:rFonts w:ascii="Arial" w:cs="Arial" w:eastAsia="Arial" w:hAnsi="Arial"/>
          <w:sz w:val="17"/>
          <w:szCs w:val="17"/>
          <w:color w:val="auto"/>
        </w:rPr>
      </w:pPr>
    </w:p>
    <w:p>
      <w:pPr>
        <w:ind w:left="9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right="28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 and our ability to acquire, develop and implement new technologies;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10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our stores and agents worldwide;</w:t>
      </w:r>
    </w:p>
    <w:p>
      <w:pPr>
        <w:spacing w:after="0" w:line="62"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w:t>
      </w:r>
    </w:p>
    <w:p>
      <w:pPr>
        <w:spacing w:after="0" w:line="117" w:lineRule="exact"/>
        <w:rPr>
          <w:rFonts w:ascii="Arial" w:cs="Arial" w:eastAsia="Arial" w:hAnsi="Arial"/>
          <w:sz w:val="18"/>
          <w:szCs w:val="18"/>
          <w:color w:val="auto"/>
        </w:rPr>
      </w:pPr>
    </w:p>
    <w:p>
      <w:pPr>
        <w:ind w:left="980" w:right="460" w:hanging="648"/>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Second Payment Services Directive ("PSD2") and using our various licenses in the United States;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provide additional value-added products under the xe brand.</w:t>
      </w:r>
    </w:p>
    <w:p>
      <w:pPr>
        <w:spacing w:after="0" w:line="3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2019 and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Revenues</w:t>
            </w: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Operating Income (Expense)</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888,712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753,651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197,245</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769,329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743,784</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89,204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78,997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1,096,226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1,042,962</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134,790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122,526</w:t>
            </w:r>
          </w:p>
        </w:tc>
      </w:tr>
      <w:tr>
        <w:trPr>
          <w:trHeight w:val="237"/>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2,754,267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2,540,397</w:t>
            </w: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520,634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398,768</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r>
      <w:tr>
        <w:trPr>
          <w:trHeight w:val="257"/>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2,750,109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2,536,629</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475,194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357,914</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8% for 2019 compared to 2018.</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increase in revenues for 2019 was primarily due to an increase in the number of ATMs under management, along with an increase in demand for DCC, domestic and international surcharge and other value added services in our EFT Processing Segment, growth in the number of money transfers processed by the core Ria business, and an increase in the number of transactions processed by our epay subsidiaries.</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increases in operating income for 2019 was primarily due to the increase in ATMs under management, along with the increase in demand for DCC, domestic and international surcharge and other value added services, the increase in the number of money transfer transactions processed, and the increase in the number of transactions processed for epay.</w:t>
      </w:r>
    </w:p>
    <w:p>
      <w:pPr>
        <w:spacing w:after="0" w:line="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Net income attributable to Euronet for 2019 and 2018 was $346.7 million, or $6.31 per diluted share and $232.9 million, or $4.26 per diluted share,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Considering the results by country and the associated functional currency, our 2019 consolidated operating income was approximately 5% less due to changes in foreign currency exchange rates when compared to 2018. If significant, in our discussion we will refer to the impact of fluctuations in foreign currency exchange rates in our comparison of operating segment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during 2019 and 2018, of the currencies of the countries in which we have our most significant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Average Translation Rate</w:t>
            </w: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Year Ended December 31,</w:t>
            </w:r>
          </w:p>
        </w:tc>
        <w:tc>
          <w:tcPr>
            <w:tcW w:w="1380" w:type="dxa"/>
            <w:vAlign w:val="bottom"/>
            <w:tcBorders>
              <w:bottom w:val="single" w:sz="8" w:color="auto"/>
            </w:tcBorders>
          </w:tcPr>
          <w:p>
            <w:pPr>
              <w:spacing w:after="0"/>
              <w:rPr>
                <w:sz w:val="16"/>
                <w:szCs w:val="16"/>
                <w:color w:val="auto"/>
              </w:rPr>
            </w:pPr>
          </w:p>
        </w:tc>
        <w:tc>
          <w:tcPr>
            <w:tcW w:w="20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 Increase (Decrease)</w:t>
            </w:r>
          </w:p>
        </w:tc>
        <w:tc>
          <w:tcPr>
            <w:tcW w:w="0" w:type="dxa"/>
            <w:vAlign w:val="bottom"/>
          </w:tcPr>
          <w:p>
            <w:pPr>
              <w:spacing w:after="0"/>
              <w:rPr>
                <w:sz w:val="1"/>
                <w:szCs w:val="1"/>
                <w:color w:val="auto"/>
              </w:rPr>
            </w:pPr>
          </w:p>
        </w:tc>
      </w:tr>
      <w:tr>
        <w:trPr>
          <w:trHeight w:val="71"/>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6"/>
                <w:szCs w:val="6"/>
                <w:color w:val="auto"/>
              </w:rPr>
            </w:pPr>
          </w:p>
        </w:tc>
        <w:tc>
          <w:tcPr>
            <w:tcW w:w="14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80" w:type="dxa"/>
            <w:vAlign w:val="bottom"/>
            <w:vMerge w:val="restart"/>
          </w:tcPr>
          <w:p>
            <w:pPr>
              <w:jc w:val="right"/>
              <w:ind w:right="892"/>
              <w:spacing w:after="0"/>
              <w:rPr>
                <w:sz w:val="20"/>
                <w:szCs w:val="20"/>
                <w:color w:val="auto"/>
              </w:rPr>
            </w:pPr>
            <w:r>
              <w:rPr>
                <w:rFonts w:ascii="Arial" w:cs="Arial" w:eastAsia="Arial" w:hAnsi="Arial"/>
                <w:sz w:val="14"/>
                <w:szCs w:val="14"/>
                <w:b w:val="1"/>
                <w:bCs w:val="1"/>
                <w:color w:val="auto"/>
              </w:rPr>
              <w:t>2018</w:t>
            </w: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0.6954</w:t>
            </w:r>
          </w:p>
        </w:tc>
        <w:tc>
          <w:tcPr>
            <w:tcW w:w="9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0.7476</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1400" w:type="dxa"/>
            <w:vAlign w:val="bottom"/>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1.2771</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1.3352</w:t>
            </w: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1.1194</w:t>
            </w:r>
          </w:p>
        </w:tc>
        <w:tc>
          <w:tcPr>
            <w:tcW w:w="9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1.1809</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1400" w:type="dxa"/>
            <w:vAlign w:val="bottom"/>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0.0034</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0.0037</w:t>
            </w:r>
          </w:p>
        </w:tc>
        <w:tc>
          <w:tcPr>
            <w:tcW w:w="2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0.0142</w:t>
            </w:r>
          </w:p>
        </w:tc>
        <w:tc>
          <w:tcPr>
            <w:tcW w:w="9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0.0147</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Malaysian ringgit</w:t>
            </w:r>
          </w:p>
        </w:tc>
        <w:tc>
          <w:tcPr>
            <w:tcW w:w="1400" w:type="dxa"/>
            <w:vAlign w:val="bottom"/>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0.2416</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0.2482</w:t>
            </w: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1400" w:type="dxa"/>
            <w:vAlign w:val="bottom"/>
            <w:tcBorders>
              <w:bottom w:val="single" w:sz="8" w:color="CCEEFF"/>
            </w:tcBorders>
            <w:shd w:val="clear" w:color="auto" w:fill="CCEEFF"/>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0.6591</w:t>
            </w:r>
          </w:p>
        </w:tc>
        <w:tc>
          <w:tcPr>
            <w:tcW w:w="98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0.6924</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2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400" w:type="dxa"/>
            <w:vAlign w:val="bottom"/>
          </w:tcPr>
          <w:p>
            <w:pPr>
              <w:jc w:val="right"/>
              <w:ind w:right="11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0.2606</w:t>
            </w:r>
          </w:p>
        </w:tc>
        <w:tc>
          <w:tcPr>
            <w:tcW w:w="9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0.2774</w:t>
            </w: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891"/>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2019 and 2018 -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65"/>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Increase</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9"/>
              </w:rPr>
              <w:t>(Decrease)</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888,712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753,651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135,061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397,132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366,977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87,603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75,791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11,812</w:t>
            </w: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35,518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46,925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71,819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66,713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5,106</w:t>
            </w: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592,072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556,406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35,666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296,640</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197,245</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99,395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2,721</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46,070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40,354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5,716</w:t>
            </w:r>
          </w:p>
        </w:tc>
        <w:tc>
          <w:tcPr>
            <w:tcW w:w="136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44,756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40,094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4,662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EFT Processing Segment total revenues for 2019 were $888.7 million, an increase of $135.1 million or 18% as compared to 2018. The increase in total revenues is primarily due to an increase in the number of ATMs under management and additional DCC and surcharge revenues. Foreign currency movements decreased total revenues for 2019 by approximately 45.4 million as compared to 2018.</w:t>
      </w:r>
    </w:p>
    <w:p>
      <w:pPr>
        <w:spacing w:after="0" w:line="7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Average monthly revenues per ATM were $1,655 for 2019 compared to $1,566 for 2018. Revenues per transaction were $0.29 for 2019 and $0.28 for 2018. The increases in average monthly revenues per ATM and revenues per transaction were attributable to the revenue growth from DCC, which earns higher revenues per transaction than other ATM or card based services, surcharges partially offset by the U.S. dollar strengthening against key foreign currencies.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EFT Processing Segment direct operating costs were $397.1 million for 2019, an increase of $30.2 million or 8% as compared to 2018. Direct operating costs in the EFT Processing Segment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The increase in direct operating costs was primarily due to the increase in the number of ATMs under management. Foreign currency movements decreased direct operating costs for 2019 by approximately $22.0 million as compared to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which is calculated as revenues less direct operating costs, was $491.6 million for 2019 compared to $386.7 million for 2018. The increase in gross profit was primarily due to the growth in revenues from the increases in ATMs under management, DCC transactions and domestic and international surcharge. Gross profit as a percentage of revenues (“gross margin”) was 55.3% and 51.3% for 2019 and 2018, respectively. The increase in gross margin was attributable to the increases in DCC transactions and domestic and international surcharge.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Salaries and benefits increased $11.8 million or 16% for 2019 compared to 2018. The increase in salaries and benefits was primarily attributable to additional headcount to support an increase in the number of ATMs and POS devices under management. As a percentage of revenues, these costs decreased to 9.9% for 2019 from 10.1% for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Selling, general and administrative expenses for 2019 were $35.5 million, a decrease of $11.4 million or 24% as compared to 2018. As a percentage of revenues, these expenses decreased to 4.0% for 2019 from 6.2% for 2018. The decrease was primarily due to non-recurring VAT benefits.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Depreciation and amortization expense increased $5.1 million for 2019 compared to 2018. The increase was primarily attributable to the deployment of additional ATMs and software assets. As a percentage of revenues, depreciation and amortization expense decreased to 8.1% for 2019 from 8.9% for 2018. The decrease is primarily due to certain intangible assets becoming fully depreciated in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EFT Processing Segment operating income for 2019 was $296.6 million, an increase of $99.4 million or 50% as compared to 2018. Operating income for 2019 increased primarily due to higher revenues from the additional number of ATMs under management, growth in revenues earned from DCC, surcharges and other value-added service transactions.</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Operating income as a percentage of revenues (“operating margin”) was 33.4% for 2019 compared to 26.2% for 2018. The increase in operating margin was primarily due to higher operating revenues partially offset by expenses incurred to support the increased revenues and additional ATMs under management. Operating income per transaction increased to $0.10 for 2019 from $0.07 for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769,329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743,784</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25,545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576,757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564,252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12,505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61,540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57,748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3,792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35,054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35,749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6,774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7,038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680,125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664,787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15,338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89,204</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78,997</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10,207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(billions)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epay Segment total revenues for 2019 were $769.3 million, an increase of $25.5 million or 3% as compared to 2018. The increase in total revenues was primarily due to an increase in the number of transactions processed. Foreign currency movements decreased total revenues by approximately $35.0 million as compared to 2018.</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Revenues per transaction decreased to $0.50 for 2019 from $0.65 for 2018. The decrease in revenues per transaction was primarily driven by the increase in the number of mobile transactions processed in a region where we generally earn lower revenues per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epay Segment direct operating costs were $576.8 million for 2019, an increase of $12.5 million or 2% as compared to 2018. Direct operating costs in our epay Segment include the commissions we pay to retail merchants for the distribution and sale of prepaid mobile airtime and other prepaid products, expenses incurred to operate POS terminals and the cost of vouchers sold and physical gifts fulfilled. The increase in direct operating costs was primarily due to the increase in the number of transactions processed.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Gross profit was $192.6 million for 2019 compared to $179.5 million for 2018. The increase in gross profit was primarily due to growth in transactions processed. Gross margin increased to 25% for 2019 from 24.1% for 2018, due to overall growth of the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Salaries and benefits increased $3.8 million or 7% for 2019 as compared to 2018. The increase was primarily due to higher headcount in an effort to grow the segment. As a percentage of revenues, salaries and benefits remained relatively flat at 8.0% for 2019 compared to 7.8% for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general and administrative expenses for 2019 were $35.1 million, a decrease of $0.7 million or 2% as compared to 2018. Selling, general and administrative expenses for 2019 decreased mainly due to cost control efforts. As a percentage of revenues, these expenses remained relatively flat at 4.6% for 2019 compared to 4.8% for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Depreciation and amortization expense primarily represents depreciation of POS terminals we install in retail stores and amortization of acquired intangible assets. Depreciation and amortization expense decreased $0.3 million or 4% in 2019 as compared to 2018. The decrease is primarily due to certain fixed assets becoming fully depreciated in 2019. As a percentage of revenues, these expenses remained flat at 0.9% for both 2019 and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epay Segment operating income for 2019 was $89.2 million, an increase of $10.2 million or 13% as compared to 2018. Operating margin increased to 11.6% for 2019 from 10.6% for 2018. Operating income per transaction decreased to $0.06 for 2019 from $0.07 for 2018. The increases of operating income and margin were mainly due to an increase in the portion of lower-margin mobile transactions.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54"/>
              <w:spacing w:after="0" w:line="153" w:lineRule="exact"/>
              <w:rPr>
                <w:sz w:val="20"/>
                <w:szCs w:val="20"/>
                <w:color w:val="auto"/>
              </w:rPr>
            </w:pPr>
            <w:r>
              <w:rPr>
                <w:rFonts w:ascii="Arial" w:cs="Arial" w:eastAsia="Arial" w:hAnsi="Arial"/>
                <w:sz w:val="14"/>
                <w:szCs w:val="14"/>
                <w:b w:val="1"/>
                <w:bCs w:val="1"/>
                <w:color w:val="auto"/>
              </w:rPr>
              <w:t>Increase</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1,096,226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1,042,962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53,264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586,730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560,930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25,800</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208,792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194,808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13,984</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133,068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7,421</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32,846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32,002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961,436</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920,436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41,000</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134,790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122,526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12,264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107.6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Money Transfer Segment total revenues were $1,096.2 million for 2019, an increase of $53.3 million or 5% as compared to 2018. The increase in revenues was primarily due to increases in the number of money transfers processed, driven by growth in our U.S. and foreign agent and correspondent payout networks. Revenues per transaction was essentially flat at $9.57 for 2019 as compared to $9.69 for 2018. Foreign currency movements decreased total revenues for 2019 by approximately $26.7 million as compared to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Money Transfer Segment direct operating costs were $586.7 million for 2019, an increase of $25.8 million or 5% as compared to 2018. Direct operating costs in the Money Transfer Segment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in 2019 was primarily due to growth in the number of money transfer transactions processed in both the U.S. and foreign markets, partially offset by the impact of the U.S. dollar strengthening against key foreign currencies.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Gross profit was $509.5 million for 2019 compared to $482.0 million for 2018. The increase in gross profit was primarily due to growth in the number of money transfer transactions processed in both the U.S. and foreign markets. Gross margins remained flat at 46.5% for 2019 compared to 46.2% for 2018.</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Salaries and benefits increased $14.0 million or 7% for 2019 compared to 2018. The increase in salaries and benefits was primarily due to the expansion of our operations. As a percentage of revenues, salaries and benefits increased slightly to 19.0% for 2019 from 18.7% for 2018.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Selling, general and administrative expenses for 2019 were $133.1 million, an increase of $7.4 million or 6% as compared to 2018. The increase was primarily due to expenses incurred to support the growth of our money transfer services and the expansion of new products in both the U.S. and foreign markets. As a percentage of revenues, selling, general and administrative expenses remained flat at 12.1% for 2019 compared to 12.0% for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 impairment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Acquired intangible assets impairment charge for 2018 was $7.0 million due to the Company's decision to re-brand the HiFX trade name to xe. There was no impairment recorded in 2019.</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Goodwill is not amortized but instead is at least annually tested for impairment as of October 1, or more frequently if events or circumstances indicate that the carrying amount of goodwill may be impaired. The Company first performed a qualitative review of all reporting units to determine that it was more likely than not that the fair value of each of the reporting units exceeded the carrying value. The Company determined that it was more likely than not that the fair value of the reporting units exceeded the carrying value except for one reporting unit. A quantitative impairment test was performed for the one reporting unit. When performing the quantitative impairment test, the fair value is estimated with the income method by using the discounted cash flows and use of the guideline public company method using market multiple valuation techniques.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2019, the fair value of the reporting unit exceeded the carrying value indicating no impairment.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estimates of fair value require significant judgment. We based our fair value estimates on assumptions that we believe to be reasonable but that are inherently uncertain, including estimates of future growth rates and operating margins and assumptions about the overall economic climate and the competitive environment for our business units. There can be no assurance that our estimates and assumptions made for purposes of our goodwill impairment testing as of the time of testing will prove to be accurate predictions of the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Depreciation and amortization expense increased $0.8 million for 2019 compared to 2018. Depreciation and amortization primarily represent amortization of acquired intangible assets and depreciation of money transfer terminals, computers and software, leasehold improvements and office equipment. For 2019, depreciation and amortization expense increased compared to 2018 primarily due to investments made to support the growth in the business. As a percentage of revenues, depreciation and amortization expense decreased to 3.0% for 2019 from 3.1% for 2018, primarily due to certain intangible assets becoming fully amortized in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Money Transfer Segment operating income was $134.8 million for 2019, an increase of $12.3 million or 10% as compared to 2018. Operating income increased primarily due to the growth in the number of money transfers processed. Operating margin increased to 12.3% for 2019 from 11.7%. Operating income per transaction increased to $1.18 for 2019 from $1.14 for 2018. The increase was primarily due to the growth in the number of money transfers processed which did not require similar increases in support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152"/>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vMerge w:val="restart"/>
          </w:tcPr>
          <w:p>
            <w:pPr>
              <w:jc w:val="right"/>
              <w:ind w:right="656"/>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2019 Increase (Decrease)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36,809</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32,085</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8,326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8,501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45,440</w:t>
            </w:r>
          </w:p>
        </w:tc>
        <w:tc>
          <w:tcPr>
            <w:tcW w:w="2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40,854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Overall, operating expenses for Corporate Services increased 11% for 2019 as compared to 2018. The increase is primarily attributable to the increase in salaries and benefits expenses mainly attributable to an increase in incentive compensation related to the Company's performance relative to its targets, partly offset by a decrease in selling, general and administrative expense primarily due to a decrease in professional services.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Year-over-Year Change</w:t>
            </w:r>
          </w:p>
        </w:tc>
        <w:tc>
          <w:tcPr>
            <w:tcW w:w="0" w:type="dxa"/>
            <w:vAlign w:val="bottom"/>
          </w:tcPr>
          <w:p>
            <w:pPr>
              <w:spacing w:after="0"/>
              <w:rPr>
                <w:sz w:val="1"/>
                <w:szCs w:val="1"/>
                <w:color w:val="auto"/>
              </w:rPr>
            </w:pPr>
          </w:p>
        </w:tc>
      </w:tr>
      <w:tr>
        <w:trPr>
          <w:trHeight w:val="152"/>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40" w:type="dxa"/>
            <w:vAlign w:val="bottom"/>
            <w:gridSpan w:val="2"/>
          </w:tcPr>
          <w:p>
            <w:pPr>
              <w:jc w:val="center"/>
              <w:ind w:left="134"/>
              <w:spacing w:after="0" w:line="153"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1,969</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(36,237)</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(37,573)</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unconsolidated affiliates</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Other gains, net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(9,820)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720" w:type="dxa"/>
            <w:vAlign w:val="bottom"/>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2,701</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(26,655)</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(41,387)</w:t>
            </w:r>
          </w:p>
        </w:tc>
        <w:tc>
          <w:tcPr>
            <w:tcW w:w="2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received interest on cash balances held with banks. The increase is interest income in 2019 is primarily due to an increase in those balances.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net</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2019, the Company provided a notice of redemption on the outstanding Retired Convertible Notes. Prior to the redemption date, approximately $352.4 million principal amount of the Retired Convertible Notes was submitted for conversion for the remainder. The Company settled the principal amount with cash and issuing shares of Common Stock valued at $147.24 per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share. In accordance with ASC 470, the Company recognized a loss of $9.8 million on the conversion and redemption of the debt, representing the difference between the fair value of the Retired Convertible Notes and the carrying value of the Retired Convertible Notes at the time of conversion.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11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recorded a net foreign currency exchange gain of $2.7 million in 2019 and a loss of $26.7 million in 2018. These realized and unrealized foreign currency exchange gains and losses primarily reflect the respective weakening and strengthening of the U.S. dollar against the currencies of the countries in which we operate.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433,807</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294,916</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1"/>
                <w:szCs w:val="21"/>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(87,112)</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(62,785)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346,695</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232,131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433,807</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294,916</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520" w:type="dxa"/>
            <w:vAlign w:val="bottom"/>
          </w:tcPr>
          <w:p>
            <w:pPr>
              <w:spacing w:after="0"/>
              <w:rPr>
                <w:sz w:val="21"/>
                <w:szCs w:val="21"/>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Other gains, net</w:t>
            </w:r>
          </w:p>
        </w:tc>
        <w:tc>
          <w:tcPr>
            <w:tcW w:w="5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(9,820)</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520" w:type="dxa"/>
            <w:vAlign w:val="bottom"/>
          </w:tcPr>
          <w:p>
            <w:pPr>
              <w:spacing w:after="0"/>
              <w:rPr>
                <w:sz w:val="21"/>
                <w:szCs w:val="21"/>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 as adjusted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440,926</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328,593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(87,112)</w:t>
            </w:r>
          </w:p>
        </w:tc>
        <w:tc>
          <w:tcPr>
            <w:tcW w:w="22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(62,785)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benefit (expense) attributable to 2017 U.S. tax reform</w:t>
            </w:r>
          </w:p>
        </w:tc>
        <w:tc>
          <w:tcPr>
            <w:tcW w:w="5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25,728</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43"/>
        </w:trPr>
        <w:tc>
          <w:tcPr>
            <w:tcW w:w="686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520" w:type="dxa"/>
            <w:vAlign w:val="bottom"/>
          </w:tcPr>
          <w:p>
            <w:pPr>
              <w:spacing w:after="0"/>
              <w:rPr>
                <w:sz w:val="21"/>
                <w:szCs w:val="21"/>
                <w:color w:val="auto"/>
              </w:rPr>
            </w:pPr>
          </w:p>
        </w:tc>
        <w:tc>
          <w:tcPr>
            <w:tcW w:w="1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Adjust: Income tax benefit (expense) attributable to foreign currency exchange (loss) gain,</w:t>
            </w:r>
          </w:p>
        </w:tc>
        <w:tc>
          <w:tcPr>
            <w:tcW w:w="5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5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10,990</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(123,830)</w:t>
            </w:r>
          </w:p>
        </w:tc>
        <w:tc>
          <w:tcPr>
            <w:tcW w:w="2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(85,296)</w:t>
            </w:r>
          </w:p>
        </w:tc>
        <w:tc>
          <w:tcPr>
            <w:tcW w:w="0" w:type="dxa"/>
            <w:vAlign w:val="bottom"/>
          </w:tcPr>
          <w:p>
            <w:pPr>
              <w:spacing w:after="0"/>
              <w:rPr>
                <w:sz w:val="1"/>
                <w:szCs w:val="1"/>
                <w:color w:val="auto"/>
              </w:rPr>
            </w:pPr>
          </w:p>
        </w:tc>
      </w:tr>
      <w:tr>
        <w:trPr>
          <w:trHeight w:val="251"/>
        </w:trPr>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5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calculate our effective income tax rate by dividing income tax expense by pre-tax book income. Our effective income tax rates were 20.1%and 21.3% for the years ended December 31, 2019 and 2018, respectively. On December 22, 2017, the U.S. enacted into law what is informally called the Tax Cuts and Jobs Act of 2017 ("U.S. Tax Reform"). In 2017 we had a net provisional tax expense of $41.6 million resulting from U.S. Tax Reform. In the fourth quarter of 2018, we adjusted our accounting for the tax effects of U.S. Tax Reform. The net provisional tax expense was decreased in that period by approximately $12.3 million to $29.3 million. In the fourth quarter of 2019 after additional regulatory guidance was issued by applicable taxing authorities, the Company elected to claim U.S. tax credits for foreign tax paid on foreign source income, which reduced the net tax expense by $25.7 million for a total tax expense from U.S. Tax Reform of $3.6 million. See Note 13, Income Taxes, to the Consolidated Financial Statements for further information. The effective income tax rates were also significantly influenced by the impact of foreign currency exchange gains (losses). Excluding these items from pre-tax income, as well as the related tax effects for these items, our adjusted effective income tax rates were 28.1% and 26.0% for the years ended December 31, 2019 and 2018, respectively.</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effective income tax rate, as adjusted, for 2019 and 2018 was higher than the applicable statutory income tax rate of 21% primarily because of higher income tax rates in foreign countries where we have significant operations and the tax effects of the global intangible low-taxed income ("GILTI") provision of U.S. Tax Reform. The effective income tax rate, as adjusted, for 2019 is higher than 2018 as a result of substantially more foreign earnings of the Company being subject to higher foreign statutory income tax rates.</w:t>
      </w:r>
    </w:p>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Income before income taxes, as adjusted, income tax expense, as adjusted and effective income tax rate, as adjusted, are non-U.S. GAAP financial measures that management believes are useful for understanding why our effective income tax rates are significantly different than would be expected. These non-U.S. GAAP measures are used by management to conduct and evaluate its business during its regular review of operating results for the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w:t>
      </w:r>
    </w:p>
    <w:p>
      <w:pPr>
        <w:spacing w:after="0" w:line="229"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Net loss attributable to noncontrolling interests was $0.1 million for 2019 and $0.7 million for 2018. Noncontrolling interests represent the elimination of net income or loss attributable to the minority shareholders’ portion of the following consolidated subsidiaries that are not wholly owned: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India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income attributable to Euronet was $346.7 million and $232.9 million for 2019 and 2018, respectively. Net income attributable to Euronet increased $113.9 million in 2019 compared to 2018. The increase in net income for 2019 was primarily due to an increase in operating income of $117.3 million, an increase of $29.4 million in net foreign currency exchange gain, a decrease in interest expense of $1.3 million, an increase in interest income of $0.6 million, and an increase in income from unconsolidated affiliates of $0.1 million. The increases were partly offset by an increase in income tax expense of $24.3 million, an increase in net loss attributable to early retirement of debt of $9.8 million, and a decrease of net loss attributable to noncontrolling interests of $0.7 million.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We recorded a net loss on translation adjustments of $13.9 million in 2019 and a loss of $56.7 million in 2018. During 2019 and 2018, the U.S. dollar strengthened compared to most currencies, resulting in translation losses which were recorded in comprehensive income.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2019, we had working capital of $1,284.8 million, which is calculated as the difference between total current assets and total current liabilities, compared to working capital of $709.2 million as of December 31, 2018. The increase in working capital is primarily due to the issuance Convertible Notes and Senior Notes in 2019. Our ratio of current assets to current liabilities was 1.79 and 1.51 as of December 31, 2019 and December 31, 2018, respectively.</w:t>
      </w:r>
    </w:p>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December 31, 2019, we had approximately $665.6 million of our own cash in use or designated for use in our ATM network, which is recorded in ATM cash on Euronet's Consolidated Balance Sheet.</w:t>
      </w:r>
    </w:p>
    <w:p>
      <w:pPr>
        <w:spacing w:after="0" w:line="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had cash and cash equivalents of $1,817 million as of December 31, 2019, of which $1,504 million was held outside of the U.S.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(in thousands):</w:t>
      </w:r>
    </w:p>
    <w:p>
      <w:pPr>
        <w:spacing w:after="0" w:line="171"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37465</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504,488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397,233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416,298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2,024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Increase in cash and cash equivalents and restricted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686,427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230,434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flows provided by operating activities were $504.5 million for 2019 compared to $397.2 million for 2018. The increase in operating cash flows was primarily due to improved operating results, partly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Cash flows used in investing activities were $229.0 million for 2019 compared to $132.3 million for 2018. The increase was primarily due to acquisitions and increased capital expenditures mainly related to our ATM network expansion. During 2019, we used $94.2 million for acquisitions. The Company completed four investments in 2019 and two investments in 2018. The acquisitions have been accounted for in accordance with U.S. GAAP and the results of operations have been included from the respective dates of acquisition. Purchases of property and equipment were $131.3 million and $112.5 million for 2019 and 2018, respectively. Cash used for software development and long-term assets totaled $7.3 million for 2019 and $8.5 million for 2018. Other investing activities consist mainly of proceeds from the sale of property and equipment of $3.7 million for 2019 and $1.6 million in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provided by financing activities were $416.3 million for 2019 compared to $2.0 million for 2018. We generally borrow amounts under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seasonally to fund our independent ATM network as well as several times each month to support the short-term cash needs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Money Transfer segment in order to fund the correspondent network in advance of collecting remittance amounts from the agency network. These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Money Transfer Segment are repaid over a very short period of time, generally within a few days. Net borrowings on debt obligations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$500.2 million in 2019 compared to net repayments of $170.5 million for 2018. The increase in net borrowings as compared to 2018 was primarily the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borrowing additional amounts under the revolving credit facility for ATM cash needs. Additionally, for 2019 and 2018, we paid $6.5 million and $6.1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for finance lease obligations. We used $74.5 million and $177.9 million for the repurchase of shares during 2019 and 2018,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$74.5 million repurchased shares, $70.9 million in value of Euronet Common Stock were under the Repurchase Program. Further, we received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of $15.0 million and $18.6 million during 2019 and 2018, respectively, for the issuance of stock in connection with our Stock Incentive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new $1.0 billion unsecured credit agreement (the "Credit Facility") that expires on October 17, 2023. The Credit Facility allows for borrowings in Australian Dollars, British Pounds Sterling, Canadian Dollars, Czech Koruna, Danish Krone, Euros, Hungarian Forints, Japanese Yen, New Zealand Dollars, Norwegian Krone, Polish Zlotys, Swedish Krona, Swiss Francs, and U.S. Dollars. The revolving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of December 31, 2019, fees and interest on borrowings are based upon the Company's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2019, we had no borrowings and the outstanding stand-by letters of credit under the revolving credit facility were $53.0 million. The remaining $947.0 million under the revolving credit facility was available for borrowing. As of December 31, 2019, the weighted average interest rate under the revolving credit facility was 2.7%, excluding amortization of deferred financing costs.</w:t>
      </w:r>
    </w:p>
    <w:p>
      <w:pPr>
        <w:spacing w:after="0" w:line="73"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u w:val="single" w:color="auto"/>
          <w:color w:val="auto"/>
        </w:rPr>
        <w:t>Convertible debt</w:t>
      </w:r>
      <w:r>
        <w:rPr>
          <w:rFonts w:ascii="Arial" w:cs="Arial" w:eastAsia="Arial" w:hAnsi="Arial"/>
          <w:sz w:val="17"/>
          <w:szCs w:val="17"/>
          <w:color w:val="auto"/>
        </w:rPr>
        <w:t xml:space="preserve"> — On March 18, 2019, we completed the sale of $525.0 million in principal amount of Convertible Senior Notes due 2049 (“Convertible Notes”), and retired $401.5 million Convertible Senior Notes that would have been due in 2044 ("Retired Notes"). The Retired Notes had an interest rate of 1.5% per annum payable semi-annually in April and October, and were convertible into shares of Euronet Common Stock</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Convertible Notes were issued pursuant to an indenture, dated as of March 18, 2019 (the “Indenture”), by and between the Company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the Company to repurchase for cash all or part of their Convertible Notes on each of March 15, 2025, 2029, 2034, 2039 and 2044 at a repurchase price equal to 100% of the principal amount of the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December 31, 2019, the Company has outstanding €600 million ($673.4 million) principal amount of the Senior Notes. In addition, the Company</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may redeem some or all of these notes on or after February 22, 2026 at their principal amount plus any accrued and unpaid interest.</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$6.2 million and $38.5 million outstanding under these other obligation arrangements as of December 31, 2019 and 2018, respectively. Short-term debt obligations at December 31, 2019 were primarily comprised of $6.2 million due in 2020 under these other obligation arrangements.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2019 were $131.3 million. These capital expenditures were primarily for the purchase of ATMs to expand our IAD network in Europe, the purchase and installation of ATMs in key under-penetrated markets, the purchase of POS terminals for the epay and Money Transfer Segments, and office, data center and company store computer equipment and software. Total capital expenditures for 2020 are currently estimated to be approximately $145 million to $150 million.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Board of Directors has authorized a stock repurchase program ("Repurchase Program"), allowing Euronet to repurchase up to $375 million in value or 10.0 million shares of stock through March 31, 2020. On March 11, 2019, in connection with the issuance of the Convertible Notes, the Board of Directors authorized an additional repurchase program of $120 million in value of the Company's common stock through March 11, 2021. Repurchases under either program may take place in the open market or in privately negotiated transactions, including derivative transactions, and may be made under a Rule 10b5-1 plan. For the year end December 31, 2019, the Company repurchased 0.5 million shares under the Repurchase Program at a weighted average purchase price of $143.76 for a total value of $70.9 million. For the year ended December 31, 2018, the Company repurchased 2.0 million shares under the Repurchase Program at a weighted average purchase price of $86.10 for a total value of $175.0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19,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2019.</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1,278,106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13,197</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1,212,119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392,525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125,231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154,609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69,580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43,105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1,699,384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153,396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191,402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98,440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1,256,146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2019 and assumes no change in our revolving credit borrowings prior to the maturity date of our credit facility. For additional information on debt obligations, see Note 10, Debt Obligations, to the Consolidated Financial Statements.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$44.5 million as of December 31, 2019.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financial statements in conformity with U.S. GAAP which requires management to make estimates, judgments and assumptions that affect the amounts reported in the Consolidated Financial Statements and accompanying notes. Management considers an accounting policy and estimate to be critical if it requires the use of assumptions that were uncertain at the time the estimate was made and if changes in the estimate or selection of a different estimate could have a material effect on the Company’s financial condition and results of operations. Our most critical estimates and assumptions are used for computing income taxes, allocating the purchase price to assets acquired and liabilities assumed in acquisitions, and potential impairment of long-lived assets and goodwill.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materially from these estimates. For a summary of all of the Company’s significant accounting policies, see Note 3, Summary of Significant Accounting Policies and Practices, to the accompanying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deferred income tax effects of transactions reported in different periods for financial reporting and income tax return purposes are recorded under the asset and liability method prescribed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$278.6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partially offset by a valuation allowance of $83.2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2019.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 actual outcomes. It is reasonably possible that amounts reserved for potential exposure could change significantly as a result of the conclusion of tax examinations and, accordingly, materially affect our operating results.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we allocate the acquisition purchase price of an acquired entity to the assets acquired, including identifiable intangibles, and liabilities assumed based on their estimated fair values at the date of acquisition. Management applies various valuation methodologies to these acquired assets and assumed liabilities which often involve a significant degree of judgment, particularly when liquid markets do not exist for the particular item being valued. Examples of such items include loans, deposits, identifiable intangible assets and certain other assets and liabilities acquired or assumed in business combinations. Management uses significant estimates and assumptions to value such items, including, projected cash flows and discount rates. For larger or more complex acquisitions, we generally obtain third-party valuations to assist us in estimating fair values. The use of different valuation techniques and assumptions could change the amounts and useful lives assigned to the assets and liabilities acquired and related amortization expense.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w:t>
      </w:r>
      <w:r>
        <w:rPr>
          <w:rFonts w:ascii="Arial" w:cs="Arial" w:eastAsia="Arial" w:hAnsi="Arial"/>
          <w:sz w:val="17"/>
          <w:szCs w:val="17"/>
          <w:i w:val="1"/>
          <w:iCs w:val="1"/>
          <w:color w:val="auto"/>
        </w:rPr>
        <w:t>,</w:t>
      </w:r>
      <w:r>
        <w:rPr>
          <w:rFonts w:ascii="Arial" w:cs="Arial" w:eastAsia="Arial" w:hAnsi="Arial"/>
          <w:sz w:val="17"/>
          <w:szCs w:val="17"/>
          <w:color w:val="auto"/>
        </w:rPr>
        <w:t xml:space="preserve"> we evaluate the carrying value of our indefinite-lived assets, including goodwill, at least annually or more frequently whenever events or changes in circumstances indicate that the asset may be impaired, or in the case of goodwill, that the fair value of the reporting unit may be less than its carrying amount. Impairment tests are performed annually during the fourth quarter and are performed at the reporting unit level. Our annual process for evaluating goodwill requires us to perform a qualitative assessment for all reporting units not subjected directly to the quantitative goodwill impairment test. The qualitative factors evaluated by the Company include: economic conditions of the local business environment, overall financial performance, sensitivity analysis from the most recent quantitative test, and other entity specific factors as deemed appropriate. If we determine a quantitative goodwill impairment test is appropriate, the test involves comparing the fair value of a reporting unit to its carrying amount, including goodwill, after any long-lived asset impairment charges. Generally, the fair value represents discounted projected future cash flows and market multiple of earnings. If the carrying amount of the reporting unit's goodwill exceeds the fair value of the goodwill, an impairment loss is recognized in an amount equal to the excess.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material non-cash impairment charges during the year in which these determinations take place.</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Acquired finite-lived intangible assets are amortized over their estimated useful lives. We evaluate the recoverability of our intangible assets for possible impairment whenever events or circumstances indicate that the carrying amount of such assets may not be recoverable. The evaluation is performed at the lowest level for which identifiable cash flows are largely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independent of the cash flows of other assets and liabilities. Recoverability of these assets is measured by a comparison of the carrying amounts to the future undiscounted cash flows the assets are expected to generate. If such review indicates that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carrying amount of intangible assets is not recoverable, the carrying amount of such assets is reduced to fair value. In addition to the recoverability assessment, we routinely review the remaining estimated useful lives of our finite-lived intangible assets. If we reduce the estimated useful life assumption for any asset, the remaining unamortized balance would be amortized over the revised estimated useful life.</w:t>
      </w:r>
    </w:p>
    <w:p>
      <w:pPr>
        <w:spacing w:after="0" w:line="19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of December 31, 2019, the Consolidated Balance Sheets includes goodwill of $743.8 million and acquired intangible assets, net of accumulated amortization, of $141.8 million. For the year ended December 31, 2019, no impairment of goodwill or acquired intangible assets has been identified.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Item 8 of Part II, "Financial Statements and Supplementary Data - Note 3 -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effects of changes in laws or accounting standards;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impacts from the COVID-19 virus; and renewal of sources of funding as they expire and the availability of replacement funding and those factors referred to above and as set forth and more fully described in Part I, Item 1A — Risk Factors. Any forward-looking statements made in this Form 10-K speak only as of the date of this report. Except as required by law, we do not intend, and do not undertake, any obligation to update any forward looking statements to reflect future events or circumstances after the date of such statements.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5"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December 31, 2019, our total debt outstanding, excluding unamortized debt issuance costs, was $1.1 billion. Of this amount, $437.0 million, net of debt discounts, or 39% of our total debt obligations, relates to contingent convertible notes having a fixed coupon rate. Our $525.0 million outstanding principal amount of contingent convertible notes accrue cash interest at a rate of 0.75% of the principal amount per annum. Based on quoted market prices, as of December 31, 2019, the fair value of our fixed rate convertible notes was $569.4 million, compared to a carrying value of $437.0 million. Interest expense for these notes, including accretion and amortization of deferred debt issuance costs, has a weighted average interest rate of 4.4% annually. Further, as of December 31, 2019 we had no borrowings under our Credit Facility. Additionally, $673.4 million, or 60% of our total debt obligations, relates to Senior Notes having a fixed coupon rate. Our €600 million outstanding principal amount of Senior Notes accrue cash interest at a rate of 1.375% of the principal per annum. Based on quoted market prices, as of December 31, 2019, the fair value of our fixed rate Senior Notes was $668.2 million, compared to a carrying value of $673.4 million. The remaining $6.2 million, or 1% of our total debt obligations, is related to borrowings by certain subsidiaries to fund, from time to time, working capital requirements. These arrangements generally are due within one year and accrue interest at variable rates.</w:t>
      </w:r>
    </w:p>
    <w:p>
      <w:pPr>
        <w:spacing w:after="0" w:line="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as of December 31, 2019, we had approximately $14.0 million of finance leases with fixed payment and interest terms that expire between the years of 2020 and 2024 and bear interest at rates between 0.8% and 16.8%.</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years ended December 31, 2019 and 2018, 74% and 72% of our revenues, respectively, were generated in non-U.S. dollar countries. We expect to continue generating a significant portion of our revenues in countries with currencies other than the U.S. dollar.</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December 31, 2019, we estimate that a 10% fluctuation in these foreign currency exchange rates would have the combined annualized effect on reported net income and working capital of approximately $77 million to $82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$140 million to</w:t>
      </w:r>
    </w:p>
    <w:p>
      <w:pPr>
        <w:spacing w:after="0"/>
        <w:rPr>
          <w:sz w:val="20"/>
          <w:szCs w:val="20"/>
          <w:color w:val="auto"/>
        </w:rPr>
      </w:pPr>
      <w:r>
        <w:rPr>
          <w:rFonts w:ascii="Arial" w:cs="Arial" w:eastAsia="Arial" w:hAnsi="Arial"/>
          <w:sz w:val="16"/>
          <w:szCs w:val="16"/>
          <w:color w:val="auto"/>
        </w:rPr>
        <w:t>$145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December 31, 2019, we had foreign currency derivative contracts outstanding with a notional value of $159.0 million, primarily in Australian dollars, British pounds, Canadian dollars, euros and Mexican pesos, that were not designated as hedges and mature within a few days.</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December 31, 2019, we held foreign currency derivative contracts outstanding with a notional value of $1.2 billion, primarily in U.S. dollars, euros, British pounds, Australian dollars and New Zealand dollars, that were not designated as hedges and for which the majority mature within the next twelve months.</w:t>
      </w:r>
    </w:p>
    <w:p>
      <w:pPr>
        <w:spacing w:after="0" w:line="158" w:lineRule="exact"/>
        <w:rPr>
          <w:sz w:val="20"/>
          <w:szCs w:val="20"/>
          <w:color w:val="auto"/>
        </w:rPr>
      </w:pPr>
    </w:p>
    <w:p>
      <w:pPr>
        <w:jc w:val="both"/>
        <w:ind w:right="2200"/>
        <w:spacing w:after="0" w:line="286" w:lineRule="auto"/>
        <w:rPr>
          <w:sz w:val="20"/>
          <w:szCs w:val="20"/>
          <w:color w:val="auto"/>
        </w:rPr>
      </w:pPr>
      <w:r>
        <w:rPr>
          <w:rFonts w:ascii="Arial" w:cs="Arial" w:eastAsia="Arial" w:hAnsi="Arial"/>
          <w:sz w:val="17"/>
          <w:szCs w:val="17"/>
          <w:color w:val="auto"/>
        </w:rPr>
        <w:t>We use longer-term foreign currency forward contracts to mitigate risks associated with changes in foreign currency exchange rates on certain foreign currency denominated other asset and liability positions. As of December 31, 2019, the Company had foreign currency forward contracts outstanding with a notional value of $43 million, primarily in euros.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Note 11, Derivative Instruments and Hedging Activities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240" w:top="125"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0"/>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2"/>
          </w:tcPr>
          <w:p>
            <w:pPr>
              <w:spacing w:after="0"/>
              <w:rPr>
                <w:rFonts w:ascii="Arial" w:cs="Arial" w:eastAsia="Arial" w:hAnsi="Arial"/>
                <w:sz w:val="18"/>
                <w:szCs w:val="18"/>
                <w:color w:val="0000EE"/>
                <w:w w:val="86"/>
              </w:rPr>
            </w:pPr>
            <w:hyperlink w:anchor="page68">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8"/>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Statements of Comprehensive Income</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20" w:type="dxa"/>
            <w:vAlign w:val="bottom"/>
            <w:gridSpan w:val="18"/>
          </w:tcPr>
          <w:p>
            <w:pPr>
              <w:spacing w:after="0"/>
              <w:rPr>
                <w:rFonts w:ascii="Arial" w:cs="Arial" w:eastAsia="Arial" w:hAnsi="Arial"/>
                <w:sz w:val="18"/>
                <w:szCs w:val="18"/>
                <w:color w:val="0000EE"/>
                <w:w w:val="98"/>
              </w:rPr>
            </w:pPr>
            <w:hyperlink w:anchor="page70">
              <w:r>
                <w:rPr>
                  <w:rFonts w:ascii="Arial" w:cs="Arial" w:eastAsia="Arial" w:hAnsi="Arial"/>
                  <w:sz w:val="18"/>
                  <w:szCs w:val="18"/>
                  <w:color w:val="0000EE"/>
                  <w:w w:val="98"/>
                </w:rPr>
                <w:t>Consolidated Statements of Changes in Equity</w:t>
              </w:r>
            </w:hyperlink>
          </w:p>
        </w:tc>
        <w:tc>
          <w:tcPr>
            <w:tcW w:w="90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(1)</w:t>
              </w:r>
            </w:hyperlink>
          </w:p>
        </w:tc>
        <w:tc>
          <w:tcPr>
            <w:tcW w:w="2780" w:type="dxa"/>
            <w:vAlign w:val="bottom"/>
            <w:gridSpan w:val="14"/>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(2)</w:t>
              </w:r>
            </w:hyperlink>
          </w:p>
        </w:tc>
        <w:tc>
          <w:tcPr>
            <w:tcW w:w="4260" w:type="dxa"/>
            <w:vAlign w:val="bottom"/>
            <w:gridSpan w:val="19"/>
          </w:tcPr>
          <w:p>
            <w:pPr>
              <w:ind w:left="20"/>
              <w:spacing w:after="0"/>
              <w:rPr>
                <w:rFonts w:ascii="Arial" w:cs="Arial" w:eastAsia="Arial" w:hAnsi="Arial"/>
                <w:sz w:val="18"/>
                <w:szCs w:val="18"/>
                <w:color w:val="0000EE"/>
              </w:rPr>
            </w:pPr>
            <w:hyperlink w:anchor="page74">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(3)</w:t>
              </w:r>
            </w:hyperlink>
          </w:p>
        </w:tc>
        <w:tc>
          <w:tcPr>
            <w:tcW w:w="4260" w:type="dxa"/>
            <w:vAlign w:val="bottom"/>
            <w:gridSpan w:val="19"/>
          </w:tcPr>
          <w:p>
            <w:pPr>
              <w:ind w:left="20"/>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(4)</w:t>
              </w:r>
            </w:hyperlink>
          </w:p>
        </w:tc>
        <w:tc>
          <w:tcPr>
            <w:tcW w:w="4260" w:type="dxa"/>
            <w:vAlign w:val="bottom"/>
            <w:gridSpan w:val="19"/>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(5)</w:t>
              </w:r>
            </w:hyperlink>
          </w:p>
        </w:tc>
        <w:tc>
          <w:tcPr>
            <w:tcW w:w="4260" w:type="dxa"/>
            <w:vAlign w:val="bottom"/>
            <w:gridSpan w:val="19"/>
          </w:tcPr>
          <w:p>
            <w:pPr>
              <w:ind w:left="20"/>
              <w:spacing w:after="0"/>
              <w:rPr>
                <w:rFonts w:ascii="Arial" w:cs="Arial" w:eastAsia="Arial" w:hAnsi="Arial"/>
                <w:sz w:val="18"/>
                <w:szCs w:val="18"/>
                <w:color w:val="0000EE"/>
              </w:rPr>
            </w:pPr>
            <w:hyperlink w:anchor="page82">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(6)</w:t>
              </w:r>
            </w:hyperlink>
          </w:p>
        </w:tc>
        <w:tc>
          <w:tcPr>
            <w:tcW w:w="4260" w:type="dxa"/>
            <w:vAlign w:val="bottom"/>
            <w:gridSpan w:val="19"/>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(7)</w:t>
              </w:r>
            </w:hyperlink>
          </w:p>
        </w:tc>
        <w:tc>
          <w:tcPr>
            <w:tcW w:w="4260" w:type="dxa"/>
            <w:vAlign w:val="bottom"/>
            <w:gridSpan w:val="19"/>
          </w:tcPr>
          <w:p>
            <w:pPr>
              <w:ind w:left="20"/>
              <w:spacing w:after="0"/>
              <w:rPr>
                <w:rFonts w:ascii="Arial" w:cs="Arial" w:eastAsia="Arial" w:hAnsi="Arial"/>
                <w:sz w:val="18"/>
                <w:szCs w:val="18"/>
                <w:color w:val="0000EE"/>
              </w:rPr>
            </w:pPr>
            <w:hyperlink w:anchor="page84">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(8)</w:t>
              </w:r>
            </w:hyperlink>
          </w:p>
        </w:tc>
        <w:tc>
          <w:tcPr>
            <w:tcW w:w="4260" w:type="dxa"/>
            <w:vAlign w:val="bottom"/>
            <w:gridSpan w:val="19"/>
          </w:tcPr>
          <w:p>
            <w:pPr>
              <w:ind w:left="20"/>
              <w:spacing w:after="0"/>
              <w:rPr>
                <w:rFonts w:ascii="Arial" w:cs="Arial" w:eastAsia="Arial" w:hAnsi="Arial"/>
                <w:sz w:val="18"/>
                <w:szCs w:val="18"/>
                <w:color w:val="0000EE"/>
              </w:rPr>
            </w:pPr>
            <w:hyperlink w:anchor="page84">
              <w:r>
                <w:rPr>
                  <w:rFonts w:ascii="Arial" w:cs="Arial" w:eastAsia="Arial" w:hAnsi="Arial"/>
                  <w:sz w:val="18"/>
                  <w:szCs w:val="18"/>
                  <w:color w:val="0000EE"/>
                </w:rPr>
                <w:t>Goodwill and Acquired Intangible Assets, Net</w:t>
              </w:r>
            </w:hyperlink>
          </w:p>
        </w:tc>
        <w:tc>
          <w:tcPr>
            <w:tcW w:w="6740" w:type="dxa"/>
            <w:vAlign w:val="bottom"/>
            <w:gridSpan w:val="4"/>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(9)</w:t>
              </w:r>
            </w:hyperlink>
          </w:p>
        </w:tc>
        <w:tc>
          <w:tcPr>
            <w:tcW w:w="4260" w:type="dxa"/>
            <w:vAlign w:val="bottom"/>
            <w:gridSpan w:val="19"/>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86">
              <w:r>
                <w:rPr>
                  <w:rFonts w:ascii="Arial" w:cs="Arial" w:eastAsia="Arial" w:hAnsi="Arial"/>
                  <w:sz w:val="18"/>
                  <w:szCs w:val="18"/>
                  <w:color w:val="0000EE"/>
                  <w:w w:val="93"/>
                </w:rPr>
                <w:t>(10)</w:t>
              </w:r>
            </w:hyperlink>
          </w:p>
        </w:tc>
        <w:tc>
          <w:tcPr>
            <w:tcW w:w="4160" w:type="dxa"/>
            <w:vAlign w:val="bottom"/>
            <w:gridSpan w:val="18"/>
          </w:tcPr>
          <w:p>
            <w:pPr>
              <w:ind w:left="20"/>
              <w:spacing w:after="0"/>
              <w:rPr>
                <w:rFonts w:ascii="Arial" w:cs="Arial" w:eastAsia="Arial" w:hAnsi="Arial"/>
                <w:sz w:val="18"/>
                <w:szCs w:val="18"/>
                <w:color w:val="0000EE"/>
              </w:rPr>
            </w:pPr>
            <w:hyperlink w:anchor="page86">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20"/>
        </w:trPr>
        <w:tc>
          <w:tcPr>
            <w:tcW w:w="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8"/>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86</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(12)</w:t>
              </w:r>
            </w:hyperlink>
          </w:p>
        </w:tc>
        <w:tc>
          <w:tcPr>
            <w:tcW w:w="4160" w:type="dxa"/>
            <w:vAlign w:val="bottom"/>
            <w:gridSpan w:val="18"/>
          </w:tcPr>
          <w:p>
            <w:pPr>
              <w:ind w:left="20"/>
              <w:spacing w:after="0"/>
              <w:rPr>
                <w:rFonts w:ascii="Arial" w:cs="Arial" w:eastAsia="Arial" w:hAnsi="Arial"/>
                <w:sz w:val="18"/>
                <w:szCs w:val="18"/>
                <w:color w:val="0000EE"/>
              </w:rPr>
            </w:pPr>
            <w:hyperlink w:anchor="page91">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(13)</w:t>
              </w:r>
            </w:hyperlink>
          </w:p>
        </w:tc>
        <w:tc>
          <w:tcPr>
            <w:tcW w:w="4160" w:type="dxa"/>
            <w:vAlign w:val="bottom"/>
            <w:gridSpan w:val="18"/>
          </w:tcPr>
          <w:p>
            <w:pPr>
              <w:ind w:left="20"/>
              <w:spacing w:after="0"/>
              <w:rPr>
                <w:rFonts w:ascii="Arial" w:cs="Arial" w:eastAsia="Arial" w:hAnsi="Arial"/>
                <w:sz w:val="18"/>
                <w:szCs w:val="18"/>
                <w:color w:val="0000EE"/>
              </w:rPr>
            </w:pPr>
            <w:hyperlink w:anchor="page92">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(14)</w:t>
              </w:r>
            </w:hyperlink>
          </w:p>
        </w:tc>
        <w:tc>
          <w:tcPr>
            <w:tcW w:w="4160" w:type="dxa"/>
            <w:vAlign w:val="bottom"/>
            <w:gridSpan w:val="18"/>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(15)</w:t>
              </w:r>
            </w:hyperlink>
          </w:p>
        </w:tc>
        <w:tc>
          <w:tcPr>
            <w:tcW w:w="4160" w:type="dxa"/>
            <w:vAlign w:val="bottom"/>
            <w:gridSpan w:val="18"/>
          </w:tcPr>
          <w:p>
            <w:pPr>
              <w:ind w:left="20"/>
              <w:spacing w:after="0"/>
              <w:rPr>
                <w:rFonts w:ascii="Arial" w:cs="Arial" w:eastAsia="Arial" w:hAnsi="Arial"/>
                <w:sz w:val="18"/>
                <w:szCs w:val="18"/>
                <w:color w:val="0000EE"/>
              </w:rPr>
            </w:pPr>
            <w:hyperlink w:anchor="page96">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8">
              <w:r>
                <w:rPr>
                  <w:rFonts w:ascii="Arial" w:cs="Arial" w:eastAsia="Arial" w:hAnsi="Arial"/>
                  <w:sz w:val="18"/>
                  <w:szCs w:val="18"/>
                  <w:color w:val="0000EE"/>
                  <w:w w:val="93"/>
                </w:rPr>
                <w:t>(16)</w:t>
              </w:r>
            </w:hyperlink>
          </w:p>
        </w:tc>
        <w:tc>
          <w:tcPr>
            <w:tcW w:w="4160" w:type="dxa"/>
            <w:vAlign w:val="bottom"/>
            <w:gridSpan w:val="18"/>
          </w:tcPr>
          <w:p>
            <w:pPr>
              <w:ind w:left="20"/>
              <w:spacing w:after="0"/>
              <w:rPr>
                <w:rFonts w:ascii="Arial" w:cs="Arial" w:eastAsia="Arial" w:hAnsi="Arial"/>
                <w:sz w:val="18"/>
                <w:szCs w:val="18"/>
                <w:color w:val="0000EE"/>
              </w:rPr>
            </w:pPr>
            <w:hyperlink w:anchor="page98">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(17)</w:t>
              </w:r>
            </w:hyperlink>
          </w:p>
        </w:tc>
        <w:tc>
          <w:tcPr>
            <w:tcW w:w="4160" w:type="dxa"/>
            <w:vAlign w:val="bottom"/>
            <w:gridSpan w:val="18"/>
          </w:tcPr>
          <w:p>
            <w:pPr>
              <w:ind w:left="20"/>
              <w:spacing w:after="0"/>
              <w:rPr>
                <w:rFonts w:ascii="Arial" w:cs="Arial" w:eastAsia="Arial" w:hAnsi="Arial"/>
                <w:sz w:val="18"/>
                <w:szCs w:val="18"/>
                <w:color w:val="0000EE"/>
                <w:w w:val="98"/>
              </w:rPr>
            </w:pPr>
            <w:hyperlink w:anchor="page103">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3">
              <w:r>
                <w:rPr>
                  <w:rFonts w:ascii="Arial" w:cs="Arial" w:eastAsia="Arial" w:hAnsi="Arial"/>
                  <w:sz w:val="18"/>
                  <w:szCs w:val="18"/>
                  <w:color w:val="0000EE"/>
                </w:rPr>
                <w:t>100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(18)</w:t>
              </w:r>
            </w:hyperlink>
          </w:p>
        </w:tc>
        <w:tc>
          <w:tcPr>
            <w:tcW w:w="4160" w:type="dxa"/>
            <w:vAlign w:val="bottom"/>
            <w:gridSpan w:val="18"/>
          </w:tcPr>
          <w:p>
            <w:pPr>
              <w:ind w:left="20"/>
              <w:spacing w:after="0"/>
              <w:rPr>
                <w:rFonts w:ascii="Arial" w:cs="Arial" w:eastAsia="Arial" w:hAnsi="Arial"/>
                <w:sz w:val="18"/>
                <w:szCs w:val="18"/>
                <w:color w:val="0000EE"/>
              </w:rPr>
            </w:pPr>
            <w:hyperlink w:anchor="page104">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101</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(19)</w:t>
              </w:r>
            </w:hyperlink>
          </w:p>
        </w:tc>
        <w:tc>
          <w:tcPr>
            <w:tcW w:w="4160" w:type="dxa"/>
            <w:vAlign w:val="bottom"/>
            <w:gridSpan w:val="18"/>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(20)</w:t>
              </w:r>
            </w:hyperlink>
          </w:p>
        </w:tc>
        <w:tc>
          <w:tcPr>
            <w:tcW w:w="4160" w:type="dxa"/>
            <w:vAlign w:val="bottom"/>
            <w:gridSpan w:val="18"/>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(21)</w:t>
              </w:r>
            </w:hyperlink>
          </w:p>
        </w:tc>
        <w:tc>
          <w:tcPr>
            <w:tcW w:w="4160" w:type="dxa"/>
            <w:vAlign w:val="bottom"/>
            <w:gridSpan w:val="18"/>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r>
      <w:tr>
        <w:trPr>
          <w:trHeight w:val="912"/>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2019 and 2018, the related consolidated statements of income, comprehensive income, changes in equity, and cash flows for each of the years in the three-year period ended December 31, 2019, and the related notes (collectively,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As discussed in Note 3 to the consolidated financial statements, the Company has changed its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As discussed in Note 3 to the consolidated financial statements, the Company has changed its method of accounting for revenue recognition in 2018 due to the adoption of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Evaluation of the sufficiency of audit evidence over revenue</w:t>
      </w:r>
    </w:p>
    <w:p>
      <w:pPr>
        <w:spacing w:after="0" w:line="90" w:lineRule="exact"/>
        <w:rPr>
          <w:sz w:val="20"/>
          <w:szCs w:val="20"/>
          <w:color w:val="auto"/>
        </w:rPr>
      </w:pPr>
    </w:p>
    <w:p>
      <w:pPr>
        <w:ind w:left="500"/>
        <w:spacing w:after="0" w:line="259" w:lineRule="auto"/>
        <w:rPr>
          <w:sz w:val="20"/>
          <w:szCs w:val="20"/>
          <w:color w:val="auto"/>
        </w:rPr>
      </w:pPr>
      <w:r>
        <w:rPr>
          <w:rFonts w:ascii="Arial" w:cs="Arial" w:eastAsia="Arial" w:hAnsi="Arial"/>
          <w:sz w:val="18"/>
          <w:szCs w:val="18"/>
          <w:color w:val="auto"/>
        </w:rPr>
        <w:t>As discussed in Note 3 to the consolidated financial statements, the Company earned $2.75 billion of revenue in 2019. The Company earned revenue by payment and transaction processing and distribution solutions to financial institutions, retailers, service providers and individual consumers (collectively services). The services were provided to customers in 170 countries through 66 different business offices in 41 countries within 3 different reportable operating segments.</w:t>
      </w:r>
    </w:p>
    <w:p>
      <w:pPr>
        <w:spacing w:after="0" w:line="146" w:lineRule="exact"/>
        <w:rPr>
          <w:sz w:val="20"/>
          <w:szCs w:val="20"/>
          <w:color w:val="auto"/>
        </w:rPr>
      </w:pPr>
    </w:p>
    <w:p>
      <w:pPr>
        <w:ind w:left="500" w:right="20"/>
        <w:spacing w:after="0" w:line="259" w:lineRule="auto"/>
        <w:rPr>
          <w:sz w:val="20"/>
          <w:szCs w:val="20"/>
          <w:color w:val="auto"/>
        </w:rPr>
      </w:pPr>
      <w:r>
        <w:rPr>
          <w:rFonts w:ascii="Arial" w:cs="Arial" w:eastAsia="Arial" w:hAnsi="Arial"/>
          <w:sz w:val="18"/>
          <w:szCs w:val="18"/>
          <w:color w:val="auto"/>
        </w:rPr>
        <w:t>We identified the evaluation of the sufficiency of audit evidence over revenue as a critical audit matter. The Company’s geographical dispersion of services worldwide, amongst various business lines required especially subjective auditor judgment in evaluating the sufficiency of audit evidence over revenue. Further, our audit team consisted of auditors located in various countries worldwide. This required especially challenging auditor judgment in the level of audit procedures and supervision applied at each country.</w:t>
      </w:r>
    </w:p>
    <w:p>
      <w:pPr>
        <w:spacing w:after="0" w:line="146" w:lineRule="exact"/>
        <w:rPr>
          <w:sz w:val="20"/>
          <w:szCs w:val="20"/>
          <w:color w:val="auto"/>
        </w:rPr>
      </w:pPr>
    </w:p>
    <w:p>
      <w:pPr>
        <w:ind w:left="500" w:right="120"/>
        <w:spacing w:after="0" w:line="276"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revenue process, including controls related to the consolidation of global revenue amounts. We assessed the training and experience of the auditors on our audit team that were located in countries other than the United States. We tested a sample of individual revenue transactions at certain locations by comparing amounts recognized by the Company to relevant contracts and or payment and transaction support. After completion of these procedures, we evaluated the overall sufficiency of the audit evidence over revenues.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Assessment of the carrying value of goodwill of one reporting unit in the Money Transfer segment</w:t>
      </w:r>
    </w:p>
    <w:p>
      <w:pPr>
        <w:spacing w:after="0" w:line="90"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As discussed in Notes 3 and 9 to the consolidated financial statements, the Company performs goodwill impairment testing on an annual basis and whenever events and changes in circumstances indicate that it is more likely than not (more than 50%) that the fair value of a reporting unit is less than its carrying amount. The goodwill balance as of December 31, 2019 was $743.8 million. The Company performed a goodwill impairment test for each reporting unit using a qualitative approach, except for one reporting unit in the Money Transfer segment which was tested using the quantitative approach.</w:t>
      </w:r>
    </w:p>
    <w:p>
      <w:pPr>
        <w:spacing w:after="0" w:line="148" w:lineRule="exact"/>
        <w:rPr>
          <w:sz w:val="20"/>
          <w:szCs w:val="20"/>
          <w:color w:val="auto"/>
        </w:rPr>
      </w:pPr>
    </w:p>
    <w:p>
      <w:pPr>
        <w:ind w:left="500" w:right="60"/>
        <w:spacing w:after="0" w:line="286" w:lineRule="auto"/>
        <w:rPr>
          <w:sz w:val="20"/>
          <w:szCs w:val="20"/>
          <w:color w:val="auto"/>
        </w:rPr>
      </w:pPr>
      <w:r>
        <w:rPr>
          <w:rFonts w:ascii="Arial" w:cs="Arial" w:eastAsia="Arial" w:hAnsi="Arial"/>
          <w:sz w:val="16"/>
          <w:szCs w:val="16"/>
          <w:color w:val="auto"/>
        </w:rPr>
        <w:t>We identified the assessment of the carrying value of goodwill for this one reporting unit in the Money Transfer segment using the quantitative approach as a critical audit matter, because significant auditor judgment was required to evaluate the impairment test. The fair value of that reporting unit was performed using a weighting of a discounted cash flow model and market multiples valuation technique and included key assumptions related to (1) the forecasted revenue growth rates, (2) the forecasted earnings before interest, income taxes, depreciation, and amortization (EBITDA) margin,</w:t>
      </w:r>
    </w:p>
    <w:p>
      <w:pPr>
        <w:spacing w:after="0" w:line="2" w:lineRule="exact"/>
        <w:rPr>
          <w:sz w:val="20"/>
          <w:szCs w:val="20"/>
          <w:color w:val="auto"/>
        </w:rPr>
      </w:pPr>
    </w:p>
    <w:p>
      <w:pPr>
        <w:ind w:left="500" w:right="740" w:hanging="6"/>
        <w:spacing w:after="0" w:line="261" w:lineRule="auto"/>
        <w:tabs>
          <w:tab w:leader="none" w:pos="7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discount rate, and (4) the EBITDA market multiple. Changes to these key assumptions could have a significant effect on the fair value determination and assessment of the carrying value of the goodwill.</w:t>
      </w:r>
    </w:p>
    <w:p>
      <w:pPr>
        <w:spacing w:after="0" w:line="143"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goodwill impairment assessment process, including controls related to the development of the key assumptions. We evaluated the Company’s forecasted revenue growth rates and forecasted EBITDA margin assumptions by comparing them to external market and industry data. We compared the Company’s historical forecasted results to actual results to assess the Company’s ability to accurately forecast. We involved valuation professionals with specialized skills and knowledge, who assisted in evaluating 1) the Company’s discount rate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by comparing it against a discount rate range that was independently developed using publicly available third-party market data for comparable entities and 2) the Company’s EBITDA market multiple, by comparing it against a range of EBITDA multiples to publicly available third-party market data for comparable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786,081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385,031</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ATM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31,237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receivable,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201,935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202,514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217,707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157,967</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2,918,732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2,087,587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right of use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$410,243 at December 31, 2019 and $373,180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31, 2018</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359,980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291,869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743,823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704,197</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$204,853 at December 31, 2019 and $190,920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141,847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114,485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$46,788 at December 31, 2019 and $50,821 at December 31, 2018</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123,017</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4,657,666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3,321,155</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915,460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72,908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294,557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operating lease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127,353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52,583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40,159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58,588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59,293</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1,633,980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1,378,394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589,782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241,977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62,992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3,078,324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2,088,313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Common Stock, $0.02 par value. 90,000,000 shares authorized; 62,775,762 issued at December 31, 2019 and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59,897,309 issued at December 31, 2018</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1,190,058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1,104,264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Treasury stock, at cost, 8,554,908 shares at December 31, 2019 and 8,077,311 shares at December 31, 2018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1,016,554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669,805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1,579,274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1,232,673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1,579,342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1,232,842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4,657,666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3,321,155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2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23"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2,750,109</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2,536,629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1,556,483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360,432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111,744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2,274,915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2,178,715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475,194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(losses) gains,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r>
      <w:tr>
        <w:trPr>
          <w:trHeight w:val="237"/>
        </w:trPr>
        <w:tc>
          <w:tcPr>
            <w:tcW w:w="710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(41,387)</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(87,112)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(99,395)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346,695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156,940</w:t>
            </w:r>
          </w:p>
        </w:tc>
      </w:tr>
      <w:tr>
        <w:trPr>
          <w:trHeight w:val="243"/>
        </w:trPr>
        <w:tc>
          <w:tcPr>
            <w:tcW w:w="710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346,749</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232,851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156,845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w:t>
            </w:r>
          </w:p>
        </w:tc>
      </w:tr>
      <w:tr>
        <w:trPr>
          <w:trHeight w:val="251"/>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4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304"/>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53,449,834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51,487,557</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52,523,272</w:t>
            </w:r>
          </w:p>
        </w:tc>
      </w:tr>
      <w:tr>
        <w:trPr>
          <w:trHeight w:val="25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54,913,887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54,627,747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55,116,327</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346,695</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156,940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116,401</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332,801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175,475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273,341</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332,902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176,266</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273,049</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52,303,401</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1,045,663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504,757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52,808,158</w:t>
            </w:r>
          </w:p>
        </w:tc>
        <w:tc>
          <w:tcPr>
            <w:tcW w:w="3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1,072,005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(217,161)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1,039,480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16,764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(2,032,599)</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4,959</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51,819,998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(391,551)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405,617</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13,216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(493,010)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1380" w:type="dxa"/>
            <w:vAlign w:val="bottom"/>
            <w:vMerge w:val="restart"/>
          </w:tcPr>
          <w:p>
            <w:pPr>
              <w:jc w:val="right"/>
              <w:ind w:right="34"/>
              <w:spacing w:after="0"/>
              <w:rPr>
                <w:sz w:val="20"/>
                <w:szCs w:val="20"/>
                <w:color w:val="auto"/>
              </w:rPr>
            </w:pPr>
            <w:r>
              <w:rPr>
                <w:rFonts w:ascii="Arial" w:cs="Arial" w:eastAsia="Arial" w:hAnsi="Arial"/>
                <w:sz w:val="18"/>
                <w:szCs w:val="18"/>
                <w:color w:val="auto"/>
              </w:rPr>
              <w:t>2,488,249</w:t>
            </w:r>
          </w:p>
        </w:tc>
        <w:tc>
          <w:tcPr>
            <w:tcW w:w="360" w:type="dxa"/>
            <w:vAlign w:val="bottom"/>
          </w:tcPr>
          <w:p>
            <w:pPr>
              <w:spacing w:after="0"/>
              <w:rPr>
                <w:sz w:val="21"/>
                <w:szCs w:val="21"/>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(20,517)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54,220,854</w:t>
            </w:r>
          </w:p>
        </w:tc>
        <w:tc>
          <w:tcPr>
            <w:tcW w:w="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1,190,058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Noncontrolling</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900,557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156,845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156,940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436,954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1,199,478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232,851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16,764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669,805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1,232,842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346,749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346,695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Issuance of convertible notes, net of tax</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71,659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Redemptions and conversions of convertible notes, net of tax</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1,016,554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1,579,342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346,695</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156,940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95,030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16,764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15,618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(gain)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34,056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(10,861)</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13,504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(198,089)</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35,451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3,724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106,350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27,878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504,488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397,233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286,276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(131,287)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(97,235)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(229,027)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(132,283)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(101,858)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10,990</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(177,855)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2,498,298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5,773,294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2,409,203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(2,714,203)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(5,560,089)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(2,566,621)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(446,702)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finance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 from short-term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1,194,900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(used in )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416,298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(36,540)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65,161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cash and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686,427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88,430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1,130,952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900,518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812,088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1,817,379</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1,130,952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900,518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table below reconciles Cash, Cash and cash equivalents, ATM cash, Restricted cash, Cash and cash equivalents and Restricted cash included within settlement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100" w:val="left"/>
          <w:tab w:leader="none" w:pos="7760" w:val="left"/>
          <w:tab w:leader="none" w:pos="8600" w:val="left"/>
          <w:tab w:leader="none" w:pos="9240" w:val="left"/>
          <w:tab w:leader="none" w:pos="10060" w:val="left"/>
          <w:tab w:leader="none" w:pos="1070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786,081</w:t>
        <w:tab/>
        <w:t>$</w:t>
      </w:r>
      <w:r>
        <w:rPr>
          <w:sz w:val="20"/>
          <w:szCs w:val="20"/>
          <w:color w:val="auto"/>
        </w:rPr>
        <w:tab/>
      </w:r>
      <w:r>
        <w:rPr>
          <w:rFonts w:ascii="Arial" w:cs="Arial" w:eastAsia="Arial" w:hAnsi="Arial"/>
          <w:sz w:val="18"/>
          <w:szCs w:val="18"/>
          <w:color w:val="auto"/>
        </w:rPr>
        <w:t>385,031</w:t>
        <w:tab/>
        <w:t>$</w:t>
      </w:r>
      <w:r>
        <w:rPr>
          <w:sz w:val="20"/>
          <w:szCs w:val="20"/>
          <w:color w:val="auto"/>
        </w:rPr>
        <w:tab/>
      </w:r>
      <w:r>
        <w:rPr>
          <w:rFonts w:ascii="Arial" w:cs="Arial" w:eastAsia="Arial" w:hAnsi="Arial"/>
          <w:sz w:val="16"/>
          <w:szCs w:val="16"/>
          <w:color w:val="auto"/>
        </w:rPr>
        <w:t>280,128</w:t>
      </w:r>
    </w:p>
    <w:p>
      <w:pPr>
        <w:sectPr>
          <w:pgSz w:w="11900" w:h="16838" w:orient="portrait"/>
          <w:cols w:equalWidth="0" w:num="1">
            <w:col w:w="11420"/>
          </w:cols>
          <w:pgMar w:left="240" w:top="125" w:right="239" w:bottom="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34,301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31,237</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32,185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 cash and cash equivalents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282,188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273,948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285,169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49,168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45,358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49,189</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1,817,379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1,130,952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900,518</w:t>
            </w:r>
          </w:p>
        </w:tc>
      </w:tr>
      <w:tr>
        <w:trPr>
          <w:trHeight w:val="311"/>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Disclosures: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74,086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84,382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48,644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consideration received from sale of investment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w:t>
      </w:r>
    </w:p>
    <w:p>
      <w:pPr>
        <w:spacing w:after="0" w:line="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and Obligations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2019, we have recast our Consolidated Balance Sheets to include three new balance sheet captions entitled Settlement assets, Settlement obligations, and ATM cash. The historically reported Cash and cash equivalents and Restricted cash are now presented in Cash and cash equivalents, Restricted cash, ATM cash, or part of Settlement assets.</w:t>
      </w:r>
    </w:p>
    <w:p>
      <w:pPr>
        <w:spacing w:after="0" w:line="1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ATM cash represents cash included within the ATM network. Settlement assets represents funds received or to be received from agents for unsettled money transfers and due from merchants or unsettled prepaid transactions. Settlement assets consist of cash and cash equivalents, restricted cash, receivables and prepaid expenses and other current assets. Settlement obligations consist of money transfers, payables to agents and content providers. Amounts presented in Cash and cash equivalents as recast represents cash available from operations. Prior year amounts have been recast to conform to current year presentation.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9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ATM cash represents cash within the ATM network either included within ATMs, within dedicated accounts, or in-transit to ATMs.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Assets and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Settlement assets represent funds received or to be received from agents for unsettled money transfers and from merchants for unsettled prepaid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corresponding settlement obligations relating to amounts payable.</w:t>
      </w:r>
    </w:p>
    <w:p>
      <w:pPr>
        <w:spacing w:after="0" w:line="9"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Settlement assets consist of cash and cash equivalents, restricted cash, receivables and prepaid expenses and other current assets. Cash received by Euronet agents and merchants generally become available to the Company within two weeks after initial receipt by the business partner. Receivables, net from business partners represent funds collected by such business partners, but in transit to the Company.</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Euronet has a large and diverse business partner base, thereby reducing the credit risk of the Company from any one business partner. In addition, the Company performs ongoing credit evaluations of its business partners’ financial condition and credit worthiness. Inventories represent prepaid cards and prepaid pin numbers that are used to settle amounts due to content providers.</w:t>
      </w:r>
    </w:p>
    <w:p>
      <w:pPr>
        <w:spacing w:after="0" w:line="1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Settlement obligations consist of money transfers, payables to agents and content providers. Money transfer payables represent amounts to be paid to transferees when they request funds. Most agents typically settle with transferees first then obtain reimbursement from the Company. Money order payables represent amounts not yet presented for payment. Due to the agent funding and settlement process, payables to agents represent amounts due to agents for money transfers that have not been settled with transferees.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As of December 31, 2019</w:t>
            </w: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As of December 31, 2018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Settlement assets:</w:t>
            </w:r>
          </w:p>
        </w:tc>
        <w:tc>
          <w:tcPr>
            <w:tcW w:w="2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282,188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273,948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Settlement restricted cash</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49,168</w:t>
            </w:r>
          </w:p>
        </w:tc>
        <w:tc>
          <w:tcPr>
            <w:tcW w:w="26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45,358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574,410</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491,102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107,301</w:t>
            </w:r>
          </w:p>
        </w:tc>
        <w:tc>
          <w:tcPr>
            <w:tcW w:w="26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105,052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settlement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1,013,067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915,460</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Settlement obligations:</w:t>
            </w: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504,667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456,005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508,400</w:t>
            </w:r>
          </w:p>
        </w:tc>
        <w:tc>
          <w:tcPr>
            <w:tcW w:w="26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459,455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settlement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1,013,067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915,460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1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quantitative impairment test (described below), otherwise no further analysis is required. An entity also may elect not to perform the qualitative assessment and, instead, proceed directly to the quantitative impairment test. The Company has a policy for its annual review of goodwill to perform the qualitative assessment for all reporting units not subjected directly to the quantitative impairment test.</w:t>
      </w:r>
    </w:p>
    <w:p>
      <w:pPr>
        <w:spacing w:after="0" w:line="13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quantitative impairment test completed for a reporting unit and compares, among other factors, the weighted average cost of capital ("WACC") between the current and prior years for each reporting unit.</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quantitative impairment test, the evaluation of impairment involves comparing the current fair value of each reporting unit to its carrying value, including goodwill. The Company uses weighted results from the income approach or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 If the carrying value of goodwill exceeds its fair value, an impairment loss equal to such excess would be recognized.</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completed its annual goodwill impairment test in the fourth quarter of 2019. It determined, after performing a qualitative review of each reporting unit, that it is more likely than not that the fair value of each of our reporting units exceeds the respective carrying amounts, except for one reporting unit. Accordingly, there was an indication of impairment, and the quantitative goodwill impairment test was performed. The quantitative goodwill impairment test showed that there was no indication for impairment for the affected reporting unit.</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Other Intangible Assets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350, intangible assets with finite lives are amortized over their estimated useful lives. Unless otherwise noted, amortization is calculated using the straight-line method over the estimated useful lives of the assets as follows:</w:t>
      </w:r>
    </w:p>
    <w:p>
      <w:pPr>
        <w:spacing w:after="0" w:line="266"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6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690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3620" w:type="dxa"/>
            <w:vAlign w:val="bottom"/>
          </w:tcPr>
          <w:p>
            <w:pPr>
              <w:spacing w:after="0"/>
              <w:rPr>
                <w:sz w:val="2"/>
                <w:szCs w:val="2"/>
                <w:color w:val="auto"/>
              </w:rPr>
            </w:pPr>
          </w:p>
        </w:tc>
        <w:tc>
          <w:tcPr>
            <w:tcW w:w="69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6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6900" w:type="dxa"/>
            <w:vAlign w:val="bottom"/>
          </w:tcPr>
          <w:p>
            <w:pPr>
              <w:jc w:val="right"/>
              <w:spacing w:after="0"/>
              <w:rPr>
                <w:sz w:val="20"/>
                <w:szCs w:val="20"/>
                <w:color w:val="auto"/>
              </w:rPr>
            </w:pPr>
            <w:r>
              <w:rPr>
                <w:rFonts w:ascii="Arial" w:cs="Arial" w:eastAsia="Arial" w:hAnsi="Arial"/>
                <w:sz w:val="18"/>
                <w:szCs w:val="18"/>
                <w:color w:val="auto"/>
              </w:rPr>
              <w:t>6 - 20 years</w:t>
            </w:r>
          </w:p>
        </w:tc>
      </w:tr>
      <w:tr>
        <w:trPr>
          <w:trHeight w:val="621"/>
        </w:trPr>
        <w:tc>
          <w:tcPr>
            <w:tcW w:w="3620" w:type="dxa"/>
            <w:vAlign w:val="bottom"/>
          </w:tcPr>
          <w:p>
            <w:pPr>
              <w:spacing w:after="0"/>
              <w:rPr>
                <w:sz w:val="24"/>
                <w:szCs w:val="24"/>
                <w:color w:val="auto"/>
              </w:rPr>
            </w:pPr>
          </w:p>
        </w:tc>
        <w:tc>
          <w:tcPr>
            <w:tcW w:w="6900" w:type="dxa"/>
            <w:vAlign w:val="bottom"/>
          </w:tcPr>
          <w:p>
            <w:pPr>
              <w:jc w:val="right"/>
              <w:ind w:right="509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2019, the company did not identify an impairment. During 2018, the Company recorded a non-cash impairment charge of $7.0 million related to certain trade names as a result of combining HiFX into xe in order to operate the businesses under one brand name, xe. During 2017, the Company recorded a non-cash impairment charge of $2.3 million related to certain customer relationships as a result of the closure of the Pure Commerce office in South Korea.</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8, Goodwill and Acquired Intangible Assets, Net, to the Consolidated Financial Statements for additional information regarding the impairment of goodwill and other intangible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assets include investments in unconsolidated affiliates, capitalized software development costs and capitalized payments for new or renewed contracts, contract renewals and customer conversion costs.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13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ASC Topic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requires the deferral of incremental costs to obtain customer contracts, known as contract assets, which are then amortized to expense as part of selling, general and administrative expense over the respective periods of expected benefit. Deferred contract costs are reported on our balance sheet within current or non-current other assets based on the expected life of the related contract. At December 31, 2019 and 2018, we had $43.7 million, and $32.1 million, respectively, of deferred contract costs related to the fulfillment of future contract obligations. For the years ended December 31, 2019, 2018 and 2017, we had $6.9 million , $6.3 million and $7.2 million of amortization related to these costs, respectively.</w:t>
      </w:r>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but does not have a controlling interest. Equity losses in affiliates are generally recognized until the Company's investment is zero. As of December 31, 2019 and 2018, the Company had no material investments in unconsolidated affiliates.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(“ASC 470”),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(“ASC 810”), which requires noncontrolling interests to be reported as a component of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which requires most identifiable assets, liabilities, noncontrolling interests and goodwill acquired in a business combination to be recorded at “full fair value” at the acquisition date. Transaction-related costs are expensed in the period incurred.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 xml:space="preserve">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Company's policy is to record estimated interest and penalties related to the underpayment of income taxes as income tax expense in the Consolidated Statements of Income. See Note 13, Taxes, to the Consolidated Financial Statements for further discussion regarding these provisions.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 xml:space="preserve">The Company applies the provisions of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regarding fair value measurements for assets and liabilities. ASC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to the Consolidated Financial Statements for the required fair value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 accounts for derivative instruments and hedging activities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money transfer settlement assets and liabilities in currencies other than the U.S. dollar, derivative contracts written to its customers arising from its cross-currency money transfer services and certain assets and liability positions denominated in currencies other than the U.S. dollar. These contracts are considered derivative instruments under the provisions of ASC 815; however, the Company does not designate such instruments as hedges for accounting purposes. Accordingly, changes in the value of these contracts are recognized immediately as a component of foreign currency exchange gain (loss), net in the Consolidated Statements of Income.</w:t>
      </w:r>
    </w:p>
    <w:p>
      <w:pPr>
        <w:spacing w:after="0" w:line="13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to the Consolidated Financial Statements for further discussion of derivative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 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recognizes revenue when control of the promised goods or services is transferred to our customers, in an amount that reflects the consideration the Company expects to be entitled to in exchange for those goods or services. Sales and usage-based taxes are excluded from revenues. A description of the major components of revenue by business segment is as follows:</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u w:val="single" w:color="auto"/>
          <w:color w:val="auto"/>
        </w:rPr>
        <w:t>EFT Processing</w:t>
      </w:r>
      <w:r>
        <w:rPr>
          <w:rFonts w:ascii="Arial" w:cs="Arial" w:eastAsia="Arial" w:hAnsi="Arial"/>
          <w:sz w:val="18"/>
          <w:szCs w:val="18"/>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 and domestic and international surcharge.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 These fees can be variable based on transaction volume tiered discounts; however, as all tiered discounts are calculated monthly, the actual discount is recorded on a monthly basis.</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digital media products. These fees and commissions are received from mobile operators, content vendors or distributors or from retailers. In accordance with ASC 606, commissions are recognized as revenue during the period in which the Company provides the service. The portion of the commission that is paid to retailers is generally recorded as a direct operating cost. However, in circumstances where the Company is not the principle obligor in the distribution of the electronic payment products, those commissions are recorded as a reduction of revenue. In selling certain products, the Company is the principle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606,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2220"/>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(“Topic 606”), and subsequently modified the standard with several ASUs. The Company adopted the standard on January 1, 2018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historic accounting under Topic 605.</w:t>
      </w:r>
    </w:p>
    <w:p>
      <w:pPr>
        <w:spacing w:after="0" w:line="1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completed its review of customer contracts relative to the requirements of Topic 606 and concluded that revenues from certain customer contracts in the epay Segment should be recorded differently under the principal versus agent guidance of Topic 606. With respect to those contracts, the Company concluded that it earns a commission from content providers for distributing and processing their prepaid mobile airtime and other electronic payment products, but it is not the principal for the products themselves. As a result, the impact of the change in accounting principle was a reduction of $88.5 million in both revenues and direct operating expenses for the year ended December 31, 2018, with no impact on reported net income.</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Deferred Revenues</w:t>
      </w:r>
      <w:r>
        <w:rPr>
          <w:rFonts w:ascii="Arial" w:cs="Arial" w:eastAsia="Arial" w:hAnsi="Arial"/>
          <w:sz w:val="18"/>
          <w:szCs w:val="18"/>
          <w:color w:val="auto"/>
        </w:rPr>
        <w:t xml:space="preserve"> - The Company records deferred revenues when cash payments are received or due in advance of its performance. The decrease in the deferred revenue balance for the year ended December 31, 2019 is primarily driven by $41.4 million of revenues recognized that were included in the deferred revenue balance as of December 31, 2018, largely offset by $40.7 million of cash payments received in the current year for which the Company has not yet satisfied the performance obligations.</w:t>
      </w:r>
    </w:p>
    <w:p>
      <w:pPr>
        <w:spacing w:after="0" w:line="241"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u w:val="single" w:color="auto"/>
          <w:color w:val="auto"/>
        </w:rPr>
        <w:t>Disaggregation of Revenues -</w:t>
      </w:r>
      <w:r>
        <w:rPr>
          <w:rFonts w:ascii="Arial" w:cs="Arial" w:eastAsia="Arial" w:hAnsi="Arial"/>
          <w:sz w:val="16"/>
          <w:szCs w:val="16"/>
          <w:color w:val="auto"/>
        </w:rPr>
        <w:t xml:space="preserve"> The following table presents the Company's revenues disaggregated by segment and region.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and region. The Company recognizes foreign exchange revenues from derivative instruments in its xe operations in accordance with ASC Topic 815 and not ASC Topic 606. These revenues are not significant to the Company's consolidated revenues and are included in the following tables.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For the Year Ended December 31, 2019</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140" w:type="dxa"/>
            <w:vAlign w:val="bottom"/>
          </w:tcPr>
          <w:p>
            <w:pPr>
              <w:spacing w:after="0"/>
              <w:rPr>
                <w:sz w:val="13"/>
                <w:szCs w:val="13"/>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1,622,372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35,461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151,016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573,016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759,493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330,485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16,915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41,917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888,712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769,329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1,096,226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2,750,109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For the Year Ended December 31, 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140" w:type="dxa"/>
            <w:vAlign w:val="bottom"/>
          </w:tcPr>
          <w:p>
            <w:pPr>
              <w:spacing w:after="0"/>
              <w:rPr>
                <w:sz w:val="13"/>
                <w:szCs w:val="13"/>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491,282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1,428,867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165,930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569,005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767,241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310,593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15,330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18,308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50"/>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753,651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743,784</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1,042,962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2,536,629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As noted above, prior period amounts have not been adjusted under the modified retrospective method.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For the Year Ended December 31, 2017</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EFT</w:t>
            </w:r>
          </w:p>
        </w:tc>
        <w:tc>
          <w:tcPr>
            <w:tcW w:w="140" w:type="dxa"/>
            <w:vAlign w:val="bottom"/>
          </w:tcPr>
          <w:p>
            <w:pPr>
              <w:spacing w:after="0"/>
              <w:rPr>
                <w:sz w:val="13"/>
                <w:szCs w:val="13"/>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epay</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Money</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Processing</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Transfer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1,324,673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31,469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63,148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513,868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608,485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101,005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294,308</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18,102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27,949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50"/>
        </w:trPr>
        <w:tc>
          <w:tcPr>
            <w:tcW w:w="596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634,559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733,998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886,858</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2,252,422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As noted above, prior period amounts have not been adjusted under the modified retrospective method.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Company adopted Accounting Standards Update (ASU) 2016-02, Leases (Topic 842), as amended, as of January 1, 2019, using the modified retrospective approach and comparative periods were not restated. The new standard provides a number of optional practical expedients in transition. The Company elected the “package of practical expedients” which permits the Company not to reassess under the new standard the Company’s prior conclusions about lease identification, lease classification and initial direct costs. The Company also elected to combine lease and non-lease components and to include short term leases with an initial term of 12 months or less on the Consolidated Balance Sheets. In addition, the Company elected the hindsight practical expedient to determine the lease term for existing leases. The election of the hindsight practical expedient resulted in, for substantially all leases in effect on January 1, 2019, the lease term for implementation of this pronouncement, as the period from January 1, 2019 through the lease’s contractual termination date, rather than the actual lease life as set out in the lease agreement. Lease lives for lease agreements committed to on January 1, 2019 and, thereafter, are included based on the lease’s commencement date and termination date. In the application of hindsight, the Company evaluated the performance of all the leases and the associated markets in relation to the Company’s operations, which resulted in the determination that the exercise of renewal options would not be reasonably certain in determining the expected lease term.</w:t>
      </w:r>
    </w:p>
    <w:p>
      <w:pPr>
        <w:sectPr>
          <w:pgSz w:w="11900" w:h="16838" w:orient="portrait"/>
          <w:cols w:equalWidth="0" w:num="1">
            <w:col w:w="11420"/>
          </w:cols>
          <w:pgMar w:left="240" w:top="125" w:right="2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Adoption of the new standard resulted in the recognition of additional operating right of use lease assets and lease liabilities of approximately $269.9 million, as of January 1, 2019.</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June 2016, the Financial Accounting Standards Board ("FASB") issued ASU 2016-13,Financial Instruments - 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The adoption of this standard did not have a significant impact on the Company's consolidated financial statements and related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23495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53,449,834</w:t>
            </w:r>
          </w:p>
        </w:tc>
        <w:tc>
          <w:tcPr>
            <w:tcW w:w="1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51,487,557</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52,523,272</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Incremental shares from assumed exercise of stock options and vesting of restricted stock</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1,464,053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1,499,713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1,793,375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1,640,477</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799,680</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54,913,887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54,627,747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55,116,327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2019, 2018 and 2017 of approximately 380,000, 458,000 and 798,000, respectively.</w:t>
      </w:r>
    </w:p>
    <w:p>
      <w:pPr>
        <w:spacing w:after="0" w:line="14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The Company issued new Convertible Senior Notes ("Convertible Notes") due March 2049 on March 18, 2019 and retired the existing convertible notes ("Retired Convertible Notes") that would have matured in 2044 on May 28, 2019. The Company's Convertible Notes currently have, and the Retired Convertible Notes had,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and the Retired Convertible Notes were included in the calculation of diluted earnings per share if their inclusion was dilutive. The dilutive effect increases the more the market price exceeds the conversion price. The Retired Convertible Notes had a dilutive effect for the years ended December 31, 2018 and 2017 as the $102.38 and $84.27 market price per share of Common Stock as of December 31, 2018 and 2017 exceeded the $72.18 conversion price per share. The Convertible Notes would only have a dilutive effect if the market price per share of common stock exceeds the conversion price of $188.73 per share.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as of December 31, 2019, whereas the dilutive effect was 1,640,477 and 799,680 shares for the years ended December 31, 2018 and 2017, respectively. See Note 10, Debt Obligations, to the Consolidated Financial Statements for more information about the convertible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Board of Directors has authorized a stock repurchase program ("Repurchase Program"), allowing Euronet to repurchase up to $375 million in value or 10.0 million shares of stock through March 31, 2020. On March 11, 2019, in connection with the issuance of the Convertible Notes, the Board of Directors authorized an additional repurchase program of</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$120 million in value of the Company's common stock through March 11, 2021. On February 26, 2020, the Company put a repurchase program in place to repurchase up to $250 million in value, but not more than five million shares of common stock through February 28, 2022. Repurchases under either program may take place in the open market or in privately negotiated transactions, including derivative transactions, and may be made under a Rule 10b5-1 plan. For the year ended December 31, 2019, the Company repurchased $70.9 million in value of Euronet Common Stock under the Repurchase Program. For the year ended December 31, 2018, the company repurchased $175 million in value of Euronet common stock under the Repurchase Program. No repurchases were made during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2019 and 2018, accumulated other comprehensive loss consists entirely of foreign currency translation adjustments. The Company recorded a foreign currency translation loss of $13.9 million, a loss of $56.7 million and a gain of $116.4 million for the years ended December 31, 2019, 2018, and 2017, respectively. There were no reclassifications of foreign currency translation into the Consolidated Statements of Income for the years ended December 31, 2019, 2018, and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 dividends was paid on any class of the Company's stock during 2019, 2018, and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ASC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For certain large acquisitions, management engages an appraiser to assist in the valuation process.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Acquisitions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November 30, 2019, the Company completed the acquisition of a North American based ATM operator with approximately 1,800 ATMs.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was $92.5 million in cash. Approximately $10.1 million of the cash consideration was placed in escrow accounts to satisfy indemnification and working capital obligations of the seller, pursuant to the terms of the purchase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was preliminarily allocated to the assets acquired and liabilities assumed, including identifiable intangible assets, based on their respective fair values at the date of acquisition. The acquisition has been accounted for as business combinations in accordance with U.S. GAAP and the results of operations have been included from the date of acquisition in the EFT Processing Segment. The historical revenue and earnings were not significant for the purpose of presenting pro forma information for the current or prior-year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as of the acquisition date.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As of November 30, 2019</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Trade accounts receivable</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2,167</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16,542</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39,000</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63,832</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9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(6,790)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9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940" w:type="dxa"/>
            <w:vAlign w:val="bottom"/>
          </w:tcPr>
          <w:p>
            <w:pPr>
              <w:jc w:val="right"/>
              <w:ind w:right="11"/>
              <w:spacing w:after="0"/>
              <w:rPr>
                <w:sz w:val="20"/>
                <w:szCs w:val="20"/>
                <w:color w:val="auto"/>
              </w:rPr>
            </w:pPr>
            <w:r>
              <w:rPr>
                <w:rFonts w:ascii="Arial" w:cs="Arial" w:eastAsia="Arial" w:hAnsi="Arial"/>
                <w:sz w:val="18"/>
                <w:szCs w:val="18"/>
                <w:color w:val="auto"/>
              </w:rPr>
              <w:t>35,540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324"/>
        </w:trPr>
        <w:tc>
          <w:tcPr>
            <w:tcW w:w="9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940" w:type="dxa"/>
            <w:vAlign w:val="bottom"/>
            <w:tcBorders>
              <w:bottom w:val="single" w:sz="8" w:color="auto"/>
            </w:tcBorders>
            <w:shd w:val="clear" w:color="auto" w:fill="CCEEFF"/>
          </w:tcPr>
          <w:p>
            <w:pPr>
              <w:spacing w:after="0"/>
              <w:rPr>
                <w:sz w:val="24"/>
                <w:szCs w:val="24"/>
                <w:color w:val="auto"/>
              </w:rPr>
            </w:pP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92,502</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acquired customer relationship intangible assets with a preliminary fair value of $39.0 million, which are being amortized on a straight-line basis over 20 years.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Goodwill, with a preliminary value of $35.5 million, arising from the acquisition was included in the EFT Processing Segment and was attributable to expected growth opportunities in the United States. Goodwill and intangible assets associated with this acquisition are deductible for tax purposes.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completed three acquisitions for immaterial amounts.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Acquisitions</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completed the acquisitions of two small European businesses for an immaterial amount of cash consideration, completing one acquisition in the first quarter of 2018 and completing the other acquisition in the second quarter of 2018. The acquisitions have been accounted for as business combinations in accordance with U.S. GAAP and the results of operations have been included from the respective dates of acquisition in the EFT Processing Segment.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2019 and 2018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31,237</w:t>
            </w:r>
          </w:p>
        </w:tc>
      </w:tr>
      <w:tr>
        <w:trPr>
          <w:trHeight w:val="237"/>
        </w:trPr>
        <w:tc>
          <w:tcPr>
            <w:tcW w:w="87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Restricted cash</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34,301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31,237</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8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44,366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35,926</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9,432</w:t>
            </w:r>
          </w:p>
        </w:tc>
      </w:tr>
      <w:tr>
        <w:trPr>
          <w:trHeight w:val="237"/>
        </w:trPr>
        <w:tc>
          <w:tcPr>
            <w:tcW w:w="8780" w:type="dxa"/>
            <w:vAlign w:val="bottom"/>
            <w:gridSpan w:val="2"/>
          </w:tcPr>
          <w:p>
            <w:pPr>
              <w:ind w:left="160"/>
              <w:spacing w:after="0"/>
              <w:rPr>
                <w:sz w:val="20"/>
                <w:szCs w:val="20"/>
                <w:color w:val="auto"/>
              </w:rPr>
            </w:pPr>
            <w:r>
              <w:rPr>
                <w:rFonts w:ascii="Arial" w:cs="Arial" w:eastAsia="Arial" w:hAnsi="Arial"/>
                <w:sz w:val="18"/>
                <w:szCs w:val="18"/>
                <w:b w:val="1"/>
                <w:bCs w:val="1"/>
                <w:color w:val="auto"/>
              </w:rPr>
              <w:t>Restricted cash included within settlement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49,168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45,358</w:t>
            </w:r>
          </w:p>
        </w:tc>
      </w:tr>
      <w:tr>
        <w:trPr>
          <w:trHeight w:val="27"/>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8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57"/>
        </w:trPr>
        <w:tc>
          <w:tcPr>
            <w:tcW w:w="8780" w:type="dxa"/>
            <w:vAlign w:val="bottom"/>
            <w:gridSpan w:val="2"/>
          </w:tcPr>
          <w:p>
            <w:pPr>
              <w:ind w:left="160"/>
              <w:spacing w:after="0"/>
              <w:rPr>
                <w:sz w:val="20"/>
                <w:szCs w:val="20"/>
                <w:color w:val="auto"/>
              </w:rPr>
            </w:pPr>
            <w:r>
              <w:rPr>
                <w:rFonts w:ascii="Arial" w:cs="Arial" w:eastAsia="Arial" w:hAnsi="Arial"/>
                <w:sz w:val="18"/>
                <w:szCs w:val="18"/>
                <w:color w:val="auto"/>
              </w:rPr>
              <w:t>Total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83,469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76,595</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2019 and 2018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474,611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378,009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38,235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36,521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66,117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191,172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183,150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770,223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665,049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(410,243)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(373,180)</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359,980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291,869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finance leases, for the years ended December 31, 2019, 2018 and 2017 was $83.5 million, $75.1 million and $63.4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2019 and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2019</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(133,863)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45,347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45,233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(25,837)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346,700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305,405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(190,920)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717,386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867,929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20,742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(40,378)</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114,485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704,197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818,682</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81,551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141,847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743,823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885,670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performs its annual goodwill impairment test during the fourth quarter of each year. The annual goodwill impairment test completed during the fourth quarter of 2019 resulted in no impairment charges. During the fourth quarter of 2018, the Company recorded a $7.0 million non-cash impairment charge for acquired intangible assets, specifically the HiFX trade name, related to rebranding the HiFX business to xe.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total goodwill balance of $743.8 million as of December 31, 2019, $474.7 million relates to the Money Transfer Segment, $128.9 million relates to the epay Segment and the remaining $140.2 million relates to the EFT Processing Segment. Amortization expense for intangible assets with finite lives was $20.4 million, $22.6 million and $24.5 million for the years ended December 31, 2019, 2018 and 2017, respectively. Estimated annual amortization expense, before income taxes, on intangible assets with finite lives as of December 31, 2019, is expected to total $23.1 million for 2020, $22.2 million for 2021, $21.1 million for 2022, $16.3 million for 2023 and $9.8 million for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2019 and 2018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246,699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210,997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36,102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5,458</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294,557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252,557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 as of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Revolving credit agreements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215,725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0.75% convertible notes, unsecured, due 2049</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436,965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379,859</w:t>
            </w:r>
          </w:p>
        </w:tc>
      </w:tr>
      <w:tr>
        <w:trPr>
          <w:trHeight w:val="32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1.375% Senior Notes, due 2026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38,513</w:t>
            </w:r>
          </w:p>
        </w:tc>
      </w:tr>
      <w:tr>
        <w:trPr>
          <w:trHeight w:val="243"/>
        </w:trPr>
        <w:tc>
          <w:tcPr>
            <w:tcW w:w="8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1,116,620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634,097</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(6,298)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Carrying value of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1,097,028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627,799</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(38,017)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1,090,939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589,782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2019, aggregate annual maturities of long-term debt are $6.1 million in 2020, $0.1 million due in 2021, no maturities between 2022 and 2024, and $1.2 billion thereafter. This maturity schedule reflects the revolving credit facility maturing in 2023 the Convertible Notes maturing in 2025, coinciding with the terms of the initial put option by holders of the Convertible Notes. It also reflects the maturing of the 1.375% Senior Note of €600 million ($673.4 million) due in 2026.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the early fourth quarter of 2018, the Company early retired the senior secured revolving bank credit facility (the "Credit Facility") with a syndicate of financial institutions. The Credit Facility was subsequently replaced by a new unsecured credit agreement for $1.0 billion that expires on October 17, 2023. Fees and interest on borrowings are based upon the Company's corporate credit rating and are based, in the case of letter of credit fees, on a margin , and in the case of interest, on a margin over London Inter-Bank Offered Rate (“LIBOR”) or a margin over the base rate, as selected by the Company, with the applicable margin ranging from 1.125% to 2.0% (or 0.175% to 1.0% for base rate loans). The unsecured credit agreement allows for borrowings in Australian Dollars, British Pounds Sterling, Canadian Dollars, Czech Koruna, Danish Krone, Euros, Hungarian Forints, Japanese Yen, New Zealand Dollars, Norwegian Krone, Polish Zlotys, Swedish Krona, Swiss Francs, and U.S. Dollars. The revolving credit facility contains a $200 million sublimit for the issuance of letters of credit, a $50 million sublimit for U.S. Dollar swingline loans, and a $90 million sublimit for certain foreign currencies swingline loans.</w:t>
      </w:r>
    </w:p>
    <w:p>
      <w:pPr>
        <w:spacing w:after="0" w:line="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retired Credit Facility provided an aggregate amount of $675 million, consisting of a $590 million five-year revolving credit facility, a $10 million five-year India revolving credit facility and a $75 million five-year term loan. Fees and interest on borrowings varied based upon the Company's consolidated total leverage ratio (as defined in the amended and restated credit agreement) and were based, in the case of letter of credit fees, on a margin, and in the case of interest, on a margin over LIBOR or a margin over the base rate, as selected by the Company, with the applicable margin ranging from 1.375% to 2.375% (or 0.375% to 1.375% for base rate loans). The base rate is the highest of (i) the Bank of America prime rate, (ii) the Federal Funds rate plus 0.50% or (iii) the Fixed LIBOR rate plus 1.00%. The term loan was subject to scheduled quarterly amortization payments, as set forth in the amended and restated credit agreement.</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December 31, 2019 and 2018, the Company had stand-by letters of credit/bank guarantees outstanding against the revolving credit facilities of $53.0 million and $47.1 million, respectively. Stand-by letters of credit/bank guarantees reduce the Company's borrowing capacity under the revolving credit facility and are generally used to secure trade credit and performance obligations. As of December 31, 2019 and 2018, the stand-by letters of credit interest charges were each 1.1% per annum, respectively.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unsecured credit agreement contains customary affirmative and negative covenants, events of default and financial covenants, including: (i) as of the end of each fiscal quarter ended on March 31, September 30 and December 31, a Consolidated Total Leverage Ratio not to be greater than 3.5 to1.0; (ii) as of the end of each fiscal quarter ended on June 30, a Consolidated Total Leverage Ratio not to be greater than 4.0 to1.0; provided that, not more than two times prior to the expiration date, that a Material Acquisition has been consummated, for any period of four consecutive fiscal quarters following such Material Acquisition, the Consolidated Total Leverage Ratio will be not greater than 4.0 to1.0 for fiscal quarters ended on March 31, September 30 and December 31 and not greater than 4.5 to1.0 for fiscal quarters ended on June 30; provided, further, that following such four consecutive fiscal quarters for which the maximum Consolidated Total Leverage Ratio is increased, the maximum Consolidated Total Leverage Ratio shall revert to the levels set forth in clauses (i) and (ii) above for not fewer than two fiscal quarters before a subsequent Increase Notice is delivered to the syndicate of financial institutions; and (iii) a Consolidated Interest Coverage Ratio not less than 4.0 to 1.0. Subject to meeting certain leverage ratio and liquidity requirements as contained in the unsecured credit agreement, the Company is permitted to pay dividends, repurchase common stock and repurchase subordinated debt. The Company was in compliance with all debt covenants, as of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certain subsidiaries have guaranteed the repayment of obligations under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Uncommited Line of Credit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2019, the Company entered into an Uncommitted Loan Agreement with Bank of America which may provide Euronet up to $100.0 million under an uncommitted line of credit. Interest on borrowings is equal to LIBOR plus 0.65% and the agreement expires September 4, 2020. As of December 31, 2019, no amounts were outstanding under the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not redeem the Notes prior to September 20, 2022. The Company may redeem for cash all or any portion of the Convertible Notes, at its option, (i) on or after September 20, 2022 if the closing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December 31, 2019 the conversion threshold was not met and the Convertible Notes were not convertible during the first quarter of 2020.</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used $94.2 million of the net proceeds from the issuance of the new debt to repurchase $49 million aggregate principal amount of the Company's 1.5% Convertible Senior Notes due 2044 (the "Retired Convertible Notes") from a limited number of holders in privately negotiated transactions.</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March 18, 2019, the Company provided a notice of redemption to the trustee of the indenture governing the Retired Convertible Notes (the "Existing Indenture"), pursuant to which the Company would redeem all of the remaining principal amount outstanding of the Retired Convertible Notes on May 28, 2019 (the "Redemption Date") for cash at a redemption price equal to 100% of the principal amount of the Retired Convertible Notes redeemed plus accrued and unpaid interest, if any, to, but excluding, the Redemption Date. The issuance of the Convertible Notes and the conversion of the Retired Convertible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Notes, resulted in a $25.6 million recognition and a $34.2 million reversal of deferred tax liabilities within the additional paid-in capital as of December 31, 2019, respectively.</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Prior to the Redemption Date, approximately $352.4 million principal amount of the Retired Convertible Notes were submitted for conversion. The Company elected to settle the conversion of such Retired Convertible Notes through a combination of cash and stock. The Company paid cash equal to $1,000 for each $1,000 principal amount of Retired Convertible Notes submitted for conversion and satisfied the remainder of the conversion obligation by issuing shares of the Company's Common Stock valued at $147.24 per share. As a result, the Company paid cash of $352.4 million and issued approximately 2.5 million shares of its Common Stock. In accordance with ASC 470, the Company recognized a loss of $9.8 million on the conversion and redemption for the year ended December 31, 2019, representing the difference between the fair value of the Retired Convertible Notes converted and the carrying value of the bonds at the time of conversion. The Company is using the remainder of the net proceeds from the issuance of the Convertible Notes to finance the further growth of the business</w:t>
      </w:r>
      <w:r>
        <w:rPr>
          <w:rFonts w:ascii="Arial" w:cs="Arial" w:eastAsia="Arial" w:hAnsi="Arial"/>
          <w:sz w:val="21"/>
          <w:szCs w:val="21"/>
          <w:color w:val="auto"/>
        </w:rPr>
        <w:t>.</w:t>
      </w:r>
    </w:p>
    <w:p>
      <w:pPr>
        <w:spacing w:after="0" w:line="156" w:lineRule="exact"/>
        <w:rPr>
          <w:sz w:val="20"/>
          <w:szCs w:val="20"/>
          <w:color w:val="auto"/>
        </w:rPr>
      </w:pPr>
    </w:p>
    <w:p>
      <w:pPr>
        <w:jc w:val="both"/>
        <w:ind w:right="860"/>
        <w:spacing w:after="0" w:line="342" w:lineRule="auto"/>
        <w:rPr>
          <w:sz w:val="20"/>
          <w:szCs w:val="20"/>
          <w:color w:val="auto"/>
        </w:rPr>
      </w:pPr>
      <w:r>
        <w:rPr>
          <w:rFonts w:ascii="Arial" w:cs="Arial" w:eastAsia="Arial" w:hAnsi="Arial"/>
          <w:sz w:val="16"/>
          <w:szCs w:val="16"/>
          <w:color w:val="auto"/>
        </w:rPr>
        <w:t>Contractual interest expense for the Retired Convertible Notes was $1.5 million and $6.0 million for the year ended December 31, 2019 and 2018, respectively. Accretion expense was $4.6 million for the year ended December 31, 2019 and $11.5 million for the year ended December 31, 2018.</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Contractual interest expense for the Convertible Notes was $3.1 million for the year ended December 31, 2019. Accretion expense was $11.6 million for the year ended December 31, 2019. The effective interest rate was 4.4% for the year ended December 31, 2019. As of December 31, 2019, the unamortized discount was $88.0 million and will be amortized through March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1.375% Senior Notes due 2026</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on May 2026 (the “Senior Notes”). The Senior Notes accrue interest at a rate of 1.375% per year, payable annually in arrears commencing May 22, 2020, until maturity or earlier redemption. As of December 31, 2019, the Company has outstanding €600 million ($673.4 million) principal amount of the Senior Notes. In addition, the Company may redeem some or all of these notes on or after February 22, 2026 at their principal amount plus any accrued and unpaid interest.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Certain of the Company's subsidiaries have available lines of credit and overdraft credit facilities that generally provide for short-term borrowings that are used from time to time for working capital purposes. As of December 31, 2019 and 2018, borrowings under these arrangements were $6.2 million and $38.5 million, respectively. As of December 31, 2019, there was $6.2 million due in 2020 under these other obligation arrangements.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w:t>
      </w:r>
    </w:p>
    <w:p>
      <w:pPr>
        <w:ind w:right="20" w:firstLine="8"/>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As of December 31, 2019 and 2018, the Company had foreign currency forward contracts outstanding in the U.S. with a notional value of $159.0 million and $251.1 million, respectively. The foreign currency forward contracts consist primarily in Australian dollars, Canadian dollars, British pounds, euros and Mexican pesos.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uses forward contracts, typically with maturities from a few days to less than one year, to offset</w:t>
      </w:r>
    </w:p>
    <w:p>
      <w:pPr>
        <w:spacing w:after="0" w:line="23"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foreign exchange rate fluctuations on certain short-term borrowings that are payable in currencies other than the U.S dollar. As of December 31, 2019 and 2018, the Company had foreign currency forward contracts outstanding with a notional value of $43 million and $64.3 million, respectively, primarily in euros.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$18.9 million, $69.2 million and $72.5 million for the years ended December 31, 2019, 2018 and 2017,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aggregate equivalent U.S. dollar notional amounts of foreign currency derivative customer contracts held by the Company in its xe operations as</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of December 31, 2019 and 2018, was approximately $1.2 billion and $1.8 billion, respectively. The significant majority of customer contracts are written in major currencies such as the euro, U.S. dollar, British pound, Australian dollar and New Zealand dollar.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Asset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54,765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42"/>
              <w:spacing w:after="0"/>
              <w:rPr>
                <w:sz w:val="20"/>
                <w:szCs w:val="20"/>
                <w:color w:val="auto"/>
              </w:rPr>
            </w:pPr>
            <w:r>
              <w:rPr>
                <w:rFonts w:ascii="Arial" w:cs="Arial" w:eastAsia="Arial" w:hAnsi="Arial"/>
                <w:sz w:val="18"/>
                <w:szCs w:val="18"/>
                <w:color w:val="auto"/>
              </w:rPr>
              <w:t>44,637</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2019 and 2018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54,765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44,637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34,935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25,187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75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ind w:left="7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summarize the location and amount of gains on derivatives in the Consolidated Statements of Income for the years ended December 31, 2019, 2018 and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 Derivative Contracts</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Location of Gain (Loss) Recognized in</w:t>
            </w:r>
          </w:p>
        </w:tc>
        <w:tc>
          <w:tcPr>
            <w:tcW w:w="8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8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gain,</w:t>
            </w: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86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180" w:firstLine="8"/>
        <w:spacing w:after="0" w:line="255"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33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1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present value of lease payments is determined using the incremental borrowing rate based on information available at the lease commencement date. All leases with fixed payments, including leases with an initial term of 12 months or less are recorded on the balance sheet. The Company recognizes lease expense for these leases on a straight-line basis over the lease term.</w:t>
      </w:r>
    </w:p>
    <w:p>
      <w:pPr>
        <w:spacing w:after="0" w:line="10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to exercise the renewal or termination options, the options are not considered in determining the lease terms, and associated payment impacts are excluded from lease payments.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operating leases as of December 31, 2019 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As of December 31, 2019</w:t>
            </w:r>
          </w:p>
        </w:tc>
      </w:tr>
      <w:tr>
        <w:trPr>
          <w:trHeight w:val="251"/>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125,231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90,330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64,279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44,113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25,467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43,105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392,525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(23,195)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369,330</w:t>
            </w:r>
          </w:p>
        </w:tc>
      </w:tr>
      <w:tr>
        <w:trPr>
          <w:trHeight w:val="20"/>
        </w:trPr>
        <w:tc>
          <w:tcPr>
            <w:tcW w:w="9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 non-cancelable operating leases (with initial lease terms in excess of one year) as of December 31, 2018 were: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0"/>
              <w:spacing w:after="0"/>
              <w:rPr>
                <w:sz w:val="20"/>
                <w:szCs w:val="20"/>
                <w:color w:val="auto"/>
              </w:rPr>
            </w:pPr>
            <w:r>
              <w:rPr>
                <w:rFonts w:ascii="Arial" w:cs="Arial" w:eastAsia="Arial" w:hAnsi="Arial"/>
                <w:sz w:val="18"/>
                <w:szCs w:val="18"/>
                <w:color w:val="auto"/>
              </w:rPr>
              <w:t>2019</w:t>
            </w:r>
          </w:p>
        </w:tc>
        <w:tc>
          <w:tcPr>
            <w:tcW w:w="3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80,803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0"/>
              <w:spacing w:after="0"/>
              <w:rPr>
                <w:sz w:val="20"/>
                <w:szCs w:val="20"/>
                <w:color w:val="auto"/>
              </w:rPr>
            </w:pPr>
            <w:r>
              <w:rPr>
                <w:rFonts w:ascii="Arial" w:cs="Arial" w:eastAsia="Arial" w:hAnsi="Arial"/>
                <w:sz w:val="18"/>
                <w:szCs w:val="18"/>
                <w:color w:val="auto"/>
              </w:rPr>
              <w:t>2021</w:t>
            </w:r>
          </w:p>
        </w:tc>
        <w:tc>
          <w:tcPr>
            <w:tcW w:w="3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49,052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200"/>
              <w:spacing w:after="0"/>
              <w:rPr>
                <w:sz w:val="20"/>
                <w:szCs w:val="20"/>
                <w:color w:val="auto"/>
              </w:rPr>
            </w:pPr>
            <w:r>
              <w:rPr>
                <w:rFonts w:ascii="Arial" w:cs="Arial" w:eastAsia="Arial" w:hAnsi="Arial"/>
                <w:sz w:val="18"/>
                <w:szCs w:val="18"/>
                <w:color w:val="auto"/>
              </w:rPr>
              <w:t>2023</w:t>
            </w:r>
          </w:p>
        </w:tc>
        <w:tc>
          <w:tcPr>
            <w:tcW w:w="3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36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rPr>
              <w:t>Total minimum lease payments</w:t>
            </w:r>
          </w:p>
        </w:tc>
        <w:tc>
          <w:tcPr>
            <w:tcW w:w="3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311,651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8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xml:space="preserve">Lease Expense </w:t>
            </w:r>
            <w:r>
              <w:rPr>
                <w:rFonts w:ascii="Arial" w:cs="Arial" w:eastAsia="Arial" w:hAnsi="Arial"/>
                <w:sz w:val="14"/>
                <w:szCs w:val="14"/>
                <w:i w:val="1"/>
                <w:iCs w:val="1"/>
                <w:color w:val="auto"/>
              </w:rPr>
              <w:t>(in thousands)</w:t>
            </w:r>
          </w:p>
        </w:tc>
        <w:tc>
          <w:tcPr>
            <w:tcW w:w="36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Income Statement Classification</w:t>
            </w:r>
          </w:p>
        </w:tc>
        <w:tc>
          <w:tcPr>
            <w:tcW w:w="500" w:type="dxa"/>
            <w:vAlign w:val="bottom"/>
          </w:tcPr>
          <w:p>
            <w:pPr>
              <w:spacing w:after="0"/>
              <w:rPr>
                <w:sz w:val="24"/>
                <w:szCs w:val="24"/>
                <w:color w:val="auto"/>
              </w:rPr>
            </w:pPr>
          </w:p>
        </w:tc>
        <w:tc>
          <w:tcPr>
            <w:tcW w:w="208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220" w:type="dxa"/>
            <w:vAlign w:val="bottom"/>
            <w:tcBorders>
              <w:bottom w:val="single" w:sz="8" w:color="auto"/>
            </w:tcBorders>
            <w:gridSpan w:val="2"/>
            <w:vMerge w:val="continue"/>
          </w:tcPr>
          <w:p>
            <w:pPr>
              <w:spacing w:after="0"/>
              <w:rPr>
                <w:sz w:val="16"/>
                <w:szCs w:val="16"/>
                <w:color w:val="auto"/>
              </w:rPr>
            </w:pPr>
          </w:p>
        </w:tc>
        <w:tc>
          <w:tcPr>
            <w:tcW w:w="36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4100" w:type="dxa"/>
            <w:vAlign w:val="bottom"/>
            <w:gridSpan w:val="2"/>
          </w:tcPr>
          <w:p>
            <w:pPr>
              <w:ind w:left="60"/>
              <w:spacing w:after="0"/>
              <w:rPr>
                <w:sz w:val="20"/>
                <w:szCs w:val="20"/>
                <w:color w:val="auto"/>
              </w:rPr>
            </w:pPr>
            <w:r>
              <w:rPr>
                <w:rFonts w:ascii="Arial" w:cs="Arial" w:eastAsia="Arial" w:hAnsi="Arial"/>
                <w:sz w:val="18"/>
                <w:szCs w:val="18"/>
                <w:color w:val="auto"/>
                <w:w w:val="90"/>
              </w:rPr>
              <w:t>Selling, general and administrative and Direct operating</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Operating lease expense</w:t>
            </w:r>
          </w:p>
        </w:tc>
        <w:tc>
          <w:tcPr>
            <w:tcW w:w="3600" w:type="dxa"/>
            <w:vAlign w:val="bottom"/>
          </w:tcPr>
          <w:p>
            <w:pPr>
              <w:ind w:left="60"/>
              <w:spacing w:after="0"/>
              <w:rPr>
                <w:sz w:val="20"/>
                <w:szCs w:val="20"/>
                <w:color w:val="auto"/>
              </w:rPr>
            </w:pPr>
            <w:r>
              <w:rPr>
                <w:rFonts w:ascii="Arial" w:cs="Arial" w:eastAsia="Arial" w:hAnsi="Arial"/>
                <w:sz w:val="18"/>
                <w:szCs w:val="18"/>
                <w:color w:val="auto"/>
              </w:rPr>
              <w:t>costs</w:t>
            </w:r>
          </w:p>
        </w:tc>
        <w:tc>
          <w:tcPr>
            <w:tcW w:w="50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130,487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Selling, general and administrative and Direct operating</w:t>
            </w: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3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costs</w:t>
            </w: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43,907</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gridSpan w:val="2"/>
            <w:vMerge w:val="continue"/>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lease expense</w:t>
            </w:r>
          </w:p>
        </w:tc>
        <w:tc>
          <w:tcPr>
            <w:tcW w:w="3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174,394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8820" w:type="dxa"/>
            <w:vAlign w:val="bottom"/>
            <w:gridSpan w:val="3"/>
          </w:tcPr>
          <w:p>
            <w:pPr>
              <w:spacing w:after="0"/>
              <w:rPr>
                <w:sz w:val="20"/>
                <w:szCs w:val="20"/>
                <w:color w:val="auto"/>
              </w:rPr>
            </w:pPr>
            <w:r>
              <w:rPr>
                <w:rFonts w:ascii="Arial" w:cs="Arial" w:eastAsia="Arial" w:hAnsi="Arial"/>
                <w:sz w:val="18"/>
                <w:szCs w:val="18"/>
                <w:color w:val="auto"/>
                <w:w w:val="94"/>
              </w:rPr>
              <w:t>Other information about lease amounts recognized in the consolidated financial statements is summarized as follows: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tc>
        <w:tc>
          <w:tcPr>
            <w:tcW w:w="3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3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8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gridSpan w:val="2"/>
          </w:tcPr>
          <w:p>
            <w:pPr>
              <w:spacing w:after="0"/>
              <w:rPr>
                <w:sz w:val="2"/>
                <w:szCs w:val="2"/>
                <w:color w:val="auto"/>
              </w:rPr>
            </w:pPr>
          </w:p>
        </w:tc>
        <w:tc>
          <w:tcPr>
            <w:tcW w:w="3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36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2"/>
              </w:rPr>
              <w:t>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8820" w:type="dxa"/>
            <w:vAlign w:val="bottom"/>
            <w:gridSpan w:val="3"/>
          </w:tcPr>
          <w:p>
            <w:pPr>
              <w:spacing w:after="0"/>
              <w:rPr>
                <w:sz w:val="20"/>
                <w:szCs w:val="20"/>
                <w:color w:val="auto"/>
              </w:rPr>
            </w:pPr>
            <w:r>
              <w:rPr>
                <w:rFonts w:ascii="Arial" w:cs="Arial" w:eastAsia="Arial" w:hAnsi="Arial"/>
                <w:sz w:val="18"/>
                <w:szCs w:val="18"/>
                <w:color w:val="auto"/>
              </w:rPr>
              <w:t>The following table presents supplemental cash flow and non-cash information related to leases: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tc>
        <w:tc>
          <w:tcPr>
            <w:tcW w:w="3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w w:val="91"/>
              </w:rPr>
              <w:t>Year ended December 31, 2019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20" w:type="dxa"/>
            <w:vAlign w:val="bottom"/>
            <w:gridSpan w:val="3"/>
          </w:tcPr>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2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Supplemental non-cash information on lease liabilities arising from obtaining ROU assets:</w:t>
            </w: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w w:val="91"/>
              </w:rPr>
              <w:t>ROU assets obtained in exchange for new operating lease liabilities</w:t>
            </w:r>
          </w:p>
        </w:tc>
        <w:tc>
          <w:tcPr>
            <w:tcW w:w="36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in Net cash provided by operating activities on the Company's Consolidated Statements of Cash Flows.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before income taxes for the years ended December 31, 2019, 2018 and 2017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44,290</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35,467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55,117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389,517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259,449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201,218</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433,807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294,916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256,335</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2019, 2018 and 2017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(4,885)</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29,620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79,475</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61,533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109,095</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14,056</w:t>
            </w:r>
          </w:p>
        </w:tc>
      </w:tr>
      <w:tr>
        <w:trPr>
          <w:trHeight w:val="27"/>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(23,756)</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8,205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(9,700)</w:t>
            </w:r>
          </w:p>
        </w:tc>
      </w:tr>
      <w:tr>
        <w:trPr>
          <w:trHeight w:val="27"/>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87,112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99,395</w:t>
            </w: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is a reconciliation of the federal statutory income tax rates of 21% for the years ended December 31, 2019 and 2018 and 35% for the year ended December 31, 2017 to the effective income tax rate for the same years: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91,099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89,684</w:t>
            </w:r>
          </w:p>
        </w:tc>
      </w:tr>
      <w:tr>
        <w:trPr>
          <w:trHeight w:val="243"/>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Tax effect of:</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 income tax expense (benefit) at statutory rates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968</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2,896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5,648</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(4,845)</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Other permanent differences</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8,458</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(24,270)</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3,565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8,426</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(30,224)</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Impairment of goodwill and acquired intangibles assets</w:t>
            </w: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8,248</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GILTI, net of 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U.S. Tax Reform - transition tax and rate change</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(25,728)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41,597</w:t>
            </w:r>
          </w:p>
        </w:tc>
      </w:tr>
      <w:tr>
        <w:trPr>
          <w:trHeight w:val="27"/>
        </w:trPr>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(4,295)</w:t>
            </w:r>
          </w:p>
        </w:tc>
      </w:tr>
      <w:tr>
        <w:trPr>
          <w:trHeight w:val="27"/>
        </w:trPr>
        <w:tc>
          <w:tcPr>
            <w:tcW w:w="7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87,112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62,785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99,395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240" w:type="dxa"/>
            <w:vAlign w:val="bottom"/>
            <w:gridSpan w:val="2"/>
          </w:tcPr>
          <w:p>
            <w:pPr>
              <w:ind w:left="40"/>
              <w:spacing w:after="0"/>
              <w:rPr>
                <w:sz w:val="20"/>
                <w:szCs w:val="20"/>
                <w:color w:val="auto"/>
              </w:rPr>
            </w:pPr>
            <w:r>
              <w:rPr>
                <w:rFonts w:ascii="Arial" w:cs="Arial" w:eastAsia="Arial" w:hAnsi="Arial"/>
                <w:sz w:val="18"/>
                <w:szCs w:val="18"/>
                <w:color w:val="auto"/>
              </w:rPr>
              <w:t>Effective tax rate</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calculate our provision for federal, state and international income taxes based on current tax law. On December 22, 2017, the U.S. enacted into law what is informally called the Tax Cuts and Jobs Act of 2017 ("U.S. Tax Reform"). The most significant provisions of U.S. Tax Reform are the transition tax on previously undistributed foreign earnings of foreign subsidiaries, the reduction of the U.S. corporate statutory income tax rate from 35% to 21% beginning on January 1, 2018, and new taxes on certain foreign sourced earnings.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2017, the Company initially recorded a net provisional tax expense of $41.6 million resulting from the enactment of U.S. Tax Reform. In the fourth quarter of 2018, the Company adjusted its accounting for the tax effects of U.S. Tax Reform. The net provisional tax expense was decreased in that period by approximately $12.3 million to $29.3 million largely due to changes in the transition tax calculations. In the fourth quarter of 2019 after additional regulatory guidance was issued by applicable taxing authorities, the Company elected to claim U.S. tax credits on foreign tax paid on foreign source income, which reduced the net tax expense by $25.7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34,357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30,689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17,242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16,377</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10,619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6,913</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36,273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Lease accounting</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89,965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11,876</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278,621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137,384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(21,857)</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195,437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115,527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 assets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(22,877)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(28,274)</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(32,372)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(8,408)</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(140,608)</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Subsequently recognized tax benefits relating to the valuation allowance for deferred tax assets as of December 31, 2019 are expected to be allocated to income taxes in the Consolidated Statements of Income.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of December 31, 2019, and 2018, the Company's foreign tax loss carryforwards were $119.1 million and $109.8 million, respectively, and U.S. state tax loss carryforwards were $97.6 million and $91.8 million, respectively. In 2019, the Company has recognized $59.1 million in U.S. foreign tax credits which are largely not expected to be utilized in future periods.</w:t>
      </w:r>
    </w:p>
    <w:p>
      <w:pPr>
        <w:spacing w:after="0" w:line="18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2019.</w:t>
      </w:r>
    </w:p>
    <w:p>
      <w:pPr>
        <w:sectPr>
          <w:pgSz w:w="11900" w:h="16838" w:orient="portrait"/>
          <w:cols w:equalWidth="0" w:num="1">
            <w:col w:w="11420"/>
          </w:cols>
          <w:pgMar w:left="240" w:top="125"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5" w:right="2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had foreign tax net operating loss carryforwards of $119.1 million, which will expire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9,851</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14,427</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29,004</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 Company's state tax net operating loss carryforwards of $97.6 million will expire periodically from 2020 through 2039, U.S. foreign tax credit carryforwards of $59.1 million that will expire periodically from 2021 through 2027, U.S. research and expenditure credit carryforwards of $3.2 million that will expire over an indefinite number of years, and foreign tax credits of $2.8 million that will expire over an indefinite number of years.</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While U.S. tax expense has been recognized as a result of the transition tax and Global Intangible Low-Taxed Income ("GILTI") provisions of U.S. Tax Reform, the Company has not provided additional deferred taxes with respect to items such as certain foreign exchange gains or losses, foreign withholding taxes or additional state taxes, if any, on undistributed earnings attributable to foreign subsidiaries and it is not practical to determine the income tax liability that would be payable if such earnings were not reinvested indefinitely. Gross undistributed earnings reinvested indefinitely in foreign subsidiaries aggregated approximately $1,810 million as of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2019 and 2018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28,537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4,787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Statute of limitations expiration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44,535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30,915</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2019 and 2018, approximately $42.7 million and $28.0 million, respectively, of the unrecognized tax benefits would impact the Company's provision for income taxes and effective income tax rate, if recognized. Total estimated accrued interest and penalties related to the underpayment of income taxes was $5.2 million and $4.4 million as of December 31, 2019 and 2018, respectively. The following income tax years remain open in the Company's major jurisdictions as of December 31,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4060" w:type="dxa"/>
            <w:vAlign w:val="bottom"/>
          </w:tcPr>
          <w:p>
            <w:pPr>
              <w:ind w:left="8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8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4"/>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2014 through 2019</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Germany</w:t>
            </w:r>
          </w:p>
        </w:tc>
        <w:tc>
          <w:tcPr>
            <w:tcW w:w="4060" w:type="dxa"/>
            <w:vAlign w:val="bottom"/>
          </w:tcPr>
          <w:p>
            <w:pPr>
              <w:ind w:left="820"/>
              <w:spacing w:after="0"/>
              <w:rPr>
                <w:sz w:val="20"/>
                <w:szCs w:val="20"/>
                <w:color w:val="auto"/>
              </w:rPr>
            </w:pPr>
            <w:r>
              <w:rPr>
                <w:rFonts w:ascii="Arial" w:cs="Arial" w:eastAsia="Arial" w:hAnsi="Arial"/>
                <w:sz w:val="18"/>
                <w:szCs w:val="18"/>
                <w:color w:val="auto"/>
              </w:rPr>
              <w:t>2016 through 2019</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40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2014 through 2019</w:t>
            </w: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Spain</w:t>
            </w:r>
          </w:p>
        </w:tc>
        <w:tc>
          <w:tcPr>
            <w:tcW w:w="4060" w:type="dxa"/>
            <w:vAlign w:val="bottom"/>
          </w:tcPr>
          <w:p>
            <w:pPr>
              <w:ind w:left="820"/>
              <w:spacing w:after="0"/>
              <w:rPr>
                <w:sz w:val="20"/>
                <w:szCs w:val="20"/>
                <w:color w:val="auto"/>
              </w:rPr>
            </w:pPr>
            <w:r>
              <w:rPr>
                <w:rFonts w:ascii="Arial" w:cs="Arial" w:eastAsia="Arial" w:hAnsi="Arial"/>
                <w:sz w:val="18"/>
                <w:szCs w:val="18"/>
                <w:color w:val="auto"/>
              </w:rPr>
              <w:t>2014 through 2019</w:t>
            </w:r>
          </w:p>
        </w:tc>
      </w:tr>
      <w:tr>
        <w:trPr>
          <w:trHeight w:val="27"/>
        </w:trPr>
        <w:tc>
          <w:tcPr>
            <w:tcW w:w="188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43"/>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U.K.</w:t>
            </w:r>
          </w:p>
        </w:tc>
        <w:tc>
          <w:tcPr>
            <w:tcW w:w="4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2009 through 2019</w:t>
            </w:r>
          </w:p>
        </w:tc>
      </w:tr>
      <w:tr>
        <w:trPr>
          <w:trHeight w:val="27"/>
        </w:trPr>
        <w:tc>
          <w:tcPr>
            <w:tcW w:w="18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Trade accounts receivable balances and accounts receivable included within the settlement assets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2019, 2018 and 2017:</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6,631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1,902</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20,958</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five years from the date of grant, are generally exercisable during the shorter of a ten-year term or the term of employment with the Company. With the exception of certain awards made to the Company's employees in Germany, Singapore and Malaysia, awards under the SCP are settled through the issuance of new shares under the provisions of the SCP. For Company employees in Germany, Singapore and Malaysia, certain awards are settled through the issuance of treasury shares, which also reduces the number of shares available for future issuance under the SCP. As of December 31, 2019, the Company has approximately 2.1 million in total shares remaining available for issuance under the SCP.</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$21.4 million, $16.8 million and $15.6 million for the years ended December 31, 2019, 2018 and 2017, respectively, and was recorded in salaries and benefits expense in the accompanying Consolidated Statements of Income. The Company recorded a tax benefit of $4.9 million, $2.7 million and $2.3 million during the years ended December 31, 2019, 2018 and 2017, respectively, for the portion of this expense that relates to foreign tax jurisdictions in which an income tax benefit is expected to be derived.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 (1,637,801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2,562,570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795,274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(295,420)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Forfeited/Canceled</w:t>
            </w:r>
          </w:p>
        </w:tc>
        <w:tc>
          <w:tcPr>
            <w:tcW w:w="1260" w:type="dxa"/>
            <w:vAlign w:val="bottom"/>
          </w:tcPr>
          <w:p>
            <w:pPr>
              <w:jc w:val="right"/>
              <w:spacing w:after="0"/>
              <w:rPr>
                <w:sz w:val="20"/>
                <w:szCs w:val="20"/>
                <w:color w:val="auto"/>
              </w:rPr>
            </w:pPr>
            <w:r>
              <w:rPr>
                <w:rFonts w:ascii="Arial" w:cs="Arial" w:eastAsia="Arial" w:hAnsi="Arial"/>
                <w:sz w:val="18"/>
                <w:szCs w:val="18"/>
                <w:color w:val="auto"/>
              </w:rPr>
              <w:t>(46,287)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89.67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2019</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3,015,775</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81.29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230,052</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2019</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1,653,340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183,846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8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2019</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2,383,821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0"/>
              <w:spacing w:after="0"/>
              <w:rPr>
                <w:sz w:val="20"/>
                <w:szCs w:val="20"/>
                <w:color w:val="auto"/>
              </w:rPr>
            </w:pPr>
            <w:r>
              <w:rPr>
                <w:rFonts w:ascii="Arial" w:cs="Arial" w:eastAsia="Arial" w:hAnsi="Arial"/>
                <w:sz w:val="18"/>
                <w:szCs w:val="18"/>
                <w:color w:val="auto"/>
              </w:rPr>
              <w:t>216,739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$13.1 million, $17.1 million and $9.5 million in connection with stock options exercised in the years ended December 31, 2019, 2018 and 2017, respectively. The intrinsic value of these options exercised was $30.6 million, $73.0 million and $23.2 million in the years ended December 31, 2019, 2018 and 2017, respectively. As of December 31, 2019, unrecognized compensation expense related to nonvested stock options that are expected to vest totaled $23.9 million and will be recognized over the next 5 years, with an overall weighted-average period of 3.4 years. The following table provides the fair value of options granted under the SCP during 2019, 2018 and 2017,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42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42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5.2 years</w:t>
            </w:r>
          </w:p>
        </w:tc>
        <w:tc>
          <w:tcPr>
            <w:tcW w:w="44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5.6 years</w:t>
            </w:r>
          </w:p>
        </w:tc>
        <w:tc>
          <w:tcPr>
            <w:tcW w:w="40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5.5 years</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28.59</w:t>
            </w:r>
          </w:p>
        </w:tc>
      </w:tr>
      <w:tr>
        <w:trPr>
          <w:trHeight w:val="27"/>
        </w:trPr>
        <w:tc>
          <w:tcPr>
            <w:tcW w:w="6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At the date of grant, the risk fee rate for stock options awarded in 2019 and 2018 was 1.7% and 2.8%,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371,841</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254,631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145.93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(115,740)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(16,784)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493,948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fair value of shares vested in the years ended December 31, 2019, 2018 and 2017 was $16.6 million, $14.2 million and $13.1 million, respectively. As of December 31, 2019, there was $11.4 million of total unrecognized compensation cost related to unvested time-based restricted stock, which is expected to be recognized over a weighted-average period of 3.3 years. As of December 31, 2019, there was $11.2 million of total unrecognized compensation costs related to unvested performance-based restricted stock, which is expected to be recognized based on Company performance over a weighted-average period of 1.8 years. The weighted average grant date fair value of restricted stock granted during the years ended December 31, 2019, 2018 and 2017 was $145.93, $107.88 and $91.28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2019, 2018 and 2017, the Company issued 16,713, 21,872 and 21,547 rights, respectively, to purchase shares of Common Stock at a weighted average price per share of $110.37, $71.08 and $69.06, respectively. The grant date fair value of the option to purchase shares at the lower of the closing price at the beginning or end of the quarterly period, plus the actual total discount provided, are recorded as compensation expense. Total compensation expense recorded was $0.4 million, $0.4 million, and $0.4 million for the years ended December 31, 2019, 2018 and 2017, respectively. The following table provides the weighted-average fair value of the ESPP stock purchase rights during the years ended December 31, 2019, 2018 and 2017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2017</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20.3% to 28.1%</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23.5% to 36.7%</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14.6% to 27.2%</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1.55% to 2.44%</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1.73% to 2.45%</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0.51% to 1.39%</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5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15.81</w:t>
            </w:r>
          </w:p>
        </w:tc>
      </w:tr>
      <w:tr>
        <w:trPr>
          <w:trHeight w:val="27"/>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30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domestic and international surcharge and other value added services. Through this segment, the Company also offers a suite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integrated electronic financial transaction software solutions for electronic payment and transaction delivery systems.</w:t>
      </w:r>
    </w:p>
    <w:p>
      <w:pPr>
        <w:spacing w:after="0" w:line="117" w:lineRule="exact"/>
        <w:rPr>
          <w:sz w:val="20"/>
          <w:szCs w:val="20"/>
          <w:color w:val="auto"/>
        </w:rPr>
      </w:pPr>
    </w:p>
    <w:p>
      <w:pPr>
        <w:ind w:left="980" w:right="700" w:hanging="648"/>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62" w:lineRule="exact"/>
        <w:rPr>
          <w:rFonts w:ascii="Arial" w:cs="Arial" w:eastAsia="Arial" w:hAnsi="Arial"/>
          <w:sz w:val="18"/>
          <w:szCs w:val="18"/>
          <w:color w:val="auto"/>
        </w:rPr>
      </w:pPr>
    </w:p>
    <w:p>
      <w:pPr>
        <w:ind w:left="980" w:right="120" w:hanging="648"/>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Through the Money Transfer Segment, the Company provides global money transfer services under the brand names, Ria,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2019, 2018 and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888,712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769,329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1,096,226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2,750,109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586,730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1,556,483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87,603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208,792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111,744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592,072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680,125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961,436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41,282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2,274,915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296,640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475,194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(36,237)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on early retirement of debt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(41,387)</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433,807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1,914,144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962,671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4,657,666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266,872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41,539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51,519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359,980</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753,651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743,784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1,042,962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2,536,629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564,252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560,930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1,488,406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194,808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32,085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360,432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46,925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216,807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556,406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664,787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920,436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37,086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2,178,715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197,245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357,914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1,220,141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780,220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1,310,775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10,019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3,321,155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215,106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31,172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45,517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291,869</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634,559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733,998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886,858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2,252,422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318,875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1,356,250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54,459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26,274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310,787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31,770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471,662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695,897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782,313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1,986,425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162,897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265,997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(32,571)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256,335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1,040,135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695,990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1,255,765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148,139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3,140,029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196,451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28,135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43,564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268,303</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2019, 2018 and 2017, and property and equipment and total assets as of December 31, 2019 and 2018,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721,977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572,383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717,894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493,428</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518,146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476,122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495,778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35,824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25,302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660,730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508,062</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198,082</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135,006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133,132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136,977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520,549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519,918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103,691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210,910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157,314</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130,104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126,513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128,672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42,916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50,359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222,582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155,821</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92,468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89,923</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94,352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75,466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56,027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96,636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76,687</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71,197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58,419</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Malaysia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74,948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76,380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56,287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114,796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103,043</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62,844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61,215</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47,611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47,091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237,076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196,869</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468,785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397,334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323,095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72,279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1,167,303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702,374</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2,033,533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1,814,652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1,680,039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310,076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262,370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3,939,772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2,827,727</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2,750,109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2,536,629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2,252,422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359,980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291,869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4,657,666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3,321,155</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54,765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(41,935)</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44,637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(36,102)</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using quoted prices in inactive markets for identical liabilities (Level 2). As of December 31, 2019 , the fair values of the Convertible Notes and Senior Notes were $569.4 million and $668.2 million, respectively, with carrying values of $437 million and $673.4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 and Contingencies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2019, the Company had $79.6 million of stand-by letters of credit/bank guarantees issued on its behalf, of which $3.7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2019, the Company granted off balance sheet guarantees for cash in various ATM networks amounting to $12.5 million over the terms of the cash supply agreements and performance guarantees amounting to approximately $49.6 million over the terms of the agreements with the customers.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63" w:lineRule="exact"/>
        <w:rPr>
          <w:sz w:val="20"/>
          <w:szCs w:val="20"/>
          <w:color w:val="auto"/>
        </w:rPr>
      </w:pPr>
    </w:p>
    <w:p>
      <w:pPr>
        <w:ind w:left="980" w:right="260" w:hanging="648"/>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2019, the balance of such cash used in the Company's ATM networks for which the Company was responsible was approximately $489 million. The Company maintains insurance policies to mitigate this exposure;</w:t>
      </w:r>
    </w:p>
    <w:p>
      <w:pPr>
        <w:spacing w:after="0" w:line="78" w:lineRule="exact"/>
        <w:rPr>
          <w:rFonts w:ascii="Arial" w:cs="Arial" w:eastAsia="Arial" w:hAnsi="Arial"/>
          <w:sz w:val="18"/>
          <w:szCs w:val="18"/>
          <w:color w:val="auto"/>
        </w:rPr>
      </w:pPr>
    </w:p>
    <w:p>
      <w:pPr>
        <w:ind w:left="980" w:right="140" w:hanging="648"/>
        <w:spacing w:after="0" w:line="31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2019 or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Company leases an airplane from a company owned by Mr. Michael J. Brown, Euronet's Chief Executive Officer, President and Chairman of the Board of Directors. The airplane is leased for business use on a per flight hour basis at competitive commercial rates with no minimum usage requirement. Euronet incurred expenses of $0.3 million, $0.3 million and $0.4 million during the years ended December 31, 2019, 2018 and 2017, respectively, for the use of this airplane.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$50 thousand, $38 thousand and $49 thousand under this agreement in each of 2019, 2018 and 2017,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Data (Unaudited)</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2018</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550,515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622,224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714,505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649,385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71,160</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26,344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43,636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102,257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59,894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(loss)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59,991</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(loss)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1.10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2019</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577,509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691,867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786,986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693,747</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107,213</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34,579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137,541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106,570</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106,446</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1.91</w:t>
            </w:r>
          </w:p>
        </w:tc>
      </w:tr>
      <w:tr>
        <w:trPr>
          <w:trHeight w:val="945"/>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of Euronet Worldwide, Inc. assessed the effectiveness of the Company's internal control over financial reporting as of December 31, 2019. In making this assessment, it used the criteria set forth by the Committee of Sponsoring Organizations of the Treadway Commission in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(2013). Based on these criteria and our assessment, we have determined that, as of December 31, 2019, the Company's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26, 2020, the Board of Directors of the Company authorized a stock repurchase plan providing for the repurchase of up to $250 million in value of Euronet common stock, but not more than five million shares, through February 28, 2022. Repurchases may take place in the open market or in privately negotiated transactions including derivative transactions, and may be made under a Rule 10b5-1 Plan. The program may be discontinued or amended at any time.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under “Election of Directors,” “Section 16(a) Reports” and “Meetings and Committees of the Board of Directors” in the Delinquent Proxy Statement for the 2020 Annual Meeting of Stockholders, which will be filed with the SEC no later than 120 days after December 31, 2019,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“Information about our Executive Officers” in Part I of this Annual Report on Form 10-K and incorporated herein by reference.</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For Investors/Corporate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under “Compensation Tables,” “Compensation Discussion and Analysis,” “Director Compensation,” “Report of Compensation Committee” and “Compensation Committee Interlocks and Insider Participation” in the Proxy Statement for the 2020 Annual Meeting of Stockholders, which will be filed with the SEC no later than 120 days after December 31, 2019,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information under “Beneficial Ownership of Common Stock”, “Election of Directors”and "Equity Compensation Plan Information" in the Proxy Statement for the 2020 Annual Meeting of Stockholders, which will be filed with the SEC no later than 120 days after December 31, 2019,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information under “Certain Relationships and Related Transactions and Director Independence” in the Proxy Statement for the 2020 Annual Meeting of Stockholders, which will be filed with the SEC no later than 120 days after December 31, 2019, is incorporated herein by reference.</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2020 Annual Meeting of Stockholders, which will be filed with the SEC no later than 120 days after December 31, 2019,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color w:val="auto"/>
        </w:rPr>
        <w:t>The Consolidated Financial Statements and accompanying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20" w:type="dxa"/>
            <w:vAlign w:val="bottom"/>
            <w:gridSpan w:val="14"/>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10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0" w:type="dxa"/>
            <w:vAlign w:val="bottom"/>
            <w:tcBorders>
              <w:top w:val="single" w:sz="8" w:color="auto"/>
              <w:bottom w:val="single" w:sz="8" w:color="0000FF"/>
            </w:tcBorders>
            <w:gridSpan w:val="15"/>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Certificate of Incorporation of Euronet Worldwide, Inc., as amended (filed as Exhibit 3.2 to the Company's Current Report on Form 8-K filed</w:t>
              </w:r>
            </w:hyperlink>
          </w:p>
        </w:tc>
        <w:tc>
          <w:tcPr>
            <w:tcW w:w="4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on May 22, 2009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12"/>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Certificate of Amendment to Certificate of Incorporation of Euronet Worldwide, Inc. (filed as Exhibit 3.1 to the Company's Current Report</w:t>
              </w:r>
            </w:hyperlink>
          </w:p>
        </w:tc>
        <w:tc>
          <w:tcPr>
            <w:tcW w:w="22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on Form 8-K filed on May 22, 2009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14"/>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Amended and Restated Certificate of Designations, Preferences and Rights of Series A Junior Participating Preferred Stock (filed as Exhibit</w:t>
              </w:r>
            </w:hyperlink>
          </w:p>
        </w:tc>
        <w:tc>
          <w:tcPr>
            <w:tcW w:w="1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March 29, 2013,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tcBorders>
              <w:bottom w:val="single" w:sz="8" w:color="0000FF"/>
            </w:tcBorders>
            <w:gridSpan w:val="10"/>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Amended and Restated Bylaws of Euronet Worldwide, Inc. (filed as Exhibit 3.2 to the Company's Current Report on Form 8-K filed on</w:t>
              </w:r>
            </w:hyperlink>
          </w:p>
        </w:tc>
        <w:tc>
          <w:tcPr>
            <w:tcW w:w="4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February 28, 2017, and incorporated herein by reference)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13"/>
          </w:tcPr>
          <w:p>
            <w:pPr>
              <w:spacing w:after="0"/>
              <w:rPr>
                <w:rFonts w:ascii="Arial" w:cs="Arial" w:eastAsia="Arial" w:hAnsi="Arial"/>
                <w:sz w:val="18"/>
                <w:szCs w:val="18"/>
                <w:color w:val="0000FF"/>
                <w:w w:val="91"/>
              </w:rPr>
            </w:pPr>
            <w:hyperlink r:id="rId22">
              <w:r>
                <w:rPr>
                  <w:rFonts w:ascii="Arial" w:cs="Arial" w:eastAsia="Arial" w:hAnsi="Arial"/>
                  <w:sz w:val="18"/>
                  <w:szCs w:val="18"/>
                  <w:color w:val="0000FF"/>
                  <w:w w:val="91"/>
                </w:rPr>
                <w:t>Indenture, dated May 22, 2019, between Euronet Worldwide, Inc. and U.S. Bank National Association, as trustee (filed as Exhibit 4.1 to the</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16"/>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Company's Current Report on Form 8-K filed on May 22, 2019 and incorporated by reference herein)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11"/>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Supplemental Indenture, dated May 22, 2019, between Euronet Worldwide, Inc. and U.S. Bank National Association, as trustee (filed as</w:t>
              </w:r>
            </w:hyperlink>
          </w:p>
        </w:tc>
        <w:tc>
          <w:tcPr>
            <w:tcW w:w="4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Exhibit 4.2 to the Company's Current Report on Form 8-K filed on May 22, 2019 and incorporated by reference herein)</w:t>
              </w:r>
            </w:hyperlink>
          </w:p>
        </w:tc>
        <w:tc>
          <w:tcPr>
            <w:tcW w:w="1620" w:type="dxa"/>
            <w:vAlign w:val="bottom"/>
            <w:gridSpan w:val="8"/>
          </w:tcPr>
          <w:p>
            <w:pPr>
              <w:spacing w:after="0"/>
              <w:rPr>
                <w:sz w:val="17"/>
                <w:szCs w:val="17"/>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FF"/>
              </w:rPr>
            </w:pPr>
            <w:hyperlink r:id="rId22">
              <w:r>
                <w:rPr>
                  <w:rFonts w:ascii="Arial" w:cs="Arial" w:eastAsia="Arial" w:hAnsi="Arial"/>
                  <w:sz w:val="18"/>
                  <w:szCs w:val="18"/>
                  <w:color w:val="0000FF"/>
                </w:rPr>
                <w:t>Form of 1.375% Senior Note due 2026 (included as Exhibit A to Exhibit 4.1 above).</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4"/>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r>
      <w:tr>
        <w:trPr>
          <w:trHeight w:val="57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16"/>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Indenture, dated March 18, 2019, between the Company and U.S. Bank National Association, as trustee (filed as Exhibit 4.1 to the</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Company's Current Report on Form 8-K filed on March 18, 2019 and incorporated by reference herein)</w:t>
              </w:r>
            </w:hyperlink>
          </w:p>
        </w:tc>
        <w:tc>
          <w:tcPr>
            <w:tcW w:w="840" w:type="dxa"/>
            <w:vAlign w:val="bottom"/>
            <w:gridSpan w:val="7"/>
          </w:tcPr>
          <w:p>
            <w:pPr>
              <w:spacing w:after="0"/>
              <w:rPr>
                <w:sz w:val="17"/>
                <w:szCs w:val="17"/>
                <w:color w:val="auto"/>
              </w:rPr>
            </w:pPr>
          </w:p>
        </w:tc>
      </w:tr>
      <w:tr>
        <w:trPr>
          <w:trHeight w:val="804"/>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Borders>
              <w:top w:val="single" w:sz="8" w:color="0000FF"/>
            </w:tcBorders>
            <w:gridSpan w:val="3"/>
          </w:tcPr>
          <w:p>
            <w:pPr>
              <w:ind w:left="4400"/>
              <w:spacing w:after="0"/>
              <w:rPr>
                <w:sz w:val="20"/>
                <w:szCs w:val="20"/>
                <w:color w:val="auto"/>
              </w:rPr>
            </w:pPr>
            <w:r>
              <w:rPr>
                <w:rFonts w:ascii="Arial" w:cs="Arial" w:eastAsia="Arial" w:hAnsi="Arial"/>
                <w:sz w:val="18"/>
                <w:szCs w:val="18"/>
                <w:color w:val="auto"/>
              </w:rPr>
              <w:t>106</w:t>
            </w:r>
          </w:p>
        </w:tc>
        <w:tc>
          <w:tcPr>
            <w:tcW w:w="7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4.5</w:t>
            </w:r>
          </w:p>
        </w:tc>
        <w:tc>
          <w:tcPr>
            <w:tcW w:w="10180" w:type="dxa"/>
            <w:vAlign w:val="bottom"/>
            <w:gridSpan w:val="28"/>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0.75% Convertible Senior Note due 2049 (included as Exhibit A to Exhibit 4.4 above)</w:t>
              </w:r>
            </w:hyperlink>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4.6</w:t>
            </w:r>
          </w:p>
        </w:tc>
        <w:tc>
          <w:tcPr>
            <w:tcW w:w="18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114">
              <w:r>
                <w:rPr>
                  <w:rFonts w:ascii="Arial" w:cs="Arial" w:eastAsia="Arial" w:hAnsi="Arial"/>
                  <w:sz w:val="18"/>
                  <w:szCs w:val="18"/>
                  <w:color w:val="0000FF"/>
                  <w:w w:val="91"/>
                </w:rPr>
                <w:t>Description of Securities</w:t>
              </w:r>
            </w:hyperlink>
          </w:p>
        </w:tc>
        <w:tc>
          <w:tcPr>
            <w:tcW w:w="5040" w:type="dxa"/>
            <w:vAlign w:val="bottom"/>
            <w:tcBorders>
              <w:top w:val="single" w:sz="8" w:color="0000FF"/>
            </w:tcBorders>
            <w:gridSpan w:val="6"/>
          </w:tcPr>
          <w:p>
            <w:pPr>
              <w:spacing w:after="0"/>
              <w:rPr>
                <w:sz w:val="24"/>
                <w:szCs w:val="24"/>
                <w:color w:val="auto"/>
              </w:rPr>
            </w:pPr>
          </w:p>
        </w:tc>
        <w:tc>
          <w:tcPr>
            <w:tcW w:w="3340" w:type="dxa"/>
            <w:vAlign w:val="bottom"/>
            <w:gridSpan w:val="19"/>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w:t>
            </w:r>
          </w:p>
        </w:tc>
        <w:tc>
          <w:tcPr>
            <w:tcW w:w="10080" w:type="dxa"/>
            <w:vAlign w:val="bottom"/>
            <w:tcBorders>
              <w:bottom w:val="single" w:sz="8" w:color="0000FF"/>
            </w:tcBorders>
            <w:gridSpan w:val="24"/>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Employee Restricted Stock Grant Agreement pursuant to Euronet Worldwide, Inc. 2006 Stock Incentive Plan (filed as Exhibit 10.8</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to the Company's Quarterly Report on Form 10-Q filed on August 4, 2006,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10.2</w:t>
            </w:r>
          </w:p>
        </w:tc>
        <w:tc>
          <w:tcPr>
            <w:tcW w:w="10160" w:type="dxa"/>
            <w:vAlign w:val="bottom"/>
            <w:tcBorders>
              <w:bottom w:val="single" w:sz="8" w:color="0000FF"/>
            </w:tcBorders>
            <w:gridSpan w:val="27"/>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Form of Employee Restricted Stock Unit Agreement for Executives and Directors pursuant to Euronet Worldwide, Inc. 2006 Stock Incentive</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Plan (filed as Exhibit 10.39 to the Company's Annual Report on Form 10- K filed February 28, 2007, and incorporated by reference herein)</w:t>
              </w:r>
            </w:hyperlink>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(2)</w:t>
              </w:r>
            </w:hyperlink>
          </w:p>
        </w:tc>
        <w:tc>
          <w:tcPr>
            <w:tcW w:w="14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150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10.3</w:t>
            </w:r>
          </w:p>
        </w:tc>
        <w:tc>
          <w:tcPr>
            <w:tcW w:w="10180" w:type="dxa"/>
            <w:vAlign w:val="bottom"/>
            <w:gridSpan w:val="28"/>
          </w:tcPr>
          <w:p>
            <w:pPr>
              <w:spacing w:after="0"/>
              <w:rPr>
                <w:rFonts w:ascii="Arial" w:cs="Arial" w:eastAsia="Arial" w:hAnsi="Arial"/>
                <w:sz w:val="18"/>
                <w:szCs w:val="18"/>
                <w:color w:val="0000FF"/>
                <w:w w:val="96"/>
              </w:rPr>
            </w:pPr>
            <w:hyperlink r:id="rId27">
              <w:r>
                <w:rPr>
                  <w:rFonts w:ascii="Arial" w:cs="Arial" w:eastAsia="Arial" w:hAnsi="Arial"/>
                  <w:sz w:val="18"/>
                  <w:szCs w:val="18"/>
                  <w:color w:val="0000FF"/>
                  <w:w w:val="96"/>
                </w:rPr>
                <w:t>Employment Agreement dated June 19, 2007 between Euronet Worldwide, Inc. and Kevin J. Caponecchi (filed as Exhibit 10.1 to the</w:t>
              </w:r>
            </w:hyperlink>
          </w:p>
        </w:tc>
      </w:tr>
      <w:tr>
        <w:trPr>
          <w:trHeight w:val="196"/>
        </w:trPr>
        <w:tc>
          <w:tcPr>
            <w:tcW w:w="1140" w:type="dxa"/>
            <w:vAlign w:val="bottom"/>
          </w:tcPr>
          <w:p>
            <w:pPr>
              <w:spacing w:after="0"/>
              <w:rPr>
                <w:sz w:val="17"/>
                <w:szCs w:val="17"/>
                <w:color w:val="auto"/>
              </w:rPr>
            </w:pPr>
          </w:p>
        </w:tc>
        <w:tc>
          <w:tcPr>
            <w:tcW w:w="95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Company's Current Report on Form 8-K filed on June 25, 2007, and incorporated by reference herein) (2)</w:t>
              </w:r>
            </w:hyperlink>
          </w:p>
        </w:tc>
        <w:tc>
          <w:tcPr>
            <w:tcW w:w="600" w:type="dxa"/>
            <w:vAlign w:val="bottom"/>
            <w:gridSpan w:val="1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gridSpan w:val="28"/>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Amended and Restated Employment Agreement dated April 10, 2008 between Euronet Worldwide, Inc. and Michael J. Brown, Chairman</w:t>
              </w:r>
            </w:hyperlink>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and Chief Executive Officer (filed as Exhibit 10.3 to the Company's Quarterly Report on Form 10-Q filed on May 9, 2008, and incorporated</w:t>
              </w:r>
            </w:hyperlink>
          </w:p>
        </w:tc>
      </w:tr>
      <w:tr>
        <w:trPr>
          <w:trHeight w:val="196"/>
        </w:trPr>
        <w:tc>
          <w:tcPr>
            <w:tcW w:w="1140" w:type="dxa"/>
            <w:vAlign w:val="bottom"/>
          </w:tcPr>
          <w:p>
            <w:pPr>
              <w:spacing w:after="0"/>
              <w:rPr>
                <w:sz w:val="17"/>
                <w:szCs w:val="17"/>
                <w:color w:val="auto"/>
              </w:rPr>
            </w:pPr>
          </w:p>
        </w:tc>
        <w:tc>
          <w:tcPr>
            <w:tcW w:w="101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by reference herein) (2)</w:t>
              </w:r>
            </w:hyperlink>
          </w:p>
        </w:tc>
        <w:tc>
          <w:tcPr>
            <w:tcW w:w="8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10.5</w:t>
            </w:r>
          </w:p>
        </w:tc>
        <w:tc>
          <w:tcPr>
            <w:tcW w:w="10080" w:type="dxa"/>
            <w:vAlign w:val="bottom"/>
            <w:tcBorders>
              <w:bottom w:val="single" w:sz="8" w:color="0000FF"/>
            </w:tcBorders>
            <w:gridSpan w:val="24"/>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Amended and Restated Employment Agreement dated April 10, 2008 between Euronet Worldwide, Inc. and Rick L. Weller, Executive Vice</w:t>
              </w:r>
            </w:hyperlink>
          </w:p>
        </w:tc>
        <w:tc>
          <w:tcPr>
            <w:tcW w:w="10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President and Chief Financial Officer (filed as Exhibit 10.4 to the Company's Quarterly Report on Form 10-Q filed on May 9, 2008, and</w:t>
              </w:r>
            </w:hyperlink>
          </w:p>
        </w:tc>
        <w:tc>
          <w:tcPr>
            <w:tcW w:w="36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incorporated by reference herein) (2)</w:t>
              </w:r>
            </w:hyperlink>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10.6</w:t>
            </w:r>
          </w:p>
        </w:tc>
        <w:tc>
          <w:tcPr>
            <w:tcW w:w="10180" w:type="dxa"/>
            <w:vAlign w:val="bottom"/>
            <w:gridSpan w:val="28"/>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Amended and Restated Employment Agreement dated April 10, 2008 between Euronet Worldwide, Inc. and Juan C. Bianchi, Executive Vice</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President and Managing Director, Money Transfer Segment (filed as Exhibit 10.6 to the Company's Quarterly Report on Form 10-Q filed on</w:t>
              </w:r>
            </w:hyperlink>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9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May 9, 2008, and incorporated by reference herein) (2)</w:t>
              </w:r>
            </w:hyperlink>
          </w:p>
        </w:tc>
        <w:tc>
          <w:tcPr>
            <w:tcW w:w="6200" w:type="dxa"/>
            <w:vAlign w:val="bottom"/>
            <w:gridSpan w:val="22"/>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10.7</w:t>
            </w:r>
          </w:p>
        </w:tc>
        <w:tc>
          <w:tcPr>
            <w:tcW w:w="10060" w:type="dxa"/>
            <w:vAlign w:val="bottom"/>
            <w:tcBorders>
              <w:bottom w:val="single" w:sz="8" w:color="0000FF"/>
            </w:tcBorders>
            <w:gridSpan w:val="23"/>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Form of Indemnification Agreement, (filed as Exhibit 10.1 to the Company's Current Report on Form 8-K filed on December 22, 2008, and</w:t>
              </w:r>
            </w:hyperlink>
          </w:p>
        </w:tc>
        <w:tc>
          <w:tcPr>
            <w:tcW w:w="12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incorporated by reference herein)</w:t>
              </w:r>
            </w:hyperlink>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10180" w:type="dxa"/>
            <w:vAlign w:val="bottom"/>
            <w:gridSpan w:val="28"/>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Euronet Worldwide, Inc. 2006 Stock Incentive Plan, as amended and restated (filed as Appendix A to the Company's Definitive Proxy</w:t>
              </w:r>
            </w:hyperlink>
          </w:p>
        </w:tc>
      </w:tr>
      <w:tr>
        <w:trPr>
          <w:trHeight w:val="196"/>
        </w:trPr>
        <w:tc>
          <w:tcPr>
            <w:tcW w:w="1140" w:type="dxa"/>
            <w:vAlign w:val="bottom"/>
          </w:tcPr>
          <w:p>
            <w:pPr>
              <w:spacing w:after="0"/>
              <w:rPr>
                <w:sz w:val="17"/>
                <w:szCs w:val="17"/>
                <w:color w:val="auto"/>
              </w:rPr>
            </w:pPr>
          </w:p>
        </w:tc>
        <w:tc>
          <w:tcPr>
            <w:tcW w:w="54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Statement filed on April 15, 2013, and incorporated by reference herein) (2)</w:t>
              </w:r>
            </w:hyperlink>
          </w:p>
        </w:tc>
        <w:tc>
          <w:tcPr>
            <w:tcW w:w="4180" w:type="dxa"/>
            <w:vAlign w:val="bottom"/>
            <w:tcBorders>
              <w:top w:val="single" w:sz="8" w:color="0000FF"/>
            </w:tcBorders>
            <w:gridSpan w:val="9"/>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10180" w:type="dxa"/>
            <w:vAlign w:val="bottom"/>
            <w:gridSpan w:val="28"/>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Form of Employee Restricted Stock Unit Agreement, as amended, pursuant to Euronet Worldwide, Inc. 2006 Stock Incentive Plan (filed as</w:t>
              </w:r>
            </w:hyperlink>
          </w:p>
        </w:tc>
      </w:tr>
      <w:tr>
        <w:trPr>
          <w:trHeight w:val="196"/>
        </w:trPr>
        <w:tc>
          <w:tcPr>
            <w:tcW w:w="1140" w:type="dxa"/>
            <w:vAlign w:val="bottom"/>
          </w:tcPr>
          <w:p>
            <w:pPr>
              <w:spacing w:after="0"/>
              <w:rPr>
                <w:sz w:val="17"/>
                <w:szCs w:val="17"/>
                <w:color w:val="auto"/>
              </w:rPr>
            </w:pPr>
          </w:p>
        </w:tc>
        <w:tc>
          <w:tcPr>
            <w:tcW w:w="1002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Exhibit 10.1 to the Company's Quarterly Report on Form 10-Q filed on May 7, 2010 and incorporated by reference herein) (2)</w:t>
              </w:r>
            </w:hyperlink>
          </w:p>
        </w:tc>
        <w:tc>
          <w:tcPr>
            <w:tcW w:w="160" w:type="dxa"/>
            <w:vAlign w:val="bottom"/>
            <w:gridSpan w:val="7"/>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10180" w:type="dxa"/>
            <w:vAlign w:val="bottom"/>
            <w:gridSpan w:val="28"/>
          </w:tcPr>
          <w:p>
            <w:pPr>
              <w:spacing w:after="0"/>
              <w:rPr>
                <w:rFonts w:ascii="Arial" w:cs="Arial" w:eastAsia="Arial" w:hAnsi="Arial"/>
                <w:sz w:val="18"/>
                <w:szCs w:val="18"/>
                <w:color w:val="0000FF"/>
                <w:w w:val="96"/>
              </w:rPr>
            </w:pPr>
            <w:hyperlink r:id="rId34">
              <w:r>
                <w:rPr>
                  <w:rFonts w:ascii="Arial" w:cs="Arial" w:eastAsia="Arial" w:hAnsi="Arial"/>
                  <w:sz w:val="18"/>
                  <w:szCs w:val="18"/>
                  <w:color w:val="0000FF"/>
                  <w:w w:val="96"/>
                </w:rPr>
                <w:t>Form of Nonqualified Stock Option Agreement, as amended, pursuant to Euronet Worldwide, Inc. 2006 Stock Incentive Plan (filed as</w:t>
              </w:r>
            </w:hyperlink>
          </w:p>
        </w:tc>
      </w:tr>
      <w:tr>
        <w:trPr>
          <w:trHeight w:val="196"/>
        </w:trPr>
        <w:tc>
          <w:tcPr>
            <w:tcW w:w="1140" w:type="dxa"/>
            <w:vAlign w:val="bottom"/>
          </w:tcPr>
          <w:p>
            <w:pPr>
              <w:spacing w:after="0"/>
              <w:rPr>
                <w:sz w:val="17"/>
                <w:szCs w:val="17"/>
                <w:color w:val="auto"/>
              </w:rPr>
            </w:pPr>
          </w:p>
        </w:tc>
        <w:tc>
          <w:tcPr>
            <w:tcW w:w="9640" w:type="dxa"/>
            <w:vAlign w:val="bottom"/>
            <w:tcBorders>
              <w:top w:val="single" w:sz="8" w:color="0000FF"/>
            </w:tcBorders>
            <w:gridSpan w:val="15"/>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Exhibit 10.2 to the Company's Quarterly Report on Form 10-Q filed on May 7, 2010 and incorporated by reference herein) (2)</w:t>
              </w:r>
            </w:hyperlink>
          </w:p>
        </w:tc>
        <w:tc>
          <w:tcPr>
            <w:tcW w:w="540" w:type="dxa"/>
            <w:vAlign w:val="bottom"/>
            <w:gridSpan w:val="1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10.11.1</w:t>
            </w:r>
          </w:p>
        </w:tc>
        <w:tc>
          <w:tcPr>
            <w:tcW w:w="10180" w:type="dxa"/>
            <w:vAlign w:val="bottom"/>
            <w:gridSpan w:val="28"/>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Employment Agreement dated May 21, 2018 between Euronet Worldwide, Inc. and Nikos Fountas (filed as Exhibit 10.1 to the Company's</w:t>
              </w:r>
            </w:hyperlink>
          </w:p>
        </w:tc>
      </w:tr>
      <w:tr>
        <w:trPr>
          <w:trHeight w:val="196"/>
        </w:trPr>
        <w:tc>
          <w:tcPr>
            <w:tcW w:w="1140" w:type="dxa"/>
            <w:vAlign w:val="bottom"/>
          </w:tcPr>
          <w:p>
            <w:pPr>
              <w:spacing w:after="0"/>
              <w:rPr>
                <w:sz w:val="17"/>
                <w:szCs w:val="17"/>
                <w:color w:val="auto"/>
              </w:rPr>
            </w:pPr>
          </w:p>
        </w:tc>
        <w:tc>
          <w:tcPr>
            <w:tcW w:w="6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Current Report on Form 8-K filed on May 23, 2018 and incorporated by reference herein) (2)</w:t>
              </w:r>
            </w:hyperlink>
          </w:p>
        </w:tc>
        <w:tc>
          <w:tcPr>
            <w:tcW w:w="3240" w:type="dxa"/>
            <w:vAlign w:val="bottom"/>
            <w:tcBorders>
              <w:top w:val="single" w:sz="8" w:color="0000FF"/>
            </w:tcBorders>
            <w:gridSpan w:val="12"/>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10.11.2</w:t>
            </w:r>
          </w:p>
        </w:tc>
        <w:tc>
          <w:tcPr>
            <w:tcW w:w="10180" w:type="dxa"/>
            <w:vAlign w:val="bottom"/>
            <w:gridSpan w:val="28"/>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Deed of Amendment to the Service Agreement dated May 21, 2018 between Euronet Worldwide, Inc. and Nikos Fountas (filed as Exhibit</w:t>
              </w:r>
            </w:hyperlink>
          </w:p>
        </w:tc>
      </w:tr>
      <w:tr>
        <w:trPr>
          <w:trHeight w:val="196"/>
        </w:trPr>
        <w:tc>
          <w:tcPr>
            <w:tcW w:w="1140" w:type="dxa"/>
            <w:vAlign w:val="bottom"/>
          </w:tcPr>
          <w:p>
            <w:pPr>
              <w:spacing w:after="0"/>
              <w:rPr>
                <w:sz w:val="17"/>
                <w:szCs w:val="17"/>
                <w:color w:val="auto"/>
              </w:rPr>
            </w:pPr>
          </w:p>
        </w:tc>
        <w:tc>
          <w:tcPr>
            <w:tcW w:w="87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Company's Quarterly Report on Form 10-Q filed on August 3, 2018 and incorporated by reference herein) (2)</w:t>
              </w:r>
            </w:hyperlink>
          </w:p>
        </w:tc>
        <w:tc>
          <w:tcPr>
            <w:tcW w:w="1220" w:type="dxa"/>
            <w:vAlign w:val="bottom"/>
            <w:tcBorders>
              <w:top w:val="single" w:sz="8" w:color="0000FF"/>
            </w:tcBorders>
            <w:gridSpan w:val="7"/>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10180" w:type="dxa"/>
            <w:vAlign w:val="bottom"/>
            <w:gridSpan w:val="28"/>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Bonus Compensation Agreement between Euronet Worldwide, Inc. and Nikos Fountas, Senior Vice President - Managing Director, Europe</w:t>
              </w:r>
            </w:hyperlink>
          </w:p>
        </w:tc>
      </w:tr>
      <w:tr>
        <w:trPr>
          <w:trHeight w:val="20"/>
        </w:trPr>
        <w:tc>
          <w:tcPr>
            <w:tcW w:w="114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8320" w:type="dxa"/>
            <w:vAlign w:val="bottom"/>
            <w:gridSpan w:val="19"/>
            <w:shd w:val="clear" w:color="auto" w:fill="0000FF"/>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8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EFT Processing Segment (filed as Exhibit 10.26 to the Company's Annual Report on Form 10-K filed on February 25, 2011 and incorporated</w:t>
              </w:r>
            </w:hyperlink>
          </w:p>
        </w:tc>
      </w:tr>
      <w:tr>
        <w:trPr>
          <w:trHeight w:val="196"/>
        </w:trPr>
        <w:tc>
          <w:tcPr>
            <w:tcW w:w="1140" w:type="dxa"/>
            <w:vAlign w:val="bottom"/>
          </w:tcPr>
          <w:p>
            <w:pPr>
              <w:spacing w:after="0"/>
              <w:rPr>
                <w:sz w:val="17"/>
                <w:szCs w:val="17"/>
                <w:color w:val="auto"/>
              </w:rPr>
            </w:pPr>
          </w:p>
        </w:tc>
        <w:tc>
          <w:tcPr>
            <w:tcW w:w="10180" w:type="dxa"/>
            <w:vAlign w:val="bottom"/>
            <w:gridSpan w:val="28"/>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by reference herein) (2)</w:t>
              </w:r>
            </w:hyperlink>
          </w:p>
        </w:tc>
      </w:tr>
      <w:tr>
        <w:trPr>
          <w:trHeight w:val="20"/>
        </w:trPr>
        <w:tc>
          <w:tcPr>
            <w:tcW w:w="1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60"/>
          </w:cols>
          <w:pgMar w:left="240" w:top="125" w:right="29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10160" w:type="dxa"/>
            <w:vAlign w:val="bottom"/>
            <w:tcBorders>
              <w:bottom w:val="single" w:sz="8" w:color="0000FF"/>
            </w:tcBorders>
            <w:gridSpan w:val="16"/>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Euronet Worldwide, Inc. Employee Stock Purchase Plan, as amended (filed as Exhibit 10.18 to the Company's Annual Report on Form 10-K</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filed on February 26, 2016 and incorporated by reference herein) (2)</w:t>
              </w:r>
            </w:hyperlink>
          </w:p>
        </w:tc>
        <w:tc>
          <w:tcPr>
            <w:tcW w:w="5260" w:type="dxa"/>
            <w:vAlign w:val="bottom"/>
            <w:gridSpan w:val="9"/>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40" w:type="dxa"/>
            <w:vAlign w:val="bottom"/>
            <w:tcBorders>
              <w:bottom w:val="single" w:sz="8" w:color="0000FF"/>
            </w:tcBorders>
            <w:gridSpan w:val="15"/>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Euronet Worldwide, Inc. Executive Annual Incentive Plan, as amended and restated (filed as Appendix B to the Company's Definitive Proxy</w:t>
              </w:r>
            </w:hyperlink>
          </w:p>
        </w:tc>
        <w:tc>
          <w:tcPr>
            <w:tcW w:w="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Statement on Form DEF 14A filed on April 8, 2016 and incorporated by reference herein) (2)</w:t>
              </w:r>
            </w:hyperlink>
          </w:p>
        </w:tc>
      </w:tr>
      <w:tr>
        <w:trPr>
          <w:trHeight w:val="20"/>
        </w:trPr>
        <w:tc>
          <w:tcPr>
            <w:tcW w:w="11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FF"/>
            </w:tcBorders>
            <w:gridSpan w:val="17"/>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Credit agreement dated as of October 17, 2018 among Euronet Worldwide, Inc. and certain subsidiaries, as borrowers, certain subsidiaries, as</w:t>
              </w:r>
            </w:hyperlink>
          </w:p>
        </w:tc>
      </w:tr>
      <w:tr>
        <w:trPr>
          <w:trHeight w:val="196"/>
        </w:trPr>
        <w:tc>
          <w:tcPr>
            <w:tcW w:w="1140" w:type="dxa"/>
            <w:vAlign w:val="bottom"/>
          </w:tcPr>
          <w:p>
            <w:pPr>
              <w:spacing w:after="0"/>
              <w:rPr>
                <w:sz w:val="17"/>
                <w:szCs w:val="17"/>
                <w:color w:val="auto"/>
              </w:rPr>
            </w:pPr>
          </w:p>
        </w:tc>
        <w:tc>
          <w:tcPr>
            <w:tcW w:w="102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guarantors, the lenders party thereto, Bank of America, N.A., as administrative agent, Wells Fargo Bank, National Association and U.S. Bank</w:t>
              </w:r>
            </w:hyperlink>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National Association, as co-syndication agents, et al. (filed as Exhibit 10.1 to the Company's Quarterly Report on Form 10-Q filed on</w:t>
              </w:r>
            </w:hyperlink>
          </w:p>
        </w:tc>
        <w:tc>
          <w:tcPr>
            <w:tcW w:w="5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200" w:type="dxa"/>
            <w:vAlign w:val="bottom"/>
            <w:gridSpan w:val="1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November 2, 2018 and incorporated by reference herein)</w:t>
              </w:r>
            </w:hyperlink>
          </w:p>
        </w:tc>
      </w:tr>
      <w:tr>
        <w:trPr>
          <w:trHeight w:val="20"/>
        </w:trPr>
        <w:tc>
          <w:tcPr>
            <w:tcW w:w="11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200" w:type="dxa"/>
            <w:vAlign w:val="bottom"/>
            <w:gridSpan w:val="17"/>
          </w:tcPr>
          <w:p>
            <w:pPr>
              <w:spacing w:after="0"/>
              <w:rPr>
                <w:rFonts w:ascii="Arial" w:cs="Arial" w:eastAsia="Arial" w:hAnsi="Arial"/>
                <w:sz w:val="18"/>
                <w:szCs w:val="18"/>
                <w:color w:val="0000FF"/>
                <w:w w:val="96"/>
              </w:rPr>
            </w:pPr>
            <w:hyperlink r:id="rId41">
              <w:r>
                <w:rPr>
                  <w:rFonts w:ascii="Arial" w:cs="Arial" w:eastAsia="Arial" w:hAnsi="Arial"/>
                  <w:sz w:val="18"/>
                  <w:szCs w:val="18"/>
                  <w:color w:val="0000FF"/>
                  <w:w w:val="96"/>
                </w:rPr>
                <w:t>Form of Nonqualified Stock Option Agreement, as amended, pursuant to Euronet Worldwide, Inc. 2006 Stock Incentive Plan (filed as</w:t>
              </w:r>
            </w:hyperlink>
          </w:p>
        </w:tc>
      </w:tr>
      <w:tr>
        <w:trPr>
          <w:trHeight w:val="196"/>
        </w:trPr>
        <w:tc>
          <w:tcPr>
            <w:tcW w:w="1140" w:type="dxa"/>
            <w:vAlign w:val="bottom"/>
          </w:tcPr>
          <w:p>
            <w:pPr>
              <w:spacing w:after="0"/>
              <w:rPr>
                <w:sz w:val="17"/>
                <w:szCs w:val="17"/>
                <w:color w:val="auto"/>
              </w:rPr>
            </w:pPr>
          </w:p>
        </w:tc>
        <w:tc>
          <w:tcPr>
            <w:tcW w:w="91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10.19 to the Company's Annual Report on Form 10-K filed on March 1, 2018 and incorporated by reference herein) (2)</w:t>
              </w:r>
            </w:hyperlink>
          </w:p>
        </w:tc>
        <w:tc>
          <w:tcPr>
            <w:tcW w:w="460" w:type="dxa"/>
            <w:vAlign w:val="bottom"/>
            <w:tcBorders>
              <w:top w:val="single" w:sz="8" w:color="0000FF"/>
            </w:tcBorders>
            <w:gridSpan w:val="2"/>
          </w:tcPr>
          <w:p>
            <w:pPr>
              <w:spacing w:after="0"/>
              <w:rPr>
                <w:sz w:val="17"/>
                <w:szCs w:val="17"/>
                <w:color w:val="auto"/>
              </w:rPr>
            </w:pPr>
          </w:p>
        </w:tc>
        <w:tc>
          <w:tcPr>
            <w:tcW w:w="560" w:type="dxa"/>
            <w:vAlign w:val="bottom"/>
            <w:gridSpan w:val="4"/>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10200" w:type="dxa"/>
            <w:vAlign w:val="bottom"/>
            <w:gridSpan w:val="17"/>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Form of Restricted Stock Unit Agreement, as amended, pursuant to Euronet Worldwide, Inc. 2006 Stock Incentive Plan (filed as Exhibit</w:t>
              </w:r>
            </w:hyperlink>
          </w:p>
        </w:tc>
      </w:tr>
      <w:tr>
        <w:trPr>
          <w:trHeight w:val="196"/>
        </w:trPr>
        <w:tc>
          <w:tcPr>
            <w:tcW w:w="1140" w:type="dxa"/>
            <w:vAlign w:val="bottom"/>
          </w:tcPr>
          <w:p>
            <w:pPr>
              <w:spacing w:after="0"/>
              <w:rPr>
                <w:sz w:val="17"/>
                <w:szCs w:val="17"/>
                <w:color w:val="auto"/>
              </w:rPr>
            </w:pPr>
          </w:p>
        </w:tc>
        <w:tc>
          <w:tcPr>
            <w:tcW w:w="86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 xml:space="preserve"> to the Company's Annual Report on Form 10-K filed on March 1, 2018 and incorporated by reference herein) (2)</w:t>
              </w:r>
            </w:hyperlink>
          </w:p>
        </w:tc>
        <w:tc>
          <w:tcPr>
            <w:tcW w:w="1220" w:type="dxa"/>
            <w:vAlign w:val="bottom"/>
            <w:tcBorders>
              <w:top w:val="single" w:sz="8" w:color="0000FF"/>
            </w:tcBorders>
            <w:gridSpan w:val="4"/>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10200" w:type="dxa"/>
            <w:vAlign w:val="bottom"/>
            <w:gridSpan w:val="17"/>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Subsidiaries of the Registrant (1)</w:t>
              </w:r>
            </w:hyperlink>
          </w:p>
        </w:tc>
      </w:tr>
      <w:tr>
        <w:trPr>
          <w:trHeight w:val="20"/>
        </w:trPr>
        <w:tc>
          <w:tcPr>
            <w:tcW w:w="114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20" w:type="dxa"/>
            <w:vAlign w:val="bottom"/>
            <w:gridSpan w:val="10"/>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458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35">
              <w:r>
                <w:rPr>
                  <w:rFonts w:ascii="Arial" w:cs="Arial" w:eastAsia="Arial" w:hAnsi="Arial"/>
                  <w:sz w:val="18"/>
                  <w:szCs w:val="18"/>
                  <w:color w:val="0000FF"/>
                  <w:w w:val="91"/>
                </w:rPr>
                <w:t>Consent of Independent Registered Public Accounting Firm (1)</w:t>
              </w:r>
            </w:hyperlink>
          </w:p>
        </w:tc>
        <w:tc>
          <w:tcPr>
            <w:tcW w:w="5620" w:type="dxa"/>
            <w:vAlign w:val="bottom"/>
            <w:gridSpan w:val="10"/>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880" w:type="dxa"/>
            <w:vAlign w:val="bottom"/>
            <w:tcBorders>
              <w:bottom w:val="single" w:sz="8" w:color="0000FF"/>
            </w:tcBorders>
          </w:tcPr>
          <w:p>
            <w:pPr>
              <w:spacing w:after="0"/>
              <w:rPr>
                <w:rFonts w:ascii="Arial" w:cs="Arial" w:eastAsia="Arial" w:hAnsi="Arial"/>
                <w:sz w:val="18"/>
                <w:szCs w:val="18"/>
                <w:color w:val="0000FF"/>
                <w:w w:val="90"/>
              </w:rPr>
            </w:pPr>
            <w:hyperlink w:anchor="page136">
              <w:r>
                <w:rPr>
                  <w:rFonts w:ascii="Arial" w:cs="Arial" w:eastAsia="Arial" w:hAnsi="Arial"/>
                  <w:sz w:val="18"/>
                  <w:szCs w:val="18"/>
                  <w:color w:val="0000FF"/>
                  <w:w w:val="90"/>
                </w:rPr>
                <w:t>Section 302</w:t>
              </w:r>
            </w:hyperlink>
          </w:p>
        </w:tc>
        <w:tc>
          <w:tcPr>
            <w:tcW w:w="3380" w:type="dxa"/>
            <w:vAlign w:val="bottom"/>
            <w:tcBorders>
              <w:bottom w:val="single" w:sz="8" w:color="0000FF"/>
            </w:tcBorders>
            <w:gridSpan w:val="5"/>
          </w:tcPr>
          <w:p>
            <w:pPr>
              <w:ind w:left="20"/>
              <w:spacing w:after="0"/>
              <w:rPr>
                <w:rFonts w:ascii="Arial" w:cs="Arial" w:eastAsia="Arial" w:hAnsi="Arial"/>
                <w:sz w:val="18"/>
                <w:szCs w:val="18"/>
                <w:color w:val="0000FF"/>
                <w:w w:val="94"/>
              </w:rPr>
            </w:pPr>
            <w:hyperlink w:anchor="page136">
              <w:r>
                <w:rPr>
                  <w:rFonts w:ascii="Arial" w:cs="Arial" w:eastAsia="Arial" w:hAnsi="Arial"/>
                  <w:sz w:val="18"/>
                  <w:szCs w:val="18"/>
                  <w:color w:val="0000FF"/>
                  <w:w w:val="94"/>
                </w:rPr>
                <w:t>— Certification of Chief Executive Officer (1)</w:t>
              </w:r>
            </w:hyperlink>
          </w:p>
        </w:tc>
        <w:tc>
          <w:tcPr>
            <w:tcW w:w="5940" w:type="dxa"/>
            <w:vAlign w:val="bottom"/>
            <w:gridSpan w:val="11"/>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rFonts w:ascii="Arial" w:cs="Arial" w:eastAsia="Arial" w:hAnsi="Arial"/>
                <w:sz w:val="18"/>
                <w:szCs w:val="18"/>
                <w:color w:val="0000FF"/>
                <w:w w:val="90"/>
              </w:rPr>
            </w:pPr>
            <w:hyperlink w:anchor="page137">
              <w:r>
                <w:rPr>
                  <w:rFonts w:ascii="Arial" w:cs="Arial" w:eastAsia="Arial" w:hAnsi="Arial"/>
                  <w:sz w:val="18"/>
                  <w:szCs w:val="18"/>
                  <w:color w:val="0000FF"/>
                  <w:w w:val="90"/>
                </w:rPr>
                <w:t>Section 302</w:t>
              </w:r>
            </w:hyperlink>
          </w:p>
        </w:tc>
        <w:tc>
          <w:tcPr>
            <w:tcW w:w="9320" w:type="dxa"/>
            <w:vAlign w:val="bottom"/>
            <w:gridSpan w:val="16"/>
          </w:tcPr>
          <w:p>
            <w:pPr>
              <w:ind w:left="20"/>
              <w:spacing w:after="0"/>
              <w:rPr>
                <w:rFonts w:ascii="Arial" w:cs="Arial" w:eastAsia="Arial" w:hAnsi="Arial"/>
                <w:sz w:val="18"/>
                <w:szCs w:val="18"/>
                <w:color w:val="0000FF"/>
              </w:rPr>
            </w:pPr>
            <w:hyperlink w:anchor="page137">
              <w:r>
                <w:rPr>
                  <w:rFonts w:ascii="Arial" w:cs="Arial" w:eastAsia="Arial" w:hAnsi="Arial"/>
                  <w:sz w:val="18"/>
                  <w:szCs w:val="18"/>
                  <w:color w:val="0000FF"/>
                </w:rPr>
                <w:t>— Certification of Chief Financial Officer (1)</w:t>
              </w:r>
            </w:hyperlink>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8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138">
              <w:r>
                <w:rPr>
                  <w:rFonts w:ascii="Arial" w:cs="Arial" w:eastAsia="Arial" w:hAnsi="Arial"/>
                  <w:sz w:val="18"/>
                  <w:szCs w:val="18"/>
                  <w:color w:val="0000FF"/>
                  <w:w w:val="90"/>
                </w:rPr>
                <w:t>Section 906</w:t>
              </w:r>
            </w:hyperlink>
          </w:p>
        </w:tc>
        <w:tc>
          <w:tcPr>
            <w:tcW w:w="322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5"/>
              </w:rPr>
            </w:pPr>
            <w:hyperlink w:anchor="page138">
              <w:r>
                <w:rPr>
                  <w:rFonts w:ascii="Arial" w:cs="Arial" w:eastAsia="Arial" w:hAnsi="Arial"/>
                  <w:sz w:val="18"/>
                  <w:szCs w:val="18"/>
                  <w:color w:val="0000FF"/>
                  <w:w w:val="95"/>
                </w:rPr>
                <w:t>Certification of Chief Executive Officer (3)</w:t>
              </w:r>
            </w:hyperlink>
          </w:p>
        </w:tc>
        <w:tc>
          <w:tcPr>
            <w:tcW w:w="100" w:type="dxa"/>
            <w:vAlign w:val="bottom"/>
            <w:tcBorders>
              <w:top w:val="single" w:sz="8" w:color="0000FF"/>
            </w:tcBorders>
          </w:tcPr>
          <w:p>
            <w:pPr>
              <w:spacing w:after="0"/>
              <w:rPr>
                <w:sz w:val="24"/>
                <w:szCs w:val="24"/>
                <w:color w:val="auto"/>
              </w:rPr>
            </w:pPr>
          </w:p>
        </w:tc>
        <w:tc>
          <w:tcPr>
            <w:tcW w:w="6000" w:type="dxa"/>
            <w:vAlign w:val="bottom"/>
            <w:gridSpan w:val="12"/>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rFonts w:ascii="Arial" w:cs="Arial" w:eastAsia="Arial" w:hAnsi="Arial"/>
                <w:sz w:val="18"/>
                <w:szCs w:val="18"/>
                <w:color w:val="0000FF"/>
                <w:w w:val="90"/>
              </w:rPr>
            </w:pPr>
            <w:hyperlink w:anchor="page139">
              <w:r>
                <w:rPr>
                  <w:rFonts w:ascii="Arial" w:cs="Arial" w:eastAsia="Arial" w:hAnsi="Arial"/>
                  <w:sz w:val="18"/>
                  <w:szCs w:val="18"/>
                  <w:color w:val="0000FF"/>
                  <w:w w:val="90"/>
                </w:rPr>
                <w:t>Section 906</w:t>
              </w:r>
            </w:hyperlink>
          </w:p>
        </w:tc>
        <w:tc>
          <w:tcPr>
            <w:tcW w:w="9320" w:type="dxa"/>
            <w:vAlign w:val="bottom"/>
            <w:gridSpan w:val="16"/>
          </w:tcPr>
          <w:p>
            <w:pPr>
              <w:ind w:left="20"/>
              <w:spacing w:after="0"/>
              <w:rPr>
                <w:rFonts w:ascii="Arial" w:cs="Arial" w:eastAsia="Arial" w:hAnsi="Arial"/>
                <w:sz w:val="18"/>
                <w:szCs w:val="18"/>
                <w:color w:val="0000FF"/>
              </w:rPr>
            </w:pPr>
            <w:hyperlink w:anchor="page139">
              <w:r>
                <w:rPr>
                  <w:rFonts w:ascii="Arial" w:cs="Arial" w:eastAsia="Arial" w:hAnsi="Arial"/>
                  <w:sz w:val="18"/>
                  <w:szCs w:val="18"/>
                  <w:color w:val="0000FF"/>
                </w:rPr>
                <w:t>Certification of Chief Financial Officer (3)</w:t>
              </w:r>
            </w:hyperlink>
          </w:p>
        </w:tc>
      </w:tr>
      <w:tr>
        <w:trPr>
          <w:trHeight w:val="20"/>
        </w:trPr>
        <w:tc>
          <w:tcPr>
            <w:tcW w:w="11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7" w:lineRule="exact"/>
        <w:rPr>
          <w:sz w:val="20"/>
          <w:szCs w:val="20"/>
          <w:color w:val="auto"/>
        </w:rPr>
      </w:pPr>
    </w:p>
    <w:p>
      <w:pPr>
        <w:ind w:left="1180" w:right="80" w:hanging="1145"/>
        <w:spacing w:after="0" w:line="255"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2018, formatted inline XBRL (eXtensible Business Reporting Language): (i) Consolidated Balance Sheets at December 31, 2018 and 2017, (ii) Consolidated Statements of Income for the years ended December 31, 2018, 2017 and 2016, (iii) Consolidated Statements of Comprehensive Income for the years ended December 31, 2018, 2017 and 2016, (iv) Consolidated Statements of Changes in Equity for the years ended December 31, 2018, 2017 and 2016, (v) Consolidated Statements of Cash Flows for the years ended December 31, 2018, 2017 and 2016, and (vi) Notes to the Consolidated Financial Statements.</w:t>
      </w:r>
    </w:p>
    <w:p>
      <w:pPr>
        <w:spacing w:after="0" w:line="328" w:lineRule="exact"/>
        <w:rPr>
          <w:sz w:val="20"/>
          <w:szCs w:val="20"/>
          <w:color w:val="auto"/>
        </w:rPr>
      </w:pPr>
    </w:p>
    <w:p>
      <w:pPr>
        <w:ind w:left="1180" w:hanging="1145"/>
        <w:spacing w:after="0"/>
        <w:tabs>
          <w:tab w:leader="none" w:pos="11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Cover Page Interactive Data File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125" w:right="27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40"/>
          </w:cols>
          <w:pgMar w:left="240" w:top="125" w:right="31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10"/>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4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6"/>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1"/>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8"/>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7"/>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1"/>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color w:val="auto"/>
                <w:w w:val="93"/>
              </w:rPr>
              <w:t>/s/ Andrzej Olechowski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11"/>
          </w:tcPr>
          <w:p>
            <w:pPr>
              <w:jc w:val="center"/>
              <w:ind w:right="60"/>
              <w:spacing w:after="0"/>
              <w:rPr>
                <w:sz w:val="20"/>
                <w:szCs w:val="20"/>
                <w:color w:val="auto"/>
              </w:rPr>
            </w:pPr>
            <w:r>
              <w:rPr>
                <w:rFonts w:ascii="Arial" w:cs="Arial" w:eastAsia="Arial" w:hAnsi="Arial"/>
                <w:sz w:val="18"/>
                <w:szCs w:val="18"/>
                <w:b w:val="1"/>
                <w:bCs w:val="1"/>
                <w:color w:val="auto"/>
                <w:w w:val="91"/>
              </w:rPr>
              <w:t>Andrzej Olechowski</w:t>
            </w:r>
          </w:p>
        </w:tc>
        <w:tc>
          <w:tcPr>
            <w:tcW w:w="860" w:type="dxa"/>
            <w:vAlign w:val="bottom"/>
            <w:gridSpan w:val="4"/>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4"/>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7"/>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2660" w:type="dxa"/>
            <w:vAlign w:val="bottom"/>
            <w:gridSpan w:val="18"/>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5"/>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5"/>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3"/>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1900" w:type="dxa"/>
            <w:vAlign w:val="bottom"/>
            <w:tcBorders>
              <w:bottom w:val="single" w:sz="8" w:color="auto"/>
            </w:tcBorders>
            <w:gridSpan w:val="17"/>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2660" w:type="dxa"/>
            <w:vAlign w:val="bottom"/>
            <w:gridSpan w:val="18"/>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4"/>
          </w:tcPr>
          <w:p>
            <w:pPr>
              <w:jc w:val="center"/>
              <w:ind w:right="960"/>
              <w:spacing w:after="0"/>
              <w:rPr>
                <w:sz w:val="20"/>
                <w:szCs w:val="20"/>
                <w:color w:val="auto"/>
              </w:rPr>
            </w:pPr>
            <w:r>
              <w:rPr>
                <w:rFonts w:ascii="Arial" w:cs="Arial" w:eastAsia="Arial" w:hAnsi="Arial"/>
                <w:sz w:val="18"/>
                <w:szCs w:val="18"/>
                <w:color w:val="auto"/>
                <w:w w:val="93"/>
              </w:rPr>
              <w:t>/s/ Mark R. Callegari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Mark R. Callegari</w:t>
            </w:r>
          </w:p>
        </w:tc>
        <w:tc>
          <w:tcPr>
            <w:tcW w:w="960" w:type="dxa"/>
            <w:vAlign w:val="bottom"/>
            <w:gridSpan w:val="6"/>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2"/>
          </w:tcPr>
          <w:p>
            <w:pPr>
              <w:jc w:val="center"/>
              <w:ind w:right="1020"/>
              <w:spacing w:after="0"/>
              <w:rPr>
                <w:sz w:val="20"/>
                <w:szCs w:val="20"/>
                <w:color w:val="auto"/>
              </w:rPr>
            </w:pPr>
            <w:r>
              <w:rPr>
                <w:rFonts w:ascii="Arial" w:cs="Arial" w:eastAsia="Arial" w:hAnsi="Arial"/>
                <w:sz w:val="18"/>
                <w:szCs w:val="18"/>
                <w:color w:val="auto"/>
                <w:w w:val="89"/>
              </w:rPr>
              <w:t>February 28, 2020</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2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180"/>
          </w:cols>
          <w:pgMar w:left="240" w:top="125" w:right="479" w:bottom="1440" w:gutter="0" w:footer="0" w:header="0"/>
          <w:type w:val="continuous"/>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373" w:lineRule="exact"/>
        <w:rPr>
          <w:sz w:val="20"/>
          <w:szCs w:val="20"/>
          <w:color w:val="auto"/>
        </w:rPr>
      </w:pPr>
    </w:p>
    <w:p>
      <w:pPr>
        <w:ind w:firstLine="756"/>
        <w:spacing w:after="0" w:line="264" w:lineRule="auto"/>
        <w:rPr>
          <w:sz w:val="20"/>
          <w:szCs w:val="20"/>
          <w:color w:val="auto"/>
        </w:rPr>
      </w:pPr>
      <w:r>
        <w:rPr>
          <w:rFonts w:ascii="Arial" w:cs="Arial" w:eastAsia="Arial" w:hAnsi="Arial"/>
          <w:sz w:val="18"/>
          <w:szCs w:val="18"/>
          <w:color w:val="auto"/>
        </w:rPr>
        <w:t>As of February 21, 2020, Euronet Worldwide, Inc. (“Euronet” or the “Corporation”) has two classes of securities registered under Section 12 of the Securities Exchange Act of 1934, as amended (the “Exchange Act”): (1) our common stock, par value $0.02 per share (“Common Stock”); and (2) our 1.375% Senior Notes due 2026 (“Notes”).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Common Stock</w:t>
      </w:r>
    </w:p>
    <w:p>
      <w:pPr>
        <w:spacing w:after="0" w:line="175" w:lineRule="exact"/>
        <w:rPr>
          <w:sz w:val="20"/>
          <w:szCs w:val="20"/>
          <w:color w:val="auto"/>
        </w:rPr>
      </w:pPr>
    </w:p>
    <w:p>
      <w:pPr>
        <w:ind w:right="80" w:firstLine="756"/>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the Certificate of Incorporation of Euronet as amended, (the “Articles of Incorporation”) and the Amended and Restated Bylaws of Euronet (the “Bylaws”), each of which are incorporated by reference as an exhibit to the Annual Report on Form 10-K of which this Exhibit 4.6 is a part. We encourage you to read our Articles of Incorporation, our Bylaws and the applicable for additional information. The terms of these securities may also be affected by the General Corporation Law of the State of Delaware.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authorized capital stock of the Corporation consists of 90,000,000 shares of Common Stock, par value $0.02 per share and 10,000,000 shares of preferred stock, par value $0.02 per share (“Preferred Stock”), of which 300,000 shares are designated as Series A Junior Participating Preferred Stock (the “Junior Preferred Stock”). As of February 28, 2020, an aggregate of 53,519,855 shares of our Common Stock were issued and outstanding and no Preferred Stock, including Junior Preferred Stock, was issued or outstanding.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9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holders of our Common Stock are entitled to receive ratably such dividends as our board of directors (the “Board of Directors”) may declare from time to time from legally available funds, subject to the preferential rights of any holders of shares of our Preferred Stock that are then outstanding or that we may issue in the future. Since our inception, no dividends have been paid on our Common Stock. We do not intend to distribute dividends for the foreseeable future. Certain of our credit facilities contain limitations on the payment of dividends.</w:t>
      </w:r>
    </w:p>
    <w:p>
      <w:pPr>
        <w:spacing w:after="0" w:line="34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holders of our Common Stock are entitled to one vote for each share held of record on all matters submitted to a vote of the stockholders. Our Certificate of Incorporation does not provide for cumulative voting in the election of our Board of Directors. No holder of our Common Stock has any preemptive right to subscribe for any shares of capital stock issued in the future, or any right to convert the holder’s Common Stock into any other securities. In addition, there are no redemption or sinking fund provisions applicable to the Common Stock.</w:t>
      </w:r>
    </w:p>
    <w:p>
      <w:pPr>
        <w:spacing w:after="0" w:line="34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on a pro rata basis, in the distribution of all assets remaining after payment to creditors, subject to prior distribution rights of the holders of any shares of Preferred Stock. All of the shares of Common Stock outstanding are fully paid and non-assessable.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391"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The Board of Directors is authorized, without further action by the stockholders, to issue up to 10,000,000 shares of Preferred Stock as a class without series or in one or more series and to fix the rights, preferences, privileges and restrictions thereof, including dividend rights, conversion rights, voting rights, terms of redemption, liquidation preferences and the number of shares constituting any series.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has designated 300,000 shares of Junior Preferred Stock, none of which are outstanding.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Preferred Stock</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Junior Preferred Stock has the following rights, preferences, privileges and restrictions:</w:t>
      </w:r>
    </w:p>
    <w:p>
      <w:pPr>
        <w:sectPr>
          <w:pgSz w:w="11900" w:h="16838" w:orient="portrait"/>
          <w:cols w:equalWidth="0" w:num="1">
            <w:col w:w="11360"/>
          </w:cols>
          <w:pgMar w:left="240" w:top="715" w:right="299" w:bottom="1440" w:gutter="0" w:footer="0" w:header="0"/>
        </w:sect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Shares of Junior Preferred Stock are not convertible.</w:t>
      </w:r>
    </w:p>
    <w:p>
      <w:pPr>
        <w:sectPr>
          <w:pgSz w:w="11900" w:h="16838" w:orient="portrait"/>
          <w:cols w:equalWidth="0" w:num="1">
            <w:col w:w="11360"/>
          </w:cols>
          <w:pgMar w:left="240" w:top="715" w:right="299" w:bottom="1440" w:gutter="0" w:footer="0" w:header="0"/>
          <w:type w:val="continuous"/>
        </w:sectPr>
      </w:pPr>
    </w:p>
    <w:bookmarkStart w:id="114" w:name="page115"/>
    <w:bookmarkEnd w:id="114"/>
    <w:p>
      <w:pPr>
        <w:ind w:right="40" w:firstLine="648"/>
        <w:spacing w:after="0" w:line="273"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the prior and superior rights of the holders of any shares of any class or series of stock of the Corporation ranking prior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to the Junior Preferred Stock, the holders of shares of our Junior Preferred Stock are entitled to receive cash dividends, when, as and if declared, equal to the greater of (a) $1.00 or (b) 100 times the aggregate per share amount of all cash dividends and 100 times the aggregate per share amount of all non-cash dividends or other distributions, other than a dividend payable in, and declared on, our Common Stock. Such dividends are payable quarterly on or before the first day of March, June, September and December in each year commencing on the first quarterly dividend payment date after the first issuance of a share or fraction of a share of Junior Preferred Stock in preference to the shares of Common Stock.</w:t>
      </w:r>
    </w:p>
    <w:p>
      <w:pPr>
        <w:spacing w:after="0" w:line="34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any liquidation, dissolution or winding up of the Corporation, voluntary or otherwise, the holders of shares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Junior Preferred Stock are entitled to be paid out of the assets available for distribution, before any payment is made to the holders of our Common Stock or any other series or class of our shares ranking junior to the Junior Preferred Stock, an amount equal to $100.00 per share, plus an amount equal to all accrued and unpaid dividends, but will be entitled to an aggregate payment of 100 times the payment made per share of Common Stock.</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of Junior Preferred Stock is entitled to 100 votes on all matters submitted to a vote of our stockholders.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 Shares of Junior Preferred Stock are not redeemable.</w:t>
      </w:r>
    </w:p>
    <w:p>
      <w:pPr>
        <w:spacing w:after="0" w:line="3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Adjustment</w:t>
      </w:r>
      <w:r>
        <w:rPr>
          <w:rFonts w:ascii="Arial" w:cs="Arial" w:eastAsia="Arial" w:hAnsi="Arial"/>
          <w:sz w:val="18"/>
          <w:szCs w:val="18"/>
          <w:color w:val="auto"/>
        </w:rPr>
        <w:t>. The dividend, liquidation and voting rights of the Junior Preferred Stock are subject to adjustment to reflect certain changes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Certain Provisions of Delaware Law, Our Charter Documents and Other Agreements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Delaware Law and our Charter Documents</w:t>
      </w:r>
    </w:p>
    <w:p>
      <w:pPr>
        <w:spacing w:after="0" w:line="3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Certain provisions of our Certificate of Incorporation, our Bylaws and the Delaware General Corporation Law (as amended, the “DGCL”) may be deemed to have an anti-takeover effect and may delay, defer or make more difficult a takeover attempt that a stockholder might consider in its best interest. Set forth below is a description of such provisions.</w:t>
      </w:r>
    </w:p>
    <w:p>
      <w:pPr>
        <w:spacing w:after="0" w:line="34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Amendment or Repeal of the Certificate of Incorporation</w:t>
      </w:r>
      <w:r>
        <w:rPr>
          <w:rFonts w:ascii="Arial" w:cs="Arial" w:eastAsia="Arial" w:hAnsi="Arial"/>
          <w:sz w:val="17"/>
          <w:szCs w:val="17"/>
          <w:color w:val="auto"/>
        </w:rPr>
        <w:t>. Under the DGCL, stockholders are not entitled to enact, without appropriate action taken</w:t>
      </w:r>
      <w:r>
        <w:rPr>
          <w:rFonts w:ascii="Arial" w:cs="Arial" w:eastAsia="Arial" w:hAnsi="Arial"/>
          <w:sz w:val="17"/>
          <w:szCs w:val="17"/>
          <w:i w:val="1"/>
          <w:iCs w:val="1"/>
          <w:color w:val="auto"/>
        </w:rPr>
        <w:t xml:space="preserve"> </w:t>
      </w:r>
      <w:r>
        <w:rPr>
          <w:rFonts w:ascii="Arial" w:cs="Arial" w:eastAsia="Arial" w:hAnsi="Arial"/>
          <w:sz w:val="17"/>
          <w:szCs w:val="17"/>
          <w:color w:val="auto"/>
        </w:rPr>
        <w:t>by the board of directors, an amendment to the certificate of incorporation. Amendments to a certificate of incorporation generally require that the board of directors adopt a resolution setting forth the amendment, declaring its advisability and submitting it to a vote of the stockholders. Our Certificate of Incorporation expressly reserves the Corporation’s right to amend or repeal any provision contained in our Certificate of Incorporation, in the manner prescribed by Delaware law. In addition, our Certificate of Incorporation requires the approval at least 80% of our combined voting power to effect amendments to Article Sixth of our Certificate of Incorporation providing for three classes of directors for our Board of Directors.</w:t>
      </w:r>
    </w:p>
    <w:p>
      <w:pPr>
        <w:spacing w:after="0" w:line="34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Amendment or Repeal of Bylaws</w:t>
      </w:r>
      <w:r>
        <w:rPr>
          <w:rFonts w:ascii="Arial" w:cs="Arial" w:eastAsia="Arial" w:hAnsi="Arial"/>
          <w:sz w:val="17"/>
          <w:szCs w:val="17"/>
          <w:color w:val="auto"/>
        </w:rPr>
        <w:t>. The DGCL provides that stockholders may amend a corporation’s bylaws and, if provided in its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the board of directors also has this power. Under the DGCL, the power to adopt, amend or repeal bylaws lies in stockholders entitled to vote; provided, however, that any corporation may, in its certificate of incorporation, confer the power to adopt, amend or repeal bylaws upon the directors. Our Bylaws expressly reserve the right of the Board of Directors to adopt, amend, alter or repeal our Bylaws. In addition, our Bylaws provide that our stockholders may amend, alter or repeal our Bylaws by the affirmative vote of stockholders holding at least two-thirds of the voting power of the Corporation’s capital stock entitled to vote thereon, voting together as a single class.</w:t>
      </w:r>
    </w:p>
    <w:p>
      <w:pPr>
        <w:spacing w:after="0" w:line="34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Calling of Special Stockholder Meetings</w:t>
      </w:r>
      <w:r>
        <w:rPr>
          <w:rFonts w:ascii="Arial" w:cs="Arial" w:eastAsia="Arial" w:hAnsi="Arial"/>
          <w:sz w:val="18"/>
          <w:szCs w:val="18"/>
          <w:color w:val="auto"/>
        </w:rPr>
        <w:t>. Under the DGCL, a special meeting of stockholders may be called by a corporation’s board of directors or</w:t>
      </w:r>
      <w:r>
        <w:rPr>
          <w:rFonts w:ascii="Arial" w:cs="Arial" w:eastAsia="Arial" w:hAnsi="Arial"/>
          <w:sz w:val="18"/>
          <w:szCs w:val="18"/>
          <w:i w:val="1"/>
          <w:iCs w:val="1"/>
          <w:color w:val="auto"/>
        </w:rPr>
        <w:t xml:space="preserve"> </w:t>
      </w:r>
      <w:r>
        <w:rPr>
          <w:rFonts w:ascii="Arial" w:cs="Arial" w:eastAsia="Arial" w:hAnsi="Arial"/>
          <w:sz w:val="18"/>
          <w:szCs w:val="18"/>
          <w:color w:val="auto"/>
        </w:rPr>
        <w:t>by such persons as may be authorized by the corporation’s certificate of incorporation or bylaws. The Bylaws provide that special meetings of stockholders may only be called by the Corporation’s President or Secretary upon the written request of a majority of the members of the Board of Directors then in office. Under the Bylaws, our stockholders are not entitled to call a special meeting of stockholders.</w:t>
      </w:r>
    </w:p>
    <w:p>
      <w:pPr>
        <w:spacing w:after="0" w:line="3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As permitted under the DGCL, the Certificate of Incorporation provides that the Board of Directors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be divided into three classes of directors serving staggered three-year terms. The classes of directors will be as nearly equal in number as possible. Accordingly, approximately one-third of the Corporation’s Board of Directors will be elected each year. Further, the Certificate of Incorporation provides that the number of directors will be determined by the Board of Directors.</w:t>
      </w:r>
    </w:p>
    <w:p>
      <w:pPr>
        <w:sectPr>
          <w:pgSz w:w="11900" w:h="16838" w:orient="portrait"/>
          <w:cols w:equalWidth="0" w:num="1">
            <w:col w:w="11400"/>
          </w:cols>
          <w:pgMar w:left="240" w:top="719" w:right="259" w:bottom="1440" w:gutter="0" w:footer="0" w:header="0"/>
        </w:sectPr>
      </w:pPr>
    </w:p>
    <w:bookmarkStart w:id="115" w:name="page116"/>
    <w:bookmarkEnd w:id="115"/>
    <w:p>
      <w:pPr>
        <w:ind w:right="120" w:firstLine="648"/>
        <w:spacing w:after="0" w:line="277" w:lineRule="auto"/>
        <w:rPr>
          <w:sz w:val="20"/>
          <w:szCs w:val="20"/>
          <w:color w:val="auto"/>
        </w:rPr>
      </w:pPr>
      <w:r>
        <w:rPr>
          <w:rFonts w:ascii="Arial" w:cs="Arial" w:eastAsia="Arial" w:hAnsi="Arial"/>
          <w:sz w:val="18"/>
          <w:szCs w:val="18"/>
          <w:i w:val="1"/>
          <w:iCs w:val="1"/>
          <w:color w:val="auto"/>
        </w:rPr>
        <w:t>Director Vacancies</w:t>
      </w:r>
      <w:r>
        <w:rPr>
          <w:rFonts w:ascii="Arial" w:cs="Arial" w:eastAsia="Arial" w:hAnsi="Arial"/>
          <w:sz w:val="18"/>
          <w:szCs w:val="18"/>
          <w:color w:val="auto"/>
        </w:rPr>
        <w:t>. Under the Bylaws, vacancies on the Board of Directors may be filled by vote of a majority of the remaining directors, although</w:t>
      </w:r>
      <w:r>
        <w:rPr>
          <w:rFonts w:ascii="Arial" w:cs="Arial" w:eastAsia="Arial" w:hAnsi="Arial"/>
          <w:sz w:val="18"/>
          <w:szCs w:val="18"/>
          <w:i w:val="1"/>
          <w:iCs w:val="1"/>
          <w:color w:val="auto"/>
        </w:rPr>
        <w:t xml:space="preserve"> </w:t>
      </w:r>
      <w:r>
        <w:rPr>
          <w:rFonts w:ascii="Arial" w:cs="Arial" w:eastAsia="Arial" w:hAnsi="Arial"/>
          <w:sz w:val="18"/>
          <w:szCs w:val="18"/>
          <w:color w:val="auto"/>
        </w:rPr>
        <w:t>less than a quorum.</w:t>
      </w:r>
    </w:p>
    <w:p>
      <w:pPr>
        <w:spacing w:after="0" w:line="333"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i w:val="1"/>
          <w:iCs w:val="1"/>
          <w:color w:val="auto"/>
        </w:rPr>
        <w:t>Preferred Stock</w:t>
      </w:r>
      <w:r>
        <w:rPr>
          <w:rFonts w:ascii="Arial" w:cs="Arial" w:eastAsia="Arial" w:hAnsi="Arial"/>
          <w:sz w:val="16"/>
          <w:szCs w:val="16"/>
          <w:color w:val="auto"/>
        </w:rPr>
        <w:t>. As described above under “- Preferred Stock”, our Certificate of Incorporation authorizes the Board of Directors to issue up to</w:t>
      </w:r>
      <w:r>
        <w:rPr>
          <w:rFonts w:ascii="Arial" w:cs="Arial" w:eastAsia="Arial" w:hAnsi="Arial"/>
          <w:sz w:val="16"/>
          <w:szCs w:val="16"/>
          <w:i w:val="1"/>
          <w:iCs w:val="1"/>
          <w:color w:val="auto"/>
        </w:rPr>
        <w:t xml:space="preserve"> </w:t>
      </w:r>
      <w:r>
        <w:rPr>
          <w:rFonts w:ascii="Arial" w:cs="Arial" w:eastAsia="Arial" w:hAnsi="Arial"/>
          <w:sz w:val="16"/>
          <w:szCs w:val="16"/>
          <w:color w:val="auto"/>
        </w:rPr>
        <w:t>10,000,000 shares of Preferred Stock having rights superior to the Common Stock without the approval of the stockholders of the Corporation.</w:t>
      </w:r>
    </w:p>
    <w:p>
      <w:pPr>
        <w:spacing w:after="0" w:line="28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Advance Notice</w:t>
      </w:r>
      <w:r>
        <w:rPr>
          <w:rFonts w:ascii="Arial" w:cs="Arial" w:eastAsia="Arial" w:hAnsi="Arial"/>
          <w:sz w:val="18"/>
          <w:szCs w:val="18"/>
          <w:color w:val="auto"/>
        </w:rPr>
        <w:t>. Our Bylaws include advance notice requirements for nominations of candidates for election to our Board of Directors or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proposing matters that can be acted upon by our stockholders at stockholder meetings.</w:t>
      </w:r>
    </w:p>
    <w:p>
      <w:pPr>
        <w:spacing w:after="0" w:line="33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Bylaws provide that, unless we consent in writing to the selection of an alternative forum, to the fullest extent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law, all internal corporate claims must be brought solely and exclusively in the Court of Chancery of the State of Delaware (or, if such court does not have jurisdiction, the Superior Court of the State of Delaware or, if such court does not have jurisdiction, the United States District Court for the District of Delaware).</w:t>
      </w:r>
    </w:p>
    <w:p>
      <w:pPr>
        <w:spacing w:after="0" w:line="34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Delaware Anti-Takeover Statute</w:t>
      </w:r>
      <w:r>
        <w:rPr>
          <w:rFonts w:ascii="Arial" w:cs="Arial" w:eastAsia="Arial" w:hAnsi="Arial"/>
          <w:sz w:val="16"/>
          <w:szCs w:val="16"/>
          <w:color w:val="auto"/>
        </w:rPr>
        <w:t>. Section 203 of the DGCL prohibits certain transactions between a Delaware corporation and an “interested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which is defined as a person who, together with any affiliates or associates of such person, beneficially owns, directly or indirectly, 15% or more of the outstanding voting stock of a Delaware corporation. This provision prohibits certain business combinations (defined broadly to include mergers, consolidations, sales or other dispositions of assets having an aggregate value in excess of 10% of the consolidated assets of the corporation, and certain transactions that would increase the interested stockholder’s proportionate share ownership in the corporation) between an interested stockholder and a corporation for a period of three years after the date the interested stockholder becomes an interested stockholder, unless (i) the business combination is approved by the corporation’s board of directors prior to the date the interested stockholder becomes an interested stockholder, (ii) the interested stockholder acquired at least 85% of the voting stock of the corporation (other than stock held by directors who are also officers or by certain employee stock plans) in the transaction in which it becomes an interested stockholder or (iii) the business combination is approved by a majority of the Board of Directors and by the affirmative vote of 66 2/3% of the outstanding voting stock that is not owned by the interested stockholder.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391"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Holders of our 0.75% Convertible Senior Notes due 2049 outstanding may require us to repurchase the notes upon a “fundamental change” (as defined in the indenture for the notes) and elect to convert their notes into shares of Common Stock in connection with a “fundamental change”. As of December 31, 2019, we had $525 million principal amount of 0.75% Convertible Senior Notes due 2049 outstanding.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 and Limitation of Liability</w:t>
      </w:r>
    </w:p>
    <w:p>
      <w:pPr>
        <w:spacing w:after="0" w:line="39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Section 145 of DGCL provides that a corporation shall have the power to indemnify any person who was or is a party or is threatened to be made a party to any threatened, pending or completed action or proceeding, whether civil, criminal, administrative or investigative, by reason of the fact that such person is or was a director, officer, employee or agent of the corporation or is or was serving at its request in such capacity in another corporation or business association,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which imposes liability for the unlawful payment of dividends or unlawful stock repurchases or redemptions, or (iv) for any transaction from which the director derived an improper personal benefit.</w:t>
      </w:r>
    </w:p>
    <w:p>
      <w:pPr>
        <w:spacing w:after="0" w:line="33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Article Eighth of the Corporation’s Certificate of Incorporation and Article VII of the Corporation’s Bylaws provide that the Corporation shall indemnify directors and officers to the fullest extent permitted by the DGCL. Article Ninth of the Certificate of Incorporation provides for the elimination of personal liability of a director for breach of fiduciary duty to the extent permitted by Section 102(b)(7) of the DGCL as described above.</w:t>
      </w:r>
    </w:p>
    <w:p>
      <w:pPr>
        <w:sectPr>
          <w:pgSz w:w="11900" w:h="16838" w:orient="portrait"/>
          <w:cols w:equalWidth="0" w:num="1">
            <w:col w:w="11400"/>
          </w:cols>
          <w:pgMar w:left="240" w:top="719" w:right="259" w:bottom="1440" w:gutter="0" w:footer="0" w:header="0"/>
        </w:sectPr>
      </w:pPr>
    </w:p>
    <w:bookmarkStart w:id="116" w:name="page117"/>
    <w:bookmarkEnd w:id="116"/>
    <w:p>
      <w:pPr>
        <w:ind w:right="340" w:firstLine="648"/>
        <w:spacing w:after="0" w:line="277" w:lineRule="auto"/>
        <w:rPr>
          <w:sz w:val="20"/>
          <w:szCs w:val="20"/>
          <w:color w:val="auto"/>
        </w:rPr>
      </w:pPr>
      <w:r>
        <w:rPr>
          <w:rFonts w:ascii="Arial" w:cs="Arial" w:eastAsia="Arial" w:hAnsi="Arial"/>
          <w:sz w:val="18"/>
          <w:szCs w:val="18"/>
          <w:color w:val="auto"/>
        </w:rPr>
        <w:t>The Corporation also maintains, and intends to continue to maintain, insurance for the benefit of its directors and officers to insure these persons against certain liabilities, including liabilities under the securities laws.</w:t>
      </w:r>
    </w:p>
    <w:p>
      <w:pPr>
        <w:spacing w:after="0" w:line="33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Corporation enters into indemnification agreements with each of its directors and executive officers. The indemnification agreements supplement existing indemnification provisions of the Corporation’s Certificate of Incorporation and Bylaws and, in general, provide for indemnification of and advancement of expenses to the indemnified party, subject to the terms and conditions provided in the indemnification agreement. The indemnification agreements also establish processes and procedures for indemnification claims, advancement of expenses and other determinations with respect to indemnification.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3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39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Common Stock is traded on The Nasdaq Stock Market under the trading symbol “EEFT.”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391" w:lineRule="exact"/>
        <w:rPr>
          <w:sz w:val="20"/>
          <w:szCs w:val="20"/>
          <w:color w:val="auto"/>
        </w:rPr>
      </w:pPr>
    </w:p>
    <w:p>
      <w:pPr>
        <w:ind w:right="20" w:firstLine="891"/>
        <w:spacing w:after="0" w:line="259" w:lineRule="auto"/>
        <w:rPr>
          <w:sz w:val="20"/>
          <w:szCs w:val="20"/>
          <w:color w:val="auto"/>
        </w:rPr>
      </w:pPr>
      <w:r>
        <w:rPr>
          <w:rFonts w:ascii="Arial" w:cs="Arial" w:eastAsia="Arial" w:hAnsi="Arial"/>
          <w:sz w:val="18"/>
          <w:szCs w:val="18"/>
          <w:color w:val="auto"/>
        </w:rPr>
        <w:t>The following description of our Notes is a summary and does not purport to be complete. It is subject to and qualified in its entirety by reference to the indenture, dated as of May 22, 2019 (the “Base Indenture”), between Euronet Worldwide, Inc. and U.S. Bank Association, as trustee, as supplemented by a supplemental indenture, dated May 22, 2019 (the “Supplemental Indenture”), which are incorporated by reference as exhibits to the Annual Report on Form 10-K of which this Exhibit 4.6 is a part.</w:t>
      </w:r>
    </w:p>
    <w:p>
      <w:pPr>
        <w:spacing w:after="0" w:line="3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encourage you to read the above referenced indenture, as supplemented, for additional information.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00" w:lineRule="exact"/>
        <w:rPr>
          <w:sz w:val="20"/>
          <w:szCs w:val="20"/>
          <w:color w:val="auto"/>
        </w:rPr>
      </w:pPr>
    </w:p>
    <w:p>
      <w:pPr>
        <w:spacing w:after="0" w:line="245" w:lineRule="exact"/>
        <w:rPr>
          <w:sz w:val="20"/>
          <w:szCs w:val="20"/>
          <w:color w:val="auto"/>
        </w:rPr>
      </w:pPr>
    </w:p>
    <w:p>
      <w:pPr>
        <w:ind w:firstLine="756"/>
        <w:spacing w:after="0" w:line="255" w:lineRule="auto"/>
        <w:rPr>
          <w:sz w:val="20"/>
          <w:szCs w:val="20"/>
          <w:color w:val="auto"/>
        </w:rPr>
      </w:pPr>
      <w:r>
        <w:rPr>
          <w:rFonts w:ascii="Arial" w:cs="Arial" w:eastAsia="Arial" w:hAnsi="Arial"/>
          <w:sz w:val="18"/>
          <w:szCs w:val="18"/>
          <w:color w:val="auto"/>
        </w:rPr>
        <w:t>The Notes were issued in a €600,000,000 principal amount. The Notes bear interest at a rate of 1.375% per year. Interest on the Notes is payable annually in arrears on May 22 of each year, beginning on May 22, 2020, to the persons in whose names the Notes are registered at the close of business on the May 7 (whether or not a business day) immediately preceding the applicable interest payment date. Interest on the Notes is computed on the basis of the actual number of days in the period for which interest is being calculated and the actual number of days from and including the last date on which interest was paid on the Notes (or the settlement date if no interest has been paid or duly provided for on the Notes), to but excluding the next date on which interest is paid or duly provided for. Interest on the Notes accrues from and including the settlement date and will be paid to holders of record on the day immediately prior to the applicable interest payment date.</w:t>
      </w:r>
    </w:p>
    <w:p>
      <w:pPr>
        <w:spacing w:after="0" w:line="200" w:lineRule="exact"/>
        <w:rPr>
          <w:sz w:val="20"/>
          <w:szCs w:val="20"/>
          <w:color w:val="auto"/>
        </w:rPr>
      </w:pPr>
    </w:p>
    <w:p>
      <w:pPr>
        <w:spacing w:after="0" w:line="205" w:lineRule="exact"/>
        <w:rPr>
          <w:sz w:val="20"/>
          <w:szCs w:val="20"/>
          <w:color w:val="auto"/>
        </w:rPr>
      </w:pPr>
    </w:p>
    <w:p>
      <w:pPr>
        <w:ind w:right="100" w:firstLine="756"/>
        <w:spacing w:after="0" w:line="277" w:lineRule="auto"/>
        <w:rPr>
          <w:sz w:val="20"/>
          <w:szCs w:val="20"/>
          <w:color w:val="auto"/>
        </w:rPr>
      </w:pPr>
      <w:r>
        <w:rPr>
          <w:rFonts w:ascii="Arial" w:cs="Arial" w:eastAsia="Arial" w:hAnsi="Arial"/>
          <w:sz w:val="18"/>
          <w:szCs w:val="18"/>
          <w:color w:val="auto"/>
        </w:rPr>
        <w:t>The Notes will mature on May 22, 2026. On the maturity date of the Notes, the holders will be entitled to receive 100% of the principal amount of such Notes. The Notes will not have the benefit of any sinking fund.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in Euros</w:t>
      </w:r>
    </w:p>
    <w:p>
      <w:pPr>
        <w:spacing w:after="0" w:line="200" w:lineRule="exact"/>
        <w:rPr>
          <w:sz w:val="20"/>
          <w:szCs w:val="20"/>
          <w:color w:val="auto"/>
        </w:rPr>
      </w:pPr>
    </w:p>
    <w:p>
      <w:pPr>
        <w:spacing w:after="0" w:line="245" w:lineRule="exact"/>
        <w:rPr>
          <w:sz w:val="20"/>
          <w:szCs w:val="20"/>
          <w:color w:val="auto"/>
        </w:rPr>
      </w:pPr>
    </w:p>
    <w:p>
      <w:pPr>
        <w:jc w:val="both"/>
        <w:ind w:right="360" w:firstLine="756"/>
        <w:spacing w:after="0" w:line="302" w:lineRule="auto"/>
        <w:rPr>
          <w:sz w:val="20"/>
          <w:szCs w:val="20"/>
          <w:color w:val="auto"/>
        </w:rPr>
      </w:pPr>
      <w:r>
        <w:rPr>
          <w:rFonts w:ascii="Arial" w:cs="Arial" w:eastAsia="Arial" w:hAnsi="Arial"/>
          <w:sz w:val="16"/>
          <w:szCs w:val="16"/>
          <w:color w:val="auto"/>
        </w:rPr>
        <w:t>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Notes will be made in U.S. dollars until the euro is again available to us or so used.</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Adjustment</w:t>
      </w:r>
    </w:p>
    <w:p>
      <w:pPr>
        <w:spacing w:after="0" w:line="200" w:lineRule="exact"/>
        <w:rPr>
          <w:sz w:val="20"/>
          <w:szCs w:val="20"/>
          <w:color w:val="auto"/>
        </w:rPr>
      </w:pPr>
    </w:p>
    <w:p>
      <w:pPr>
        <w:spacing w:after="0" w:line="245"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The interest rate payable on the Notes will be subject to adjustment from time to time if either Fitch or S&amp;P (each as defined below), or, in either case, any Substitute Rating Agency (as defined below) downgrades (or subsequently upgrades) the credit rating assigned to the Notes, in the manner described below.</w:t>
      </w:r>
    </w:p>
    <w:p>
      <w:pPr>
        <w:spacing w:after="0" w:line="397"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If the rating from Fitch (or any Substitute Rating Agency) of the Notes is decreased to a rating set forth in the immediately following table, the interest rate on the Notes will increase such that it will equal the interest rate payable on the Notes on the date of their issuance plus the percentage set forth opposite the ratings from the table below:</w:t>
      </w:r>
    </w:p>
    <w:p>
      <w:pPr>
        <w:sectPr>
          <w:pgSz w:w="11900" w:h="16838" w:orient="portrait"/>
          <w:cols w:equalWidth="0" w:num="1">
            <w:col w:w="11400"/>
          </w:cols>
          <w:pgMar w:left="240" w:top="719" w:right="259" w:bottom="772"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9760" w:type="dxa"/>
            <w:vAlign w:val="bottom"/>
            <w:gridSpan w:val="2"/>
          </w:tcPr>
          <w:p>
            <w:pPr>
              <w:ind w:left="40"/>
              <w:spacing w:after="0"/>
              <w:rPr>
                <w:sz w:val="20"/>
                <w:szCs w:val="20"/>
                <w:color w:val="auto"/>
              </w:rPr>
            </w:pPr>
            <w:r>
              <w:rPr>
                <w:rFonts w:ascii="Arial" w:cs="Arial" w:eastAsia="Arial" w:hAnsi="Arial"/>
                <w:sz w:val="18"/>
                <w:szCs w:val="18"/>
                <w:b w:val="1"/>
                <w:bCs w:val="1"/>
                <w:color w:val="auto"/>
              </w:rPr>
              <w:t>Fitch Rating*</w:t>
            </w:r>
          </w:p>
        </w:tc>
        <w:tc>
          <w:tcPr>
            <w:tcW w:w="166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94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BB+</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BB</w:t>
            </w:r>
          </w:p>
        </w:tc>
        <w:tc>
          <w:tcPr>
            <w:tcW w:w="16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9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BB-</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B+ or below</w:t>
            </w:r>
          </w:p>
        </w:tc>
        <w:tc>
          <w:tcPr>
            <w:tcW w:w="1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760" w:type="dxa"/>
            <w:vAlign w:val="bottom"/>
            <w:gridSpan w:val="2"/>
          </w:tcPr>
          <w:p>
            <w:pPr>
              <w:ind w:left="60"/>
              <w:spacing w:after="0"/>
              <w:rPr>
                <w:sz w:val="20"/>
                <w:szCs w:val="20"/>
                <w:color w:val="auto"/>
              </w:rPr>
            </w:pPr>
            <w:r>
              <w:rPr>
                <w:rFonts w:ascii="Arial" w:cs="Arial" w:eastAsia="Arial" w:hAnsi="Arial"/>
                <w:sz w:val="18"/>
                <w:szCs w:val="18"/>
                <w:color w:val="auto"/>
              </w:rPr>
              <w:t>* Including the equivalent ratings of any Substitute Rating Agency.</w:t>
            </w:r>
          </w:p>
        </w:tc>
        <w:tc>
          <w:tcPr>
            <w:tcW w:w="1660" w:type="dxa"/>
            <w:vAlign w:val="bottom"/>
          </w:tcPr>
          <w:p>
            <w:pPr>
              <w:spacing w:after="0"/>
              <w:rPr>
                <w:sz w:val="21"/>
                <w:szCs w:val="21"/>
                <w:color w:val="auto"/>
              </w:rPr>
            </w:pPr>
          </w:p>
        </w:tc>
      </w:tr>
    </w:tbl>
    <w:p>
      <w:pPr>
        <w:spacing w:after="0" w:line="229" w:lineRule="exact"/>
        <w:rPr>
          <w:sz w:val="20"/>
          <w:szCs w:val="20"/>
          <w:color w:val="auto"/>
        </w:rPr>
      </w:pPr>
    </w:p>
    <w:p>
      <w:pPr>
        <w:ind w:right="300" w:firstLine="756"/>
        <w:spacing w:after="0" w:line="264" w:lineRule="auto"/>
        <w:rPr>
          <w:sz w:val="20"/>
          <w:szCs w:val="20"/>
          <w:color w:val="auto"/>
        </w:rPr>
      </w:pPr>
      <w:r>
        <w:rPr>
          <w:rFonts w:ascii="Arial" w:cs="Arial" w:eastAsia="Arial" w:hAnsi="Arial"/>
          <w:sz w:val="18"/>
          <w:szCs w:val="18"/>
          <w:color w:val="auto"/>
        </w:rPr>
        <w:t>If the rating from S&amp;P (or any Substitute Rating Agency) of the notes is decreased to a rating set forth in the immediately following table, the interest rate on the notes will increase such that it will equal the interest rate payable on the notes on the date of their issuance plus the percentage set forth opposite the ratings from the table below:</w:t>
      </w: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600" w:type="dxa"/>
            <w:vAlign w:val="bottom"/>
            <w:gridSpan w:val="2"/>
          </w:tcPr>
          <w:p>
            <w:pPr>
              <w:ind w:left="20"/>
              <w:spacing w:after="0"/>
              <w:rPr>
                <w:sz w:val="20"/>
                <w:szCs w:val="20"/>
                <w:color w:val="auto"/>
              </w:rPr>
            </w:pPr>
            <w:r>
              <w:rPr>
                <w:rFonts w:ascii="Arial" w:cs="Arial" w:eastAsia="Arial" w:hAnsi="Arial"/>
                <w:sz w:val="18"/>
                <w:szCs w:val="18"/>
                <w:b w:val="1"/>
                <w:bCs w:val="1"/>
                <w:color w:val="auto"/>
              </w:rPr>
              <w:t>S&amp;P Rating*</w:t>
            </w: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40" w:type="dxa"/>
            <w:vAlign w:val="bottom"/>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BB+</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43"/>
        </w:trPr>
        <w:tc>
          <w:tcPr>
            <w:tcW w:w="40" w:type="dxa"/>
            <w:vAlign w:val="bottom"/>
          </w:tcPr>
          <w:p>
            <w:pPr>
              <w:spacing w:after="0"/>
              <w:rPr>
                <w:sz w:val="21"/>
                <w:szCs w:val="21"/>
                <w:color w:val="auto"/>
              </w:rPr>
            </w:pP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BB</w:t>
            </w:r>
          </w:p>
        </w:tc>
        <w:tc>
          <w:tcPr>
            <w:tcW w:w="16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BB-</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40" w:type="dxa"/>
            <w:vAlign w:val="bottom"/>
          </w:tcPr>
          <w:p>
            <w:pPr>
              <w:spacing w:after="0"/>
              <w:rPr>
                <w:sz w:val="21"/>
                <w:szCs w:val="21"/>
                <w:color w:val="auto"/>
              </w:rPr>
            </w:pPr>
          </w:p>
        </w:tc>
        <w:tc>
          <w:tcPr>
            <w:tcW w:w="9600" w:type="dxa"/>
            <w:vAlign w:val="bottom"/>
            <w:gridSpan w:val="2"/>
          </w:tcPr>
          <w:p>
            <w:pPr>
              <w:ind w:left="20"/>
              <w:spacing w:after="0"/>
              <w:rPr>
                <w:sz w:val="20"/>
                <w:szCs w:val="20"/>
                <w:color w:val="auto"/>
              </w:rPr>
            </w:pPr>
            <w:r>
              <w:rPr>
                <w:rFonts w:ascii="Arial" w:cs="Arial" w:eastAsia="Arial" w:hAnsi="Arial"/>
                <w:sz w:val="18"/>
                <w:szCs w:val="18"/>
                <w:color w:val="auto"/>
              </w:rPr>
              <w:t>B+ or below</w:t>
            </w: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9640" w:type="dxa"/>
            <w:vAlign w:val="bottom"/>
            <w:gridSpan w:val="3"/>
          </w:tcPr>
          <w:p>
            <w:pPr>
              <w:spacing w:after="0"/>
              <w:rPr>
                <w:sz w:val="20"/>
                <w:szCs w:val="20"/>
                <w:color w:val="auto"/>
              </w:rPr>
            </w:pPr>
            <w:r>
              <w:rPr>
                <w:rFonts w:ascii="Arial" w:cs="Arial" w:eastAsia="Arial" w:hAnsi="Arial"/>
                <w:sz w:val="18"/>
                <w:szCs w:val="18"/>
                <w:color w:val="auto"/>
              </w:rPr>
              <w:t>* Including the equivalent ratings of any Substitute Rating Agency.</w:t>
            </w:r>
          </w:p>
        </w:tc>
        <w:tc>
          <w:tcPr>
            <w:tcW w:w="162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Notes are our general unsecured obligations and rank equally with all of our existing and future unsubordinated obligations.</w:t>
      </w:r>
    </w:p>
    <w:p>
      <w:pPr>
        <w:spacing w:after="0" w:line="225" w:lineRule="exact"/>
        <w:rPr>
          <w:sz w:val="20"/>
          <w:szCs w:val="20"/>
          <w:color w:val="auto"/>
        </w:rPr>
      </w:pPr>
    </w:p>
    <w:p>
      <w:pPr>
        <w:ind w:right="180" w:firstLine="756"/>
        <w:spacing w:after="0" w:line="342" w:lineRule="auto"/>
        <w:rPr>
          <w:sz w:val="20"/>
          <w:szCs w:val="20"/>
          <w:color w:val="auto"/>
        </w:rPr>
      </w:pPr>
      <w:r>
        <w:rPr>
          <w:rFonts w:ascii="Arial" w:cs="Arial" w:eastAsia="Arial" w:hAnsi="Arial"/>
          <w:sz w:val="16"/>
          <w:szCs w:val="16"/>
          <w:color w:val="auto"/>
        </w:rPr>
        <w:t>Holders of any of our secured indebtedness and other secured obligations will have claims that are prior to your claims as holders of the Notes, to the extent of the value of the assets securing such indebtedness and other obligations, in the event of any bankruptcy, liquidation or similar proceeding.</w:t>
      </w:r>
    </w:p>
    <w:p>
      <w:pPr>
        <w:spacing w:after="0" w:line="124" w:lineRule="exact"/>
        <w:rPr>
          <w:sz w:val="20"/>
          <w:szCs w:val="20"/>
          <w:color w:val="auto"/>
        </w:rPr>
      </w:pPr>
    </w:p>
    <w:p>
      <w:pPr>
        <w:ind w:right="160" w:firstLine="756"/>
        <w:spacing w:after="0" w:line="277" w:lineRule="auto"/>
        <w:rPr>
          <w:sz w:val="20"/>
          <w:szCs w:val="20"/>
          <w:color w:val="auto"/>
        </w:rPr>
      </w:pPr>
      <w:r>
        <w:rPr>
          <w:rFonts w:ascii="Arial" w:cs="Arial" w:eastAsia="Arial" w:hAnsi="Arial"/>
          <w:sz w:val="18"/>
          <w:szCs w:val="18"/>
          <w:color w:val="auto"/>
        </w:rPr>
        <w:t>The Notes are not be guaranteed by any of our subsidiaries, and are therefore “structurally” subordinated to all indebtedness and other obligations of our subsidiaries, including claims with respect to trade payables or claims of lessors under leases, which may be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29" w:lineRule="exact"/>
        <w:rPr>
          <w:sz w:val="20"/>
          <w:szCs w:val="20"/>
          <w:color w:val="auto"/>
        </w:rPr>
      </w:pPr>
    </w:p>
    <w:p>
      <w:pPr>
        <w:ind w:right="20" w:firstLine="756"/>
        <w:spacing w:after="0" w:line="254" w:lineRule="auto"/>
        <w:rPr>
          <w:sz w:val="20"/>
          <w:szCs w:val="20"/>
          <w:color w:val="auto"/>
        </w:rPr>
      </w:pPr>
      <w:r>
        <w:rPr>
          <w:rFonts w:ascii="Arial" w:cs="Arial" w:eastAsia="Arial" w:hAnsi="Arial"/>
          <w:sz w:val="18"/>
          <w:szCs w:val="18"/>
          <w:color w:val="auto"/>
        </w:rPr>
        <w:t>The Notes constitute a separate series of debt securities under the indenture, initially limited to €600.0 million. Under the indenture, we may, without the consent of the holders of the Notes, issue additional Notes of the same or a different series from time to time in the future in an unlimited aggregate principal amount; provided, that, if any such additional Notes are not fungible with the Notes offered hereby (or any other tranche of additional Notes) for U.S. federal income tax purposes, then such additional Notes will have different ISIN and/or Common Code numbers than the Notes offered hereby (and any such other tranche of additional Notes). The Notes offered hereby and any additional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Notes outstanding, as well as any additional Notes that we may issue by reopening such series, will vote or take action as a single class.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Notes are our general unsecured obligations and rank equally with all of our existing and future unsubordinated obligations.</w:t>
      </w:r>
    </w:p>
    <w:p>
      <w:pPr>
        <w:spacing w:after="0" w:line="200" w:lineRule="exact"/>
        <w:rPr>
          <w:sz w:val="20"/>
          <w:szCs w:val="20"/>
          <w:color w:val="auto"/>
        </w:rPr>
      </w:pPr>
    </w:p>
    <w:p>
      <w:pPr>
        <w:spacing w:after="0" w:line="241" w:lineRule="exact"/>
        <w:rPr>
          <w:sz w:val="20"/>
          <w:szCs w:val="20"/>
          <w:color w:val="auto"/>
        </w:rPr>
      </w:pPr>
    </w:p>
    <w:p>
      <w:pPr>
        <w:ind w:right="180" w:firstLine="756"/>
        <w:spacing w:after="0" w:line="342" w:lineRule="auto"/>
        <w:rPr>
          <w:sz w:val="20"/>
          <w:szCs w:val="20"/>
          <w:color w:val="auto"/>
        </w:rPr>
      </w:pPr>
      <w:r>
        <w:rPr>
          <w:rFonts w:ascii="Arial" w:cs="Arial" w:eastAsia="Arial" w:hAnsi="Arial"/>
          <w:sz w:val="16"/>
          <w:szCs w:val="16"/>
          <w:color w:val="auto"/>
        </w:rPr>
        <w:t>Holders of any of our secured indebtedness and other secured obligations will have claims that are prior to your claims as holders of the Notes, to the extent of the value of the assets securing such indebtedness and other obligations, in the event of any bankruptcy, liquidation or similar proceeding.</w:t>
      </w:r>
    </w:p>
    <w:p>
      <w:pPr>
        <w:sectPr>
          <w:pgSz w:w="11900" w:h="16838" w:orient="portrait"/>
          <w:cols w:equalWidth="0" w:num="1">
            <w:col w:w="11420"/>
          </w:cols>
          <w:pgMar w:left="240" w:top="1364" w:right="239" w:bottom="1440" w:gutter="0" w:footer="0" w:header="0"/>
        </w:sectPr>
      </w:pPr>
    </w:p>
    <w:bookmarkStart w:id="118" w:name="page119"/>
    <w:bookmarkEnd w:id="118"/>
    <w:p>
      <w:pPr>
        <w:ind w:right="140" w:firstLine="756"/>
        <w:spacing w:after="0" w:line="277" w:lineRule="auto"/>
        <w:rPr>
          <w:sz w:val="20"/>
          <w:szCs w:val="20"/>
          <w:color w:val="auto"/>
        </w:rPr>
      </w:pPr>
      <w:r>
        <w:rPr>
          <w:rFonts w:ascii="Arial" w:cs="Arial" w:eastAsia="Arial" w:hAnsi="Arial"/>
          <w:sz w:val="18"/>
          <w:szCs w:val="18"/>
          <w:color w:val="auto"/>
        </w:rPr>
        <w:t>The Notes are not be guaranteed by any of our subsidiaries, and are therefore “structurally” subordinated to all indebtedness and other obligations of our subsidiaries, including claims with respect to trade payables or claims of lessors under leases, which may be material.</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Issues</w:t>
      </w:r>
    </w:p>
    <w:p>
      <w:pPr>
        <w:spacing w:after="0" w:line="200" w:lineRule="exact"/>
        <w:rPr>
          <w:sz w:val="20"/>
          <w:szCs w:val="20"/>
          <w:color w:val="auto"/>
        </w:rPr>
      </w:pPr>
    </w:p>
    <w:p>
      <w:pPr>
        <w:spacing w:after="0" w:line="245"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Under the indenture, we may, without the consent of the holders of the Notes, issue additional Notes of the same or a different series from time to time in the future in an unlimited aggregate principal amount. The Notes and any additional Notes of the same series would rank equally and ratably and would be treated as a single class for all purposes under the indenture.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200" w:lineRule="exact"/>
        <w:rPr>
          <w:sz w:val="20"/>
          <w:szCs w:val="20"/>
          <w:color w:val="auto"/>
        </w:rPr>
      </w:pPr>
    </w:p>
    <w:p>
      <w:pPr>
        <w:spacing w:after="0" w:line="245" w:lineRule="exact"/>
        <w:rPr>
          <w:sz w:val="20"/>
          <w:szCs w:val="20"/>
          <w:color w:val="auto"/>
        </w:rPr>
      </w:pPr>
    </w:p>
    <w:p>
      <w:pPr>
        <w:ind w:right="140" w:firstLine="7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of the principal of and interest on the Notes to a beneficial owner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200" w:lineRule="exact"/>
        <w:rPr>
          <w:sz w:val="20"/>
          <w:szCs w:val="20"/>
          <w:color w:val="auto"/>
        </w:rPr>
      </w:pPr>
    </w:p>
    <w:p>
      <w:pPr>
        <w:spacing w:after="0" w:line="204" w:lineRule="exact"/>
        <w:rPr>
          <w:sz w:val="20"/>
          <w:szCs w:val="20"/>
          <w:color w:val="auto"/>
        </w:rPr>
      </w:pPr>
    </w:p>
    <w:p>
      <w:pPr>
        <w:ind w:right="20" w:firstLine="764"/>
        <w:spacing w:after="0" w:line="264" w:lineRule="auto"/>
        <w:tabs>
          <w:tab w:leader="none" w:pos="10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p>
      <w:pPr>
        <w:spacing w:after="0" w:line="397" w:lineRule="exact"/>
        <w:rPr>
          <w:rFonts w:ascii="Arial" w:cs="Arial" w:eastAsia="Arial" w:hAnsi="Arial"/>
          <w:sz w:val="18"/>
          <w:szCs w:val="18"/>
          <w:color w:val="auto"/>
        </w:rPr>
      </w:pPr>
    </w:p>
    <w:p>
      <w:pPr>
        <w:ind w:left="760" w:right="280" w:firstLine="761"/>
        <w:spacing w:after="0" w:line="277" w:lineRule="auto"/>
        <w:tabs>
          <w:tab w:leader="none" w:pos="17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386" w:lineRule="exact"/>
        <w:rPr>
          <w:rFonts w:ascii="Arial" w:cs="Arial" w:eastAsia="Arial" w:hAnsi="Arial"/>
          <w:sz w:val="18"/>
          <w:szCs w:val="18"/>
          <w:color w:val="auto"/>
        </w:rPr>
      </w:pPr>
    </w:p>
    <w:p>
      <w:pPr>
        <w:ind w:left="760" w:right="240" w:firstLine="761"/>
        <w:spacing w:after="0" w:line="264" w:lineRule="auto"/>
        <w:tabs>
          <w:tab w:leader="none" w:pos="17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or the receipt of any payment or the enforcement of any rights thereunder), including being or having been a citizen or resident of the United States;</w:t>
      </w:r>
    </w:p>
    <w:p>
      <w:pPr>
        <w:spacing w:after="0" w:line="397" w:lineRule="exact"/>
        <w:rPr>
          <w:rFonts w:ascii="Arial" w:cs="Arial" w:eastAsia="Arial" w:hAnsi="Arial"/>
          <w:sz w:val="18"/>
          <w:szCs w:val="18"/>
          <w:color w:val="auto"/>
        </w:rPr>
      </w:pPr>
    </w:p>
    <w:p>
      <w:pPr>
        <w:ind w:left="760" w:right="420" w:firstLine="761"/>
        <w:spacing w:after="0" w:line="342" w:lineRule="auto"/>
        <w:tabs>
          <w:tab w:leader="none" w:pos="1761" w:val="left"/>
        </w:tabs>
        <w:numPr>
          <w:ilvl w:val="1"/>
          <w:numId w:val="33"/>
        </w:numPr>
        <w:rPr>
          <w:rFonts w:ascii="Arial" w:cs="Arial" w:eastAsia="Arial" w:hAnsi="Arial"/>
          <w:sz w:val="16"/>
          <w:szCs w:val="16"/>
          <w:color w:val="auto"/>
        </w:rPr>
      </w:pPr>
      <w:r>
        <w:rPr>
          <w:rFonts w:ascii="Arial" w:cs="Arial" w:eastAsia="Arial" w:hAnsi="Arial"/>
          <w:sz w:val="16"/>
          <w:szCs w:val="16"/>
          <w:color w:val="auto"/>
        </w:rPr>
        <w:t>being or having been a personal holding company, a passive foreign investment company or a controlled foreign corporation for United States federal income tax purposes or a corporation that has accumulated earnings to avoid United States federal income tax;</w:t>
      </w:r>
    </w:p>
    <w:p>
      <w:pPr>
        <w:spacing w:after="0" w:line="339" w:lineRule="exact"/>
        <w:rPr>
          <w:rFonts w:ascii="Arial" w:cs="Arial" w:eastAsia="Arial" w:hAnsi="Arial"/>
          <w:sz w:val="16"/>
          <w:szCs w:val="16"/>
          <w:color w:val="auto"/>
        </w:rPr>
      </w:pPr>
    </w:p>
    <w:p>
      <w:pPr>
        <w:ind w:left="760" w:right="320" w:firstLine="761"/>
        <w:spacing w:after="0" w:line="277" w:lineRule="auto"/>
        <w:tabs>
          <w:tab w:leader="none" w:pos="17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being or having been a “10-percent shareholder” of Euronet as defined in section 871(h)(3) of the United States Internal Revenue Code of 1986, as amended (the “Code”), or any successor provision; or</w:t>
      </w:r>
    </w:p>
    <w:p>
      <w:pPr>
        <w:spacing w:after="0" w:line="386" w:lineRule="exact"/>
        <w:rPr>
          <w:rFonts w:ascii="Arial" w:cs="Arial" w:eastAsia="Arial" w:hAnsi="Arial"/>
          <w:sz w:val="18"/>
          <w:szCs w:val="18"/>
          <w:color w:val="auto"/>
        </w:rPr>
      </w:pPr>
    </w:p>
    <w:p>
      <w:pPr>
        <w:ind w:left="760" w:right="160" w:firstLine="761"/>
        <w:spacing w:after="0" w:line="277" w:lineRule="auto"/>
        <w:tabs>
          <w:tab w:leader="none" w:pos="17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386" w:lineRule="exact"/>
        <w:rPr>
          <w:rFonts w:ascii="Arial" w:cs="Arial" w:eastAsia="Arial" w:hAnsi="Arial"/>
          <w:sz w:val="18"/>
          <w:szCs w:val="18"/>
          <w:color w:val="auto"/>
        </w:rPr>
      </w:pPr>
    </w:p>
    <w:p>
      <w:pPr>
        <w:ind w:firstLine="764"/>
        <w:spacing w:after="0" w:line="259" w:lineRule="auto"/>
        <w:tabs>
          <w:tab w:leader="none" w:pos="10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60" w:firstLine="764"/>
        <w:spacing w:after="0" w:line="257" w:lineRule="auto"/>
        <w:tabs>
          <w:tab w:leader="none" w:pos="10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260" w:firstLine="764"/>
        <w:spacing w:after="0" w:line="277" w:lineRule="auto"/>
        <w:tabs>
          <w:tab w:leader="none" w:pos="10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is imposed otherwise than by withholding by us or an applicable withholding agent from the payment;</w:t>
      </w:r>
    </w:p>
    <w:p>
      <w:pPr>
        <w:sectPr>
          <w:pgSz w:w="11900" w:h="16838" w:orient="portrait"/>
          <w:cols w:equalWidth="0" w:num="1">
            <w:col w:w="11400"/>
          </w:cols>
          <w:pgMar w:left="240" w:top="773" w:right="259" w:bottom="1440" w:gutter="0" w:footer="0" w:header="0"/>
        </w:sectPr>
      </w:pPr>
    </w:p>
    <w:bookmarkStart w:id="119" w:name="page120"/>
    <w:bookmarkEnd w:id="119"/>
    <w:p>
      <w:pPr>
        <w:ind w:right="80" w:firstLine="764"/>
        <w:spacing w:after="0" w:line="342" w:lineRule="auto"/>
        <w:tabs>
          <w:tab w:leader="none" w:pos="1011"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spacing w:after="0" w:line="339" w:lineRule="exact"/>
        <w:rPr>
          <w:rFonts w:ascii="Arial" w:cs="Arial" w:eastAsia="Arial" w:hAnsi="Arial"/>
          <w:sz w:val="16"/>
          <w:szCs w:val="16"/>
          <w:color w:val="auto"/>
        </w:rPr>
      </w:pPr>
    </w:p>
    <w:p>
      <w:pPr>
        <w:ind w:right="800" w:firstLine="764"/>
        <w:spacing w:after="0" w:line="277" w:lineRule="auto"/>
        <w:tabs>
          <w:tab w:leader="none" w:pos="10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386" w:lineRule="exact"/>
        <w:rPr>
          <w:rFonts w:ascii="Arial" w:cs="Arial" w:eastAsia="Arial" w:hAnsi="Arial"/>
          <w:sz w:val="18"/>
          <w:szCs w:val="18"/>
          <w:color w:val="auto"/>
        </w:rPr>
      </w:pPr>
    </w:p>
    <w:p>
      <w:pPr>
        <w:ind w:right="180" w:firstLine="764"/>
        <w:spacing w:after="0" w:line="277" w:lineRule="auto"/>
        <w:tabs>
          <w:tab w:leader="none" w:pos="10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170" w:lineRule="exact"/>
        <w:rPr>
          <w:rFonts w:ascii="Arial" w:cs="Arial" w:eastAsia="Arial" w:hAnsi="Arial"/>
          <w:sz w:val="18"/>
          <w:szCs w:val="18"/>
          <w:color w:val="auto"/>
        </w:rPr>
      </w:pPr>
    </w:p>
    <w:p>
      <w:pPr>
        <w:ind w:firstLine="764"/>
        <w:spacing w:after="0" w:line="264" w:lineRule="auto"/>
        <w:tabs>
          <w:tab w:leader="none" w:pos="10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397" w:lineRule="exact"/>
        <w:rPr>
          <w:rFonts w:ascii="Arial" w:cs="Arial" w:eastAsia="Arial" w:hAnsi="Arial"/>
          <w:sz w:val="18"/>
          <w:szCs w:val="18"/>
          <w:color w:val="auto"/>
        </w:rPr>
      </w:pPr>
    </w:p>
    <w:p>
      <w:pPr>
        <w:ind w:left="1020" w:hanging="256"/>
        <w:spacing w:after="0"/>
        <w:tabs>
          <w:tab w:leader="none" w:pos="10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to any tax, assessment or other governmental charge that is imposed or withheld solely by reason of the beneficial owner being a bank</w:t>
      </w:r>
    </w:p>
    <w:p>
      <w:pPr>
        <w:spacing w:after="0" w:line="34" w:lineRule="exact"/>
        <w:rPr>
          <w:rFonts w:ascii="Arial" w:cs="Arial" w:eastAsia="Arial" w:hAnsi="Arial"/>
          <w:sz w:val="17"/>
          <w:szCs w:val="17"/>
          <w:color w:val="auto"/>
        </w:rPr>
      </w:pPr>
    </w:p>
    <w:p>
      <w:pPr>
        <w:ind w:right="80" w:firstLine="8"/>
        <w:spacing w:after="0" w:line="261" w:lineRule="auto"/>
        <w:tabs>
          <w:tab w:leader="none" w:pos="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purchasing the Notes in the ordinary course of its lending business or (ii) that is neither (A) buying the Notes for investment purposes only nor (B) buying the Notes for resale to a third-party that either is not a bank or holding the Notes for investment purposes only;</w:t>
      </w:r>
    </w:p>
    <w:p>
      <w:pPr>
        <w:spacing w:after="0" w:line="399" w:lineRule="exact"/>
        <w:rPr>
          <w:rFonts w:ascii="Arial" w:cs="Arial" w:eastAsia="Arial" w:hAnsi="Arial"/>
          <w:sz w:val="18"/>
          <w:szCs w:val="18"/>
          <w:color w:val="auto"/>
        </w:rPr>
      </w:pPr>
    </w:p>
    <w:p>
      <w:pPr>
        <w:jc w:val="both"/>
        <w:ind w:right="60" w:firstLine="764"/>
        <w:spacing w:after="0" w:line="259" w:lineRule="auto"/>
        <w:tabs>
          <w:tab w:leader="none" w:pos="110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100" w:hanging="336"/>
        <w:spacing w:after="0"/>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(9) and (10).</w:t>
      </w:r>
    </w:p>
    <w:p>
      <w:pPr>
        <w:spacing w:after="0" w:line="200" w:lineRule="exact"/>
        <w:rPr>
          <w:sz w:val="20"/>
          <w:szCs w:val="20"/>
          <w:color w:val="auto"/>
        </w:rPr>
      </w:pPr>
    </w:p>
    <w:p>
      <w:pPr>
        <w:spacing w:after="0" w:line="241" w:lineRule="exact"/>
        <w:rPr>
          <w:sz w:val="20"/>
          <w:szCs w:val="20"/>
          <w:color w:val="auto"/>
        </w:rPr>
      </w:pPr>
    </w:p>
    <w:p>
      <w:pPr>
        <w:ind w:right="80" w:firstLine="756"/>
        <w:spacing w:after="0" w:line="312"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assessment or other governmental charge imposed by any government or a political subdivision or taxing authority of or in any government or political subdivision.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200" w:lineRule="exact"/>
        <w:rPr>
          <w:sz w:val="20"/>
          <w:szCs w:val="20"/>
          <w:color w:val="auto"/>
        </w:rPr>
      </w:pPr>
    </w:p>
    <w:p>
      <w:pPr>
        <w:spacing w:after="0" w:line="241" w:lineRule="exact"/>
        <w:rPr>
          <w:sz w:val="20"/>
          <w:szCs w:val="20"/>
          <w:color w:val="auto"/>
        </w:rPr>
      </w:pPr>
    </w:p>
    <w:p>
      <w:pPr>
        <w:ind w:right="60" w:firstLine="756"/>
        <w:spacing w:after="0" w:line="272" w:lineRule="auto"/>
        <w:rPr>
          <w:sz w:val="20"/>
          <w:szCs w:val="20"/>
          <w:color w:val="auto"/>
        </w:rPr>
      </w:pPr>
      <w:r>
        <w:rPr>
          <w:rFonts w:ascii="Arial" w:cs="Arial" w:eastAsia="Arial" w:hAnsi="Arial"/>
          <w:sz w:val="17"/>
          <w:szCs w:val="17"/>
          <w:color w:val="auto"/>
        </w:rPr>
        <w:t>The Notes are redeemable, in whole at any time or in part from time to time, at our option, prior to February 22, 2026 (3 months prior to the maturity date of the Notes) (the “Par Call Date”) at a redemption price equal to the greater of (i) 100% of the principal amount of the Notes, and (ii) the sum of the present values of the remaining scheduled payments of principal and interest on the Notes through the Par Call Date (exclusive of interest accrued and unpaid as of the date of redemption), assuming for such purpose that the Notes matured on the Par Call Date, discounted to the date of redemption on an annual basis at the applicable Comparable Government Bond Rate (as defined below), plus 30 basis points, plus accrued and unpaid interest thereon to, but excluding, the date of redemption. However, if the redemption date is after a record date and on or prior to a corresponding interest payment date, the interest will be paid on the redemption date to the holder of record on the record date.</w:t>
      </w:r>
    </w:p>
    <w:p>
      <w:pPr>
        <w:spacing w:after="0" w:line="394" w:lineRule="exact"/>
        <w:rPr>
          <w:sz w:val="20"/>
          <w:szCs w:val="20"/>
          <w:color w:val="auto"/>
        </w:rPr>
      </w:pPr>
    </w:p>
    <w:p>
      <w:pPr>
        <w:ind w:right="120" w:firstLine="756"/>
        <w:spacing w:after="0" w:line="264" w:lineRule="auto"/>
        <w:rPr>
          <w:sz w:val="20"/>
          <w:szCs w:val="20"/>
          <w:color w:val="auto"/>
        </w:rPr>
      </w:pPr>
      <w:r>
        <w:rPr>
          <w:rFonts w:ascii="Arial" w:cs="Arial" w:eastAsia="Arial" w:hAnsi="Arial"/>
          <w:sz w:val="18"/>
          <w:szCs w:val="18"/>
          <w:color w:val="auto"/>
        </w:rPr>
        <w:t>Notwithstanding the foregoing, at any time on or after the Par Call Date, the Notes are redeemable, in whole or in part, at our option and at any time or from time to time, at a redemption price equal to 100% of the principal amount of the Notes to be redeemed plus accrued and unpaid interest thereon to, but excluding, the date of redemption.</w:t>
      </w:r>
    </w:p>
    <w:p>
      <w:pPr>
        <w:spacing w:after="0" w:line="181" w:lineRule="exact"/>
        <w:rPr>
          <w:sz w:val="20"/>
          <w:szCs w:val="20"/>
          <w:color w:val="auto"/>
        </w:rPr>
      </w:pPr>
    </w:p>
    <w:p>
      <w:pPr>
        <w:ind w:firstLine="756"/>
        <w:spacing w:after="0" w:line="302" w:lineRule="auto"/>
        <w:rPr>
          <w:sz w:val="20"/>
          <w:szCs w:val="20"/>
          <w:color w:val="auto"/>
        </w:rPr>
      </w:pPr>
      <w:r>
        <w:rPr>
          <w:rFonts w:ascii="Arial" w:cs="Arial" w:eastAsia="Arial" w:hAnsi="Arial"/>
          <w:sz w:val="16"/>
          <w:szCs w:val="16"/>
          <w:color w:val="auto"/>
        </w:rPr>
        <w:t>Notice of any redemption will be given at least 30 days, but not more than 60 days, before the redemption date to each registered holder of Notes to be redeemed. Once notice of redemption is given, the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Notes (or portion thereof) to be redeemed on such redemption date.</w:t>
      </w:r>
    </w:p>
    <w:p>
      <w:pPr>
        <w:spacing w:after="0" w:line="370" w:lineRule="exact"/>
        <w:rPr>
          <w:sz w:val="20"/>
          <w:szCs w:val="20"/>
          <w:color w:val="auto"/>
        </w:rPr>
      </w:pPr>
    </w:p>
    <w:p>
      <w:pPr>
        <w:ind w:right="3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w:t>
      </w:r>
      <w:r>
        <w:rPr>
          <w:rFonts w:ascii="Arial" w:cs="Arial" w:eastAsia="Arial" w:hAnsi="Arial"/>
          <w:sz w:val="18"/>
          <w:szCs w:val="18"/>
          <w:color w:val="auto"/>
        </w:rPr>
        <w:t>” means, in relation to any Comparable Government Bond Rate calculation, at the discretion of an independent investment bank selected by us, a German government bond (</w:t>
      </w:r>
      <w:r>
        <w:rPr>
          <w:rFonts w:ascii="Arial" w:cs="Arial" w:eastAsia="Arial" w:hAnsi="Arial"/>
          <w:sz w:val="18"/>
          <w:szCs w:val="18"/>
          <w:i w:val="1"/>
          <w:iCs w:val="1"/>
          <w:color w:val="auto"/>
        </w:rPr>
        <w:t>Bundesanleihe</w:t>
      </w:r>
      <w:r>
        <w:rPr>
          <w:rFonts w:ascii="Arial" w:cs="Arial" w:eastAsia="Arial" w:hAnsi="Arial"/>
          <w:sz w:val="18"/>
          <w:szCs w:val="18"/>
          <w:color w:val="auto"/>
        </w:rPr>
        <w:t>) whose maturity is closest to the Par Call Date, or if such independent investment bank in its discretion determines that such similar bond is not in</w:t>
      </w:r>
    </w:p>
    <w:p>
      <w:pPr>
        <w:sectPr>
          <w:pgSz w:w="11900" w:h="16838" w:orient="portrait"/>
          <w:cols w:equalWidth="0" w:num="1">
            <w:col w:w="11400"/>
          </w:cols>
          <w:pgMar w:left="240" w:top="773" w:right="259" w:bottom="1440" w:gutter="0" w:footer="0" w:header="0"/>
        </w:sectPr>
      </w:pPr>
    </w:p>
    <w:bookmarkStart w:id="120" w:name="page121"/>
    <w:bookmarkEnd w:id="120"/>
    <w:p>
      <w:pPr>
        <w:ind w:right="120"/>
        <w:spacing w:after="0" w:line="277" w:lineRule="auto"/>
        <w:rPr>
          <w:sz w:val="20"/>
          <w:szCs w:val="20"/>
          <w:color w:val="auto"/>
        </w:rPr>
      </w:pPr>
      <w:r>
        <w:rPr>
          <w:rFonts w:ascii="Arial" w:cs="Arial" w:eastAsia="Arial" w:hAnsi="Arial"/>
          <w:sz w:val="18"/>
          <w:szCs w:val="18"/>
          <w:color w:val="auto"/>
        </w:rPr>
        <w:t>issue, such other German government bond as such independent investment bank may, with the advice of three brokers of, and/or market makers in, German government bonds selected by us, determine to be appropriate for determining the Comparable Government Bond Rate.</w:t>
      </w:r>
    </w:p>
    <w:p>
      <w:pPr>
        <w:spacing w:after="0" w:line="387" w:lineRule="exact"/>
        <w:rPr>
          <w:sz w:val="20"/>
          <w:szCs w:val="20"/>
          <w:color w:val="auto"/>
        </w:rPr>
      </w:pPr>
    </w:p>
    <w:p>
      <w:pPr>
        <w:ind w:right="100" w:firstLine="7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Government Bond Rate</w:t>
      </w:r>
      <w:r>
        <w:rPr>
          <w:rFonts w:ascii="Arial" w:cs="Arial" w:eastAsia="Arial" w:hAnsi="Arial"/>
          <w:sz w:val="18"/>
          <w:szCs w:val="18"/>
          <w:color w:val="auto"/>
        </w:rPr>
        <w:t>”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us.</w:t>
      </w:r>
    </w:p>
    <w:p>
      <w:pPr>
        <w:spacing w:after="0" w:line="200" w:lineRule="exact"/>
        <w:rPr>
          <w:sz w:val="20"/>
          <w:szCs w:val="20"/>
          <w:color w:val="auto"/>
        </w:rPr>
      </w:pPr>
    </w:p>
    <w:p>
      <w:pPr>
        <w:spacing w:after="0" w:line="204" w:lineRule="exact"/>
        <w:rPr>
          <w:sz w:val="20"/>
          <w:szCs w:val="20"/>
          <w:color w:val="auto"/>
        </w:rPr>
      </w:pPr>
    </w:p>
    <w:p>
      <w:pPr>
        <w:ind w:right="100" w:firstLine="756"/>
        <w:spacing w:after="0" w:line="297"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paying agent, or the trustee, money sufficient to pay the redemption price of and (unless the redemption date shall be an interest payment date) accrued interest on the Notes to be redeemed on that date. If less than all of the Notes are to be redeemed, the Notes to be redeemed will be selected by the trustee, in accordance with the applicable depositary procedures; provided, however, that no Notes of a principal amount of €100,000 or less shall be redeemed in part.</w:t>
      </w:r>
    </w:p>
    <w:p>
      <w:pPr>
        <w:spacing w:after="0" w:line="3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may at any time, and from time to time, purchase the Notes at any price or prices in the open market or otherwise.</w:t>
      </w:r>
    </w:p>
    <w:p>
      <w:pPr>
        <w:spacing w:after="0" w:line="200" w:lineRule="exact"/>
        <w:rPr>
          <w:sz w:val="20"/>
          <w:szCs w:val="20"/>
          <w:color w:val="auto"/>
        </w:rPr>
      </w:pPr>
    </w:p>
    <w:p>
      <w:pPr>
        <w:spacing w:after="0" w:line="241" w:lineRule="exact"/>
        <w:rPr>
          <w:sz w:val="20"/>
          <w:szCs w:val="20"/>
          <w:color w:val="auto"/>
        </w:rPr>
      </w:pPr>
    </w:p>
    <w:p>
      <w:pPr>
        <w:ind w:firstLine="756"/>
        <w:spacing w:after="0" w:line="271" w:lineRule="auto"/>
        <w:rPr>
          <w:sz w:val="20"/>
          <w:szCs w:val="20"/>
          <w:color w:val="auto"/>
        </w:rPr>
      </w:pPr>
      <w:r>
        <w:rPr>
          <w:rFonts w:ascii="Arial" w:cs="Arial" w:eastAsia="Arial" w:hAnsi="Arial"/>
          <w:sz w:val="17"/>
          <w:szCs w:val="17"/>
          <w:color w:val="auto"/>
        </w:rPr>
        <w:t>Notwithstanding the foregoing, in connection with any tender offer for all of the Notes outstanding at a price of at least 100% of the principal amount of the Notes tendered, plus accrued and unpaid interest thereon to, but excluding, the applicable tender settlement date (including any Change of Control Offer), if holders of not less than 90% in aggregate principal amount of the Notes outstanding validly tender and do not withdraw such Notes in such tender offer and we, or any third party making such a tender offer in lieu of us, purchases all of the Notes validly tendered and not withdrawn by such holders, we or such third party will have the right, upon not less than 30 nor more than 60 days’ prior notice, by first class mail to each holder of Notes, or by electronic delivery, given not more than 30 days following such purchase date, to redeem all Notes that remain outstanding following such purchase at a price equal to the price offered to each other holder in such tender offer plus, to the extent not included in the tender offer payment, accrued and unpaid interest, if any, thereon, to, but excluding, the redemption date.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for Tax Reasons</w:t>
      </w:r>
    </w:p>
    <w:p>
      <w:pPr>
        <w:spacing w:after="0" w:line="225" w:lineRule="exact"/>
        <w:rPr>
          <w:sz w:val="20"/>
          <w:szCs w:val="20"/>
          <w:color w:val="auto"/>
        </w:rPr>
      </w:pPr>
    </w:p>
    <w:p>
      <w:pPr>
        <w:ind w:right="40" w:firstLine="7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 to, an official position regarding the application or interpretation of such laws, regulations or rulings, which change or amendment is announced or becomes effective on or after May 17, 2019, we become or, based upon a written opinion of independent counsel selected by us, will become obligated to pay additional amounts as described under the heading “-Payment of Additional Amounts” with respect to the Notes, then we may at any time at our option redeem, in whole, but not in part, the Notes on not less than 15 nor more than 45 days’ prior notice, at a redemption price equal to 100% of their principal amount, together with accrued and unpaid interest on the Notes to, but not including, the date fixed for redemption.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upon Change of Control Triggering Event</w:t>
      </w:r>
    </w:p>
    <w:p>
      <w:pPr>
        <w:spacing w:after="0" w:line="200" w:lineRule="exact"/>
        <w:rPr>
          <w:sz w:val="20"/>
          <w:szCs w:val="20"/>
          <w:color w:val="auto"/>
        </w:rPr>
      </w:pPr>
    </w:p>
    <w:p>
      <w:pPr>
        <w:spacing w:after="0" w:line="245" w:lineRule="exact"/>
        <w:rPr>
          <w:sz w:val="20"/>
          <w:szCs w:val="20"/>
          <w:color w:val="auto"/>
        </w:rPr>
      </w:pPr>
    </w:p>
    <w:p>
      <w:pPr>
        <w:ind w:right="40" w:firstLine="756"/>
        <w:spacing w:after="0" w:line="259" w:lineRule="auto"/>
        <w:rPr>
          <w:sz w:val="20"/>
          <w:szCs w:val="20"/>
          <w:color w:val="auto"/>
        </w:rPr>
      </w:pPr>
      <w:r>
        <w:rPr>
          <w:rFonts w:ascii="Arial" w:cs="Arial" w:eastAsia="Arial" w:hAnsi="Arial"/>
          <w:sz w:val="18"/>
          <w:szCs w:val="18"/>
          <w:color w:val="auto"/>
        </w:rPr>
        <w:t>If a Change of Control Triggering Event (as defined below) occurs with respect to the Notes, unless we have exercised our right to redeem the Notes as described under “-Optional Redemption,” or “-Redemption for Tax Reasons,” we will be required to make an offer to repurchase all or, at the holder’s option, any part (equal to €100,000 or any integral multiple of €1,000 in excess thereof) of each holder’s Notes pursuant to the offer described below (the “Change of Control Offer”).</w:t>
      </w:r>
    </w:p>
    <w:p>
      <w:pPr>
        <w:spacing w:after="0" w:line="200" w:lineRule="exact"/>
        <w:rPr>
          <w:sz w:val="20"/>
          <w:szCs w:val="20"/>
          <w:color w:val="auto"/>
        </w:rPr>
      </w:pPr>
    </w:p>
    <w:p>
      <w:pPr>
        <w:spacing w:after="0" w:line="203" w:lineRule="exact"/>
        <w:rPr>
          <w:sz w:val="20"/>
          <w:szCs w:val="20"/>
          <w:color w:val="auto"/>
        </w:rPr>
      </w:pPr>
    </w:p>
    <w:p>
      <w:pPr>
        <w:ind w:firstLine="756"/>
        <w:spacing w:after="0" w:line="342" w:lineRule="auto"/>
        <w:rPr>
          <w:sz w:val="20"/>
          <w:szCs w:val="20"/>
          <w:color w:val="auto"/>
        </w:rPr>
      </w:pPr>
      <w:r>
        <w:rPr>
          <w:rFonts w:ascii="Arial" w:cs="Arial" w:eastAsia="Arial" w:hAnsi="Arial"/>
          <w:sz w:val="16"/>
          <w:szCs w:val="16"/>
          <w:color w:val="auto"/>
        </w:rPr>
        <w:t>In the Change of Control Offer, we will be required to offer payment in cash equal to 101% of the aggregate principal amount of Notes repurchased plus accrued and unpaid interest, if any, on the Notes repurchased to, but not including, the date of purchase (the “Change of Control Payment”).</w:t>
      </w:r>
    </w:p>
    <w:p>
      <w:pPr>
        <w:spacing w:after="0" w:line="340" w:lineRule="exact"/>
        <w:rPr>
          <w:sz w:val="20"/>
          <w:szCs w:val="20"/>
          <w:color w:val="auto"/>
        </w:rPr>
      </w:pPr>
    </w:p>
    <w:p>
      <w:pPr>
        <w:ind w:firstLine="756"/>
        <w:spacing w:after="0" w:line="259" w:lineRule="auto"/>
        <w:rPr>
          <w:sz w:val="20"/>
          <w:szCs w:val="20"/>
          <w:color w:val="auto"/>
        </w:rPr>
      </w:pPr>
      <w:r>
        <w:rPr>
          <w:rFonts w:ascii="Arial" w:cs="Arial" w:eastAsia="Arial" w:hAnsi="Arial"/>
          <w:sz w:val="18"/>
          <w:szCs w:val="18"/>
          <w:color w:val="auto"/>
        </w:rPr>
        <w:t>Within 30 days following any Change of Control Triggering Event with respect to the Notes or, at our option, prior to any Change of Control (as defined below) but after the public announcement of the transaction or transactions that constitutes or may constitute a Change of Control, we will be required to mail, or cause to be mailed, or otherwise deliver in accordance with the applicable clearing system’s procedures, a notice to holders of the Notes, with a copy to the trustee, describing the</w:t>
      </w:r>
    </w:p>
    <w:p>
      <w:pPr>
        <w:sectPr>
          <w:pgSz w:w="11900" w:h="16838" w:orient="portrait"/>
          <w:cols w:equalWidth="0" w:num="1">
            <w:col w:w="11400"/>
          </w:cols>
          <w:pgMar w:left="240" w:top="773" w:right="259" w:bottom="1440" w:gutter="0" w:footer="0" w:header="0"/>
        </w:sectPr>
      </w:pPr>
    </w:p>
    <w:bookmarkStart w:id="121" w:name="page122"/>
    <w:bookmarkEnd w:id="121"/>
    <w:p>
      <w:pPr>
        <w:ind w:right="80"/>
        <w:spacing w:after="0" w:line="270" w:lineRule="auto"/>
        <w:rPr>
          <w:sz w:val="20"/>
          <w:szCs w:val="20"/>
          <w:color w:val="auto"/>
        </w:rPr>
      </w:pPr>
      <w:r>
        <w:rPr>
          <w:rFonts w:ascii="Arial" w:cs="Arial" w:eastAsia="Arial" w:hAnsi="Arial"/>
          <w:sz w:val="17"/>
          <w:szCs w:val="17"/>
          <w:color w:val="auto"/>
        </w:rPr>
        <w:t>transaction or transactions that constitute or may constitute the Change of Control Triggering Event and offering to repurchase such Notes on the date specified in the notice, which date will be no earlier than 30 and no later than 60 days from the date such notice is mailed or delivered (the “Change of Control Payment Date”), pursuant to the procedures required by such Notes and described in such notice. The notice shall, if mailed or delivered prior to the date of consummation of the Change of Control, state that the offer to purchase is conditioned on the Change of Control Triggering Event occurring on or prior to the Change of Control Payment Date. We will comply with the requirements of Rule 14e-1 under the Exchange Act and any other securities laws and regulations thereunder to the extent those laws and regulations are applicable in connection with the repurchase of such Notes as a result of a Change of Control Triggering Event. To the extent that the provisions of any such securities laws or regulations conflict with the Change of Control Offer provisions of the Notes or the indenture, we will comply with those securities laws and regulations and will not be deemed to have breached our obligations under the Change of Control Offer provisions of the Notes or the indenture by virtue of such conflict.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On the Change of Control Payment Date, we will be required, to the extent lawful, to:</w:t>
      </w:r>
    </w:p>
    <w:p>
      <w:pPr>
        <w:spacing w:after="0" w:line="23" w:lineRule="exact"/>
        <w:rPr>
          <w:sz w:val="20"/>
          <w:szCs w:val="20"/>
          <w:color w:val="auto"/>
        </w:rPr>
      </w:pPr>
    </w:p>
    <w:p>
      <w:pPr>
        <w:ind w:left="700" w:hanging="36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1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deposit with the paying agent for the Notes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deliver or cause to be delivered to the trustee or the paying agent the Notes properly accepted for payment by us, together with an officers’ certificate stating the aggregate principal amount of Notes or portions of Notes being purchased by us.</w:t>
      </w:r>
    </w:p>
    <w:p>
      <w:pPr>
        <w:spacing w:after="0" w:line="170" w:lineRule="exact"/>
        <w:rPr>
          <w:sz w:val="20"/>
          <w:szCs w:val="20"/>
          <w:color w:val="auto"/>
        </w:rPr>
      </w:pPr>
    </w:p>
    <w:p>
      <w:pPr>
        <w:ind w:right="80" w:firstLine="756"/>
        <w:spacing w:after="0" w:line="257" w:lineRule="auto"/>
        <w:rPr>
          <w:sz w:val="20"/>
          <w:szCs w:val="20"/>
          <w:color w:val="auto"/>
        </w:rPr>
      </w:pPr>
      <w:r>
        <w:rPr>
          <w:rFonts w:ascii="Arial" w:cs="Arial" w:eastAsia="Arial" w:hAnsi="Arial"/>
          <w:sz w:val="18"/>
          <w:szCs w:val="18"/>
          <w:color w:val="auto"/>
        </w:rPr>
        <w:t xml:space="preserve">The paying agent for the Notes will be required to promptly mail, or otherwise deliver in accordance with the applicable clearing system’s procedures, to each holder who properly tendered Notes that were accepted for payment by us, the purchase price for such Notes, and the trustee will be required to promptly authenticate and mail (or cause to be transferred by book entry) to each such holder a new note equal in principal amount to any unpurchased portion of the Notes surrendered, if 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will be in a principal amount of €100,000 or an integral multiple of €1,000 in excess thereof.</w:t>
      </w:r>
    </w:p>
    <w:p>
      <w:pPr>
        <w:spacing w:after="0" w:line="188" w:lineRule="exact"/>
        <w:rPr>
          <w:sz w:val="20"/>
          <w:szCs w:val="20"/>
          <w:color w:val="auto"/>
        </w:rPr>
      </w:pPr>
    </w:p>
    <w:p>
      <w:pPr>
        <w:ind w:right="100" w:firstLine="756"/>
        <w:spacing w:after="0" w:line="255" w:lineRule="auto"/>
        <w:rPr>
          <w:sz w:val="20"/>
          <w:szCs w:val="20"/>
          <w:color w:val="auto"/>
        </w:rPr>
      </w:pPr>
      <w:r>
        <w:rPr>
          <w:rFonts w:ascii="Arial" w:cs="Arial" w:eastAsia="Arial" w:hAnsi="Arial"/>
          <w:sz w:val="18"/>
          <w:szCs w:val="18"/>
          <w:color w:val="auto"/>
        </w:rPr>
        <w:t>We will not be required to make a Change of Control Offer upon a Change of Control Triggering Event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on its offer, we will be required to make a Change of Control Offer treating the date of such termination or default as though it were the date of the Change of Control Triggering Event. In addition, we will not purchase any Notes if there has occurred and is continuing on the Change of Control Payment Date an event of default under the indenture, other than a default in the payment of the Change of Control Payment.</w:t>
      </w:r>
    </w:p>
    <w:p>
      <w:pPr>
        <w:spacing w:after="0" w:line="200" w:lineRule="exact"/>
        <w:rPr>
          <w:sz w:val="20"/>
          <w:szCs w:val="20"/>
          <w:color w:val="auto"/>
        </w:rPr>
      </w:pPr>
    </w:p>
    <w:p>
      <w:pPr>
        <w:spacing w:after="0" w:line="209" w:lineRule="exact"/>
        <w:rPr>
          <w:sz w:val="20"/>
          <w:szCs w:val="20"/>
          <w:color w:val="auto"/>
        </w:rPr>
      </w:pPr>
    </w:p>
    <w:p>
      <w:pPr>
        <w:ind w:right="100" w:firstLine="756"/>
        <w:spacing w:after="0" w:line="297" w:lineRule="auto"/>
        <w:rPr>
          <w:sz w:val="20"/>
          <w:szCs w:val="20"/>
          <w:color w:val="auto"/>
        </w:rPr>
      </w:pPr>
      <w:r>
        <w:rPr>
          <w:rFonts w:ascii="Arial" w:cs="Arial" w:eastAsia="Arial" w:hAnsi="Arial"/>
          <w:sz w:val="16"/>
          <w:szCs w:val="16"/>
          <w:color w:val="auto"/>
        </w:rPr>
        <w:t>If holders of not less than 90% in aggregate principal amount of the Notes outstanding tender and do not withdraw such Notes in a Change of Control Offer and we, or any third party making a Change of Control Offer in lieu of us as described above, purchases all of the Notes validly tendered and not withdrawn by such holders, we or such third party will have the right, upon not less than 30 nor more than 60 days’ prior notice, given not more than 30 days following such purchase pursuant to the Change of Control Offer described above, to redeem all Notes that remain outstanding following such purchase at a price in cash equal to 101% of the principal amount thereof plus accrued and unpaid interest to, but excluding, the date of redemption.</w:t>
      </w:r>
    </w:p>
    <w:p>
      <w:pPr>
        <w:spacing w:after="0" w:line="374" w:lineRule="exact"/>
        <w:rPr>
          <w:sz w:val="20"/>
          <w:szCs w:val="20"/>
          <w:color w:val="auto"/>
        </w:rPr>
      </w:pPr>
    </w:p>
    <w:p>
      <w:pPr>
        <w:ind w:right="600" w:firstLine="756"/>
        <w:spacing w:after="0" w:line="277" w:lineRule="auto"/>
        <w:rPr>
          <w:sz w:val="20"/>
          <w:szCs w:val="20"/>
          <w:color w:val="auto"/>
        </w:rPr>
      </w:pPr>
      <w:r>
        <w:rPr>
          <w:rFonts w:ascii="Arial" w:cs="Arial" w:eastAsia="Arial" w:hAnsi="Arial"/>
          <w:sz w:val="18"/>
          <w:szCs w:val="18"/>
          <w:color w:val="auto"/>
        </w:rPr>
        <w:t>For purposes of the foregoing discussion of a repurchase at the option of holders upon the occurrence of a Change of Control, the following definitions are applicable:</w:t>
      </w:r>
    </w:p>
    <w:p>
      <w:pPr>
        <w:spacing w:after="0" w:line="387" w:lineRule="exact"/>
        <w:rPr>
          <w:sz w:val="20"/>
          <w:szCs w:val="20"/>
          <w:color w:val="auto"/>
        </w:rPr>
      </w:pPr>
    </w:p>
    <w:p>
      <w:pPr>
        <w:ind w:firstLine="7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with respect to the Notes means the ratings of the Notes are decreased by each of the Rating Agencies and the Notes are rated below an Investment Grade Rating by each of the Rating Agencies on any date during the period commencing upon the first public notice of the occurrence of a Change of Control or our intention to effect a Change of Control and ending 60 days following public notice of the occurrence of the related Change of Control (which 60-day period shall be extended so long as the rating of the Notes is under publicly announced consideration for possible downgrade by any of the Rating Agencies); provided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if the Rating Agencies making the reduction in rating to which this definition would otherwise apply do not announce or publicly confirm or inform the holders of the Notes in writing at their request that the reduction was the result, in whole or in part, of any event or circumstance comprising or arising as a result of, or in respect of, the applicable Change of Control (whether or not the applicable Change of Control shall have occurred at the time of the rating event).</w:t>
      </w:r>
    </w:p>
    <w:p>
      <w:pPr>
        <w:sectPr>
          <w:pgSz w:w="11900" w:h="16838" w:orient="portrait"/>
          <w:cols w:equalWidth="0" w:num="1">
            <w:col w:w="11420"/>
          </w:cols>
          <w:pgMar w:left="240" w:top="773" w:right="239" w:bottom="1440" w:gutter="0" w:footer="0" w:header="0"/>
        </w:sectPr>
      </w:pPr>
    </w:p>
    <w:bookmarkStart w:id="122" w:name="page123"/>
    <w:bookmarkEnd w:id="122"/>
    <w:p>
      <w:pPr>
        <w:jc w:val="both"/>
        <w:ind w:right="120" w:firstLine="7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w:t>
      </w:r>
    </w:p>
    <w:p>
      <w:pPr>
        <w:ind w:right="220" w:firstLine="8"/>
        <w:spacing w:after="0" w:line="255"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approval by the holders of our Common Stock of any plan or proposal for our liquidation or dissolution; or (3) the consummation of any transaction (including, without limitation, any merger or consolidation) the result of which is that any Person or Group becomes the beneficial owner, directly or indirectly, of more than 50% of the number of shares of our Voting Stock then outstanding.</w:t>
      </w:r>
    </w:p>
    <w:p>
      <w:pPr>
        <w:spacing w:after="0" w:line="200" w:lineRule="exact"/>
        <w:rPr>
          <w:sz w:val="20"/>
          <w:szCs w:val="20"/>
          <w:color w:val="auto"/>
        </w:rPr>
      </w:pPr>
    </w:p>
    <w:p>
      <w:pPr>
        <w:spacing w:after="0" w:line="206" w:lineRule="exact"/>
        <w:rPr>
          <w:sz w:val="20"/>
          <w:szCs w:val="20"/>
          <w:color w:val="auto"/>
        </w:rPr>
      </w:pPr>
    </w:p>
    <w:p>
      <w:pPr>
        <w:ind w:firstLine="756"/>
        <w:spacing w:after="0" w:line="257" w:lineRule="auto"/>
        <w:rPr>
          <w:sz w:val="20"/>
          <w:szCs w:val="20"/>
          <w:color w:val="auto"/>
        </w:rPr>
      </w:pPr>
      <w:r>
        <w:rPr>
          <w:rFonts w:ascii="Arial" w:cs="Arial" w:eastAsia="Arial" w:hAnsi="Arial"/>
          <w:sz w:val="18"/>
          <w:szCs w:val="18"/>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200" w:lineRule="exact"/>
        <w:rPr>
          <w:sz w:val="20"/>
          <w:szCs w:val="20"/>
          <w:color w:val="auto"/>
        </w:rPr>
      </w:pPr>
    </w:p>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means the occurrence of both a Change of Control and a Rating Event occurring in respect of that Change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Control.</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Ratings, Inc., or any successor thereto.</w:t>
      </w:r>
    </w:p>
    <w:p>
      <w:pPr>
        <w:spacing w:after="0" w:line="200" w:lineRule="exact"/>
        <w:rPr>
          <w:sz w:val="20"/>
          <w:szCs w:val="20"/>
          <w:color w:val="auto"/>
        </w:rPr>
      </w:pPr>
    </w:p>
    <w:p>
      <w:pPr>
        <w:spacing w:after="0" w:line="241" w:lineRule="exact"/>
        <w:rPr>
          <w:sz w:val="20"/>
          <w:szCs w:val="20"/>
          <w:color w:val="auto"/>
        </w:rPr>
      </w:pPr>
    </w:p>
    <w:p>
      <w:pPr>
        <w:ind w:right="20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rating equal to or higher than BBB- (or the equivalent) by Fitch and BBB- (or the equivalent) by S&amp;P or the equivalent investment grade credit rating from any additional Rating Agency or Rating Agencies selected by us.</w:t>
      </w:r>
    </w:p>
    <w:p>
      <w:pPr>
        <w:spacing w:after="0" w:line="387"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397" w:lineRule="exact"/>
        <w:rPr>
          <w:sz w:val="20"/>
          <w:szCs w:val="20"/>
          <w:color w:val="auto"/>
        </w:rPr>
      </w:pPr>
    </w:p>
    <w:p>
      <w:pPr>
        <w:ind w:right="18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Fitch and S&amp;P; and (2) if any of Fitch or S&amp;P ceases to rate the Notes or fails to make a rating of the Notes publicly available for reasons outside of our control, a “nationally recognized statistical rating organization” within the meaning of Section 3(a)(62) of the Exchange Act, that we select (as certified by an executive officer of ours) as a replacement agency for Fitch or S&amp;P, or both of them, as the case may be.</w:t>
      </w:r>
    </w:p>
    <w:p>
      <w:pPr>
        <w:spacing w:after="0" w:line="3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Services (a division of S&amp;P Global Inc.) or any successor to the rating agency business thereof.</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indenture will contain, among others, the following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225" w:lineRule="exact"/>
        <w:rPr>
          <w:sz w:val="20"/>
          <w:szCs w:val="20"/>
          <w:color w:val="auto"/>
        </w:rPr>
      </w:pPr>
    </w:p>
    <w:p>
      <w:pPr>
        <w:ind w:right="60" w:firstLine="756"/>
        <w:spacing w:after="0" w:line="258" w:lineRule="auto"/>
        <w:rPr>
          <w:sz w:val="20"/>
          <w:szCs w:val="20"/>
          <w:color w:val="auto"/>
        </w:rPr>
      </w:pPr>
      <w:r>
        <w:rPr>
          <w:rFonts w:ascii="Arial" w:cs="Arial" w:eastAsia="Arial" w:hAnsi="Arial"/>
          <w:sz w:val="18"/>
          <w:szCs w:val="18"/>
          <w:color w:val="auto"/>
        </w:rPr>
        <w:t>We may not consolidate with, enter into a binding share exchange with, or merge with or into, another person or sell, assign, convey, transfer, lease or otherwise dispose of all or substantially all of our properties and assets to any successor person, unless:</w:t>
      </w:r>
    </w:p>
    <w:p>
      <w:pPr>
        <w:spacing w:after="0" w:line="1" w:lineRule="exact"/>
        <w:rPr>
          <w:sz w:val="20"/>
          <w:szCs w:val="20"/>
          <w:color w:val="auto"/>
        </w:rPr>
      </w:pPr>
    </w:p>
    <w:p>
      <w:pPr>
        <w:ind w:left="660" w:right="20" w:hanging="328"/>
        <w:spacing w:after="0" w:line="323"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resulting, surviving or transferee person (if not us) is a Person organized and existing under the laws of the United States, any state of the United States or the District of Columbia and expressly assumes by supplemental indenture all of our obligations under the Notes and the indenture;</w:t>
      </w:r>
    </w:p>
    <w:p>
      <w:pPr>
        <w:spacing w:after="0" w:line="13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conditions specified in the indenture are met.</w:t>
      </w:r>
    </w:p>
    <w:p>
      <w:pPr>
        <w:spacing w:after="0" w:line="225" w:lineRule="exact"/>
        <w:rPr>
          <w:sz w:val="20"/>
          <w:szCs w:val="20"/>
          <w:color w:val="auto"/>
        </w:rPr>
      </w:pPr>
    </w:p>
    <w:p>
      <w:pPr>
        <w:ind w:right="400" w:firstLine="756"/>
        <w:spacing w:after="0" w:line="277" w:lineRule="auto"/>
        <w:rPr>
          <w:sz w:val="20"/>
          <w:szCs w:val="20"/>
          <w:color w:val="auto"/>
        </w:rPr>
      </w:pPr>
      <w:r>
        <w:rPr>
          <w:rFonts w:ascii="Arial" w:cs="Arial" w:eastAsia="Arial" w:hAnsi="Arial"/>
          <w:sz w:val="18"/>
          <w:szCs w:val="18"/>
          <w:color w:val="auto"/>
        </w:rPr>
        <w:t>Upon any such consolidation, binding share exchange, merger, sale, assignment, conveyance, transfer, lease or other disposition, the resulting, surviving or transferee corporation (if not us) shall succeed to, and may exercise every right and</w:t>
      </w:r>
    </w:p>
    <w:p>
      <w:pPr>
        <w:sectPr>
          <w:pgSz w:w="11900" w:h="16838" w:orient="portrait"/>
          <w:cols w:equalWidth="0" w:num="1">
            <w:col w:w="11400"/>
          </w:cols>
          <w:pgMar w:left="240" w:top="773" w:right="259" w:bottom="1440" w:gutter="0" w:footer="0" w:header="0"/>
        </w:sectPr>
      </w:pPr>
    </w:p>
    <w:bookmarkStart w:id="123" w:name="page124"/>
    <w:bookmarkEnd w:id="123"/>
    <w:p>
      <w:pPr>
        <w:ind w:right="20"/>
        <w:spacing w:after="0" w:line="277" w:lineRule="auto"/>
        <w:rPr>
          <w:sz w:val="20"/>
          <w:szCs w:val="20"/>
          <w:color w:val="auto"/>
        </w:rPr>
      </w:pPr>
      <w:r>
        <w:rPr>
          <w:rFonts w:ascii="Arial" w:cs="Arial" w:eastAsia="Arial" w:hAnsi="Arial"/>
          <w:sz w:val="18"/>
          <w:szCs w:val="18"/>
          <w:color w:val="auto"/>
        </w:rPr>
        <w:t>power of, Euronet under the indenture, in our name or in its own name and we will be released (other than in the case of a lease) from all our liabilities under the indenture and under the notes.</w:t>
      </w:r>
    </w:p>
    <w:p>
      <w:pPr>
        <w:spacing w:after="0" w:line="170" w:lineRule="exact"/>
        <w:rPr>
          <w:sz w:val="20"/>
          <w:szCs w:val="20"/>
          <w:color w:val="auto"/>
        </w:rPr>
      </w:pPr>
    </w:p>
    <w:p>
      <w:pPr>
        <w:ind w:firstLine="756"/>
        <w:spacing w:after="0" w:line="279" w:lineRule="auto"/>
        <w:rPr>
          <w:sz w:val="20"/>
          <w:szCs w:val="20"/>
          <w:color w:val="auto"/>
        </w:rPr>
      </w:pPr>
      <w:r>
        <w:rPr>
          <w:rFonts w:ascii="Arial" w:cs="Arial" w:eastAsia="Arial" w:hAnsi="Arial"/>
          <w:sz w:val="17"/>
          <w:szCs w:val="17"/>
          <w:color w:val="auto"/>
        </w:rPr>
        <w:t>Although there is a limited body of case law interpreting the phrase “all or substantially all,” there is no precise established definition of the phrase under applicable law. Accordingly, in certain circumstances there may be a degree of uncertainty as to whether a particular transaction would involve a disposition of “all or substantially all” of our assets. As a result, it may be unclear as to whether the merger, consolidation or sale of assets covenant would apply to a particular transaction as described above absent a decision by a court of competent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20" w:firstLine="756"/>
        <w:spacing w:after="0" w:line="276" w:lineRule="auto"/>
        <w:rPr>
          <w:sz w:val="20"/>
          <w:szCs w:val="20"/>
          <w:color w:val="auto"/>
        </w:rPr>
      </w:pPr>
      <w:r>
        <w:rPr>
          <w:rFonts w:ascii="Arial" w:cs="Arial" w:eastAsia="Arial" w:hAnsi="Arial"/>
          <w:sz w:val="17"/>
          <w:szCs w:val="17"/>
          <w:color w:val="auto"/>
        </w:rPr>
        <w:t>We may not, and may not permit any of our Significant Subsidiaries (as defined below) to, create or permit to exist any Lien (as defined below) on any Principal Property (as defined below) of ours or any of our Significant Subsidiaries (or on any stock of a Significant Subsidiary), whether owned on the date of issuance of the Notes or thereafter acquired, to secure any Indebtedness (as defined below) (any such Lien, a “Subject Lien”), unless we contemporaneously secure the Notes (together with, if we so determine, any other Indebtedness of or guaranty by us or such Significant Subsidiary then existing or thereafter created that is not subordinated to the Notes) equally and ratably with (or, at our option, prior to) that obligation.</w:t>
      </w:r>
    </w:p>
    <w:p>
      <w:pPr>
        <w:spacing w:after="0" w:line="389" w:lineRule="exact"/>
        <w:rPr>
          <w:sz w:val="20"/>
          <w:szCs w:val="20"/>
          <w:color w:val="auto"/>
        </w:rPr>
      </w:pPr>
    </w:p>
    <w:p>
      <w:pPr>
        <w:ind w:right="200" w:firstLine="756"/>
        <w:spacing w:after="0" w:line="273" w:lineRule="auto"/>
        <w:rPr>
          <w:sz w:val="20"/>
          <w:szCs w:val="20"/>
          <w:color w:val="auto"/>
        </w:rPr>
      </w:pPr>
      <w:r>
        <w:rPr>
          <w:rFonts w:ascii="Arial" w:cs="Arial" w:eastAsia="Arial" w:hAnsi="Arial"/>
          <w:sz w:val="17"/>
          <w:szCs w:val="17"/>
          <w:color w:val="auto"/>
        </w:rPr>
        <w:t>The restriction in the above paragraph, however, will not apply to (i) Permitted Liens (as defined below) and (ii) Subject Liens securing Indebtedness if at the time of determination, after giving effect to the incurrence of such Indebtedness and to the retirement of Indebtedness which is being retired substantially concurrently therewith, the sum of (1) the aggregate principal amount of all of our Indebtedness and Indebtedness of our Significant Subsidiaries secured by Subject Liens (other than Permitted Liens) and (2) the Attributable Debt (as defined below) in respect of all Sale and Lease-Back Transactions (as defined below) not otherwise permitted under the first paragraph under “Certain Covenants-Limitations on Sale and Lease-Back Transactions” does not exceed 15% of Consolidated Net Tangible Assets (as defined below).</w:t>
      </w:r>
    </w:p>
    <w:p>
      <w:pPr>
        <w:spacing w:after="0" w:line="395" w:lineRule="exact"/>
        <w:rPr>
          <w:sz w:val="20"/>
          <w:szCs w:val="20"/>
          <w:color w:val="auto"/>
        </w:rPr>
      </w:pPr>
    </w:p>
    <w:p>
      <w:pPr>
        <w:jc w:val="both"/>
        <w:ind w:right="300" w:firstLine="756"/>
        <w:spacing w:after="0" w:line="264" w:lineRule="auto"/>
        <w:rPr>
          <w:sz w:val="20"/>
          <w:szCs w:val="20"/>
          <w:color w:val="auto"/>
        </w:rPr>
      </w:pPr>
      <w:r>
        <w:rPr>
          <w:rFonts w:ascii="Arial" w:cs="Arial" w:eastAsia="Arial" w:hAnsi="Arial"/>
          <w:sz w:val="18"/>
          <w:szCs w:val="18"/>
          <w:color w:val="auto"/>
        </w:rPr>
        <w:t>Any such Lien thereby created in favor of the Notes will be automatically and unconditionally released and discharged upon (i) the release and discharge of each Subject Lien to which it relates, or (ii) any sale, exchange or transfer to any person not an affiliate of Euronet of the Principal Property secured by such Subject Lien.</w:t>
      </w:r>
    </w:p>
    <w:p>
      <w:pPr>
        <w:spacing w:after="0" w:line="397" w:lineRule="exact"/>
        <w:rPr>
          <w:sz w:val="20"/>
          <w:szCs w:val="20"/>
          <w:color w:val="auto"/>
        </w:rPr>
      </w:pPr>
    </w:p>
    <w:p>
      <w:pPr>
        <w:ind w:right="320" w:firstLine="7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means any indebtedness (whether being principal, premium, interest or other amounts) for or in respect of any Notes, bonds, debentures or other instruments for money borrowed or any borrowed money or any liability under or in respect of any banker’s acceptance (other than a daylight overdraft); provided, however, that Indebtedness does not include ATM Cash Supply Obligations.</w:t>
      </w:r>
    </w:p>
    <w:p>
      <w:pPr>
        <w:spacing w:after="0" w:line="382" w:lineRule="exact"/>
        <w:rPr>
          <w:sz w:val="20"/>
          <w:szCs w:val="20"/>
          <w:color w:val="auto"/>
        </w:rPr>
      </w:pPr>
    </w:p>
    <w:p>
      <w:pPr>
        <w:ind w:right="24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any mortgage, pledge, hypothecation, encumbrance, lien (statutory or other), charge or other security interest of any kind. For the avoidance of doubt, Liens do not include (a) the ownership or other interests of counterparties in “vault cash” they supply pursuant to ATM Cash Supply Arrangements or (b) setoff rights or statutory liens arising in the ordinary course of business.</w:t>
      </w:r>
    </w:p>
    <w:p>
      <w:pPr>
        <w:spacing w:after="0" w:line="3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of any person is defined in the indenture as:</w:t>
      </w:r>
    </w:p>
    <w:p>
      <w:pPr>
        <w:spacing w:after="0" w:line="200" w:lineRule="exact"/>
        <w:rPr>
          <w:sz w:val="20"/>
          <w:szCs w:val="20"/>
          <w:color w:val="auto"/>
        </w:rPr>
      </w:pPr>
    </w:p>
    <w:p>
      <w:pPr>
        <w:spacing w:after="0" w:line="241" w:lineRule="exact"/>
        <w:rPr>
          <w:sz w:val="20"/>
          <w:szCs w:val="20"/>
          <w:color w:val="auto"/>
        </w:rPr>
      </w:pPr>
    </w:p>
    <w:p>
      <w:pPr>
        <w:ind w:right="60" w:firstLine="764"/>
        <w:spacing w:after="0" w:line="308" w:lineRule="auto"/>
        <w:tabs>
          <w:tab w:leader="none" w:pos="1001" w:val="left"/>
        </w:tabs>
        <w:numPr>
          <w:ilvl w:val="0"/>
          <w:numId w:val="39"/>
        </w:numPr>
        <w:rPr>
          <w:rFonts w:ascii="Arial" w:cs="Arial" w:eastAsia="Arial" w:hAnsi="Arial"/>
          <w:sz w:val="17"/>
          <w:szCs w:val="17"/>
          <w:color w:val="auto"/>
        </w:rPr>
      </w:pPr>
      <w:r>
        <w:rPr>
          <w:rFonts w:ascii="Arial" w:cs="Arial" w:eastAsia="Arial" w:hAnsi="Arial"/>
          <w:sz w:val="17"/>
          <w:szCs w:val="17"/>
          <w:color w:val="auto"/>
        </w:rPr>
        <w:t>Liens imposed by law or any governmental authority for taxes, assessments, levies or charges that are not yet overdue by more than 60 days or are being contested in good faith (and, if necessary, by appropriate proceedings) or for commitments that have not been violated;</w:t>
      </w:r>
    </w:p>
    <w:p>
      <w:pPr>
        <w:spacing w:after="0" w:line="362" w:lineRule="exact"/>
        <w:rPr>
          <w:rFonts w:ascii="Arial" w:cs="Arial" w:eastAsia="Arial" w:hAnsi="Arial"/>
          <w:sz w:val="17"/>
          <w:szCs w:val="17"/>
          <w:color w:val="auto"/>
        </w:rPr>
      </w:pPr>
    </w:p>
    <w:p>
      <w:pPr>
        <w:ind w:right="40" w:firstLine="764"/>
        <w:spacing w:after="0" w:line="308" w:lineRule="auto"/>
        <w:tabs>
          <w:tab w:leader="none" w:pos="1011"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landlords’ and similar Liens and which are incurred in the ordinary course of business or where the validity or amount thereof is being contested in good faith (and, if necessary, by appropriate proceedings);</w:t>
      </w:r>
    </w:p>
    <w:p>
      <w:pPr>
        <w:spacing w:after="0" w:line="362" w:lineRule="exact"/>
        <w:rPr>
          <w:rFonts w:ascii="Arial" w:cs="Arial" w:eastAsia="Arial" w:hAnsi="Arial"/>
          <w:sz w:val="17"/>
          <w:szCs w:val="17"/>
          <w:color w:val="auto"/>
        </w:rPr>
      </w:pPr>
    </w:p>
    <w:p>
      <w:pPr>
        <w:ind w:right="80" w:firstLine="764"/>
        <w:spacing w:after="0" w:line="264" w:lineRule="auto"/>
        <w:tabs>
          <w:tab w:leader="none" w:pos="1001"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Liens incurred or pledges or deposits made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397" w:lineRule="exact"/>
        <w:rPr>
          <w:rFonts w:ascii="Arial" w:cs="Arial" w:eastAsia="Arial" w:hAnsi="Arial"/>
          <w:sz w:val="18"/>
          <w:szCs w:val="18"/>
          <w:color w:val="auto"/>
        </w:rPr>
      </w:pPr>
    </w:p>
    <w:p>
      <w:pPr>
        <w:ind w:right="180" w:firstLine="764"/>
        <w:spacing w:after="0" w:line="342" w:lineRule="auto"/>
        <w:tabs>
          <w:tab w:leader="none" w:pos="10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Liens incurred or pledges or deposits made to secure the performance of bids, trade contracts, tenders, leases, statutory obligations, surety, customs and appeal bonds, performance bonds, customer deposits and other obligations of a similar nature, in each case in the ordinary course of business;</w:t>
      </w:r>
    </w:p>
    <w:p>
      <w:pPr>
        <w:sectPr>
          <w:pgSz w:w="11900" w:h="16838" w:orient="portrait"/>
          <w:cols w:equalWidth="0" w:num="1">
            <w:col w:w="11340"/>
          </w:cols>
          <w:pgMar w:left="240" w:top="773" w:right="319" w:bottom="1440" w:gutter="0" w:footer="0" w:header="0"/>
        </w:sectPr>
      </w:pPr>
    </w:p>
    <w:bookmarkStart w:id="124" w:name="page125"/>
    <w:bookmarkEnd w:id="124"/>
    <w:p>
      <w:pPr>
        <w:ind w:right="140" w:firstLine="764"/>
        <w:spacing w:after="0" w:line="277" w:lineRule="auto"/>
        <w:tabs>
          <w:tab w:leader="none" w:pos="1001" w:val="left"/>
        </w:tabs>
        <w:numPr>
          <w:ilvl w:val="1"/>
          <w:numId w:val="40"/>
        </w:numPr>
        <w:rPr>
          <w:rFonts w:ascii="Arial" w:cs="Arial" w:eastAsia="Arial" w:hAnsi="Arial"/>
          <w:sz w:val="18"/>
          <w:szCs w:val="18"/>
          <w:color w:val="auto"/>
        </w:rPr>
      </w:pPr>
      <w:r>
        <w:rPr>
          <w:rFonts w:ascii="Arial" w:cs="Arial" w:eastAsia="Arial" w:hAnsi="Arial"/>
          <w:sz w:val="18"/>
          <w:szCs w:val="18"/>
          <w:color w:val="auto"/>
        </w:rPr>
        <w:t>judgment Liens in respect of judgments, decrees, orders of any court or in connection with legal proceedings or actions at law or in equity that do not constitute an event of default under the indenture;</w:t>
      </w:r>
    </w:p>
    <w:p>
      <w:pPr>
        <w:spacing w:after="0" w:line="386" w:lineRule="exact"/>
        <w:rPr>
          <w:rFonts w:ascii="Arial" w:cs="Arial" w:eastAsia="Arial" w:hAnsi="Arial"/>
          <w:sz w:val="18"/>
          <w:szCs w:val="18"/>
          <w:color w:val="auto"/>
        </w:rPr>
      </w:pPr>
    </w:p>
    <w:p>
      <w:pPr>
        <w:ind w:left="980" w:hanging="216"/>
        <w:spacing w:after="0"/>
        <w:tabs>
          <w:tab w:leader="none" w:pos="9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Liens on (1) any property or asset prior to the acquisition thereof, provided that such Lien may only extend to such property or asset, or</w:t>
      </w:r>
    </w:p>
    <w:p>
      <w:pPr>
        <w:spacing w:after="0" w:line="34" w:lineRule="exact"/>
        <w:rPr>
          <w:rFonts w:ascii="Arial" w:cs="Arial" w:eastAsia="Arial" w:hAnsi="Arial"/>
          <w:sz w:val="17"/>
          <w:szCs w:val="17"/>
          <w:color w:val="auto"/>
        </w:rPr>
      </w:pPr>
    </w:p>
    <w:p>
      <w:pPr>
        <w:ind w:firstLine="8"/>
        <w:spacing w:after="0" w:line="253"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property of a Significant Subsidiary where (A) such Significant Subsidiary becomes a Subsidiary after May 17, 2019, (B) (i) the Lien exists at the time such Significant Subsidiary becomes a Subsidiary or (ii) was incurred pursuant to contractual commitments entered into before such Subsidiary became a Subsidiary, (C) the Lien was not created in contemplation of such Significant Subsidiary becoming a Subsidiary, and (D) the principal amount secured by the Lien at the time such Significant Subsidiary becomes a Subsidiary is not subsequently increased or extended to any other assets other than those owned by the entity becoming a Subsidiary;</w:t>
      </w:r>
    </w:p>
    <w:p>
      <w:pPr>
        <w:spacing w:after="0" w:line="20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p>
    <w:p>
      <w:pPr>
        <w:ind w:left="1020" w:hanging="256"/>
        <w:spacing w:after="0"/>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Lien existing on the issue date of the Notes;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180" w:firstLine="764"/>
        <w:spacing w:after="0" w:line="302" w:lineRule="auto"/>
        <w:tabs>
          <w:tab w:leader="none" w:pos="1011" w:val="left"/>
        </w:tabs>
        <w:numPr>
          <w:ilvl w:val="1"/>
          <w:numId w:val="41"/>
        </w:numPr>
        <w:rPr>
          <w:rFonts w:ascii="Arial" w:cs="Arial" w:eastAsia="Arial" w:hAnsi="Arial"/>
          <w:sz w:val="16"/>
          <w:szCs w:val="16"/>
          <w:color w:val="auto"/>
        </w:rPr>
      </w:pPr>
      <w:r>
        <w:rPr>
          <w:rFonts w:ascii="Arial" w:cs="Arial" w:eastAsia="Arial" w:hAnsi="Arial"/>
          <w:sz w:val="16"/>
          <w:szCs w:val="16"/>
          <w:color w:val="auto"/>
        </w:rPr>
        <w:t>Liens upon fixed, capital, real and/or tangible personal property acquired after the date hereof (by purchase, construction, development, improvement, finance lease, Synthetic Lease or otherwise) by us or any Significant Subsidiary, each of which Liens was created for the purpose of securing Indebtedness representing, or incurred to finance, refinance or refund, the cost (including the cost of construction, development or improvement) of such property; provided that no such lien shall extend to or cover any property other than the property so acquired and improvements thereon;</w:t>
      </w:r>
    </w:p>
    <w:p>
      <w:pPr>
        <w:spacing w:after="0" w:line="370" w:lineRule="exact"/>
        <w:rPr>
          <w:rFonts w:ascii="Arial" w:cs="Arial" w:eastAsia="Arial" w:hAnsi="Arial"/>
          <w:sz w:val="16"/>
          <w:szCs w:val="16"/>
          <w:color w:val="auto"/>
        </w:rPr>
      </w:pPr>
    </w:p>
    <w:p>
      <w:pPr>
        <w:ind w:left="980" w:hanging="216"/>
        <w:spacing w:after="0"/>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in favor of us or any Subsidiary;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right="40" w:firstLine="764"/>
        <w:spacing w:after="0" w:line="277" w:lineRule="auto"/>
        <w:tabs>
          <w:tab w:leader="none" w:pos="9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arising from the financing, factoring or similar transaction (or series of transactions) or the sale of, accounts, payments, receivables, rights to future lease payments or residuals or similar rights to payment for which fair equivalent value is received;</w:t>
      </w:r>
    </w:p>
    <w:p>
      <w:pPr>
        <w:spacing w:after="0" w:line="386" w:lineRule="exact"/>
        <w:rPr>
          <w:rFonts w:ascii="Arial" w:cs="Arial" w:eastAsia="Arial" w:hAnsi="Arial"/>
          <w:sz w:val="18"/>
          <w:szCs w:val="18"/>
          <w:color w:val="auto"/>
        </w:rPr>
      </w:pPr>
    </w:p>
    <w:p>
      <w:pPr>
        <w:ind w:right="20" w:firstLine="764"/>
        <w:spacing w:after="0" w:line="259" w:lineRule="auto"/>
        <w:tabs>
          <w:tab w:leader="none" w:pos="10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Liens referred to in the foregoing clauses (f), (g), (h), (i) and (j); provided that the principal amount of Indebtedness secured thereby and not otherwise authorized as a Permitted Lien shall not exceed the principal amount of Indebtedness, plus any premium or fee payable in connection with any such extension, renewal or replacement, so secured at the time of such extension, renewal or replacement;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80" w:firstLine="764"/>
        <w:spacing w:after="0" w:line="277" w:lineRule="auto"/>
        <w:tabs>
          <w:tab w:leader="none" w:pos="971"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securing our obligations or those of any Subsidiary of ours in respect of any swap agreements or other hedging arrangements entered into in the ordinary course of business and for non-speculative purposes;</w:t>
      </w:r>
    </w:p>
    <w:p>
      <w:pPr>
        <w:spacing w:after="0" w:line="386" w:lineRule="exact"/>
        <w:rPr>
          <w:rFonts w:ascii="Arial" w:cs="Arial" w:eastAsia="Arial" w:hAnsi="Arial"/>
          <w:sz w:val="18"/>
          <w:szCs w:val="18"/>
          <w:color w:val="auto"/>
        </w:rPr>
      </w:pPr>
    </w:p>
    <w:p>
      <w:pPr>
        <w:ind w:right="20" w:firstLine="764"/>
        <w:spacing w:after="0" w:line="259" w:lineRule="auto"/>
        <w:tabs>
          <w:tab w:leader="none" w:pos="106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easements, zoning restrictions, minor title defects, irregularities or imperfections, restrictions on use, rights of way, leases, subleases and similar charges and other similar encumbrances on real property imposed by law or arising in the ordinary course of business that do not secure any monetary obligations (other than customary maintenance requirements) and which could not reasonably be expected to have a material adverse effect on the business or financial condition of us and our Subsidiaries taken as a whole;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480" w:firstLine="764"/>
        <w:spacing w:after="0" w:line="277" w:lineRule="auto"/>
        <w:tabs>
          <w:tab w:leader="none" w:pos="1011" w:val="left"/>
        </w:tabs>
        <w:numPr>
          <w:ilvl w:val="1"/>
          <w:numId w:val="41"/>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w:t>
      </w:r>
    </w:p>
    <w:p>
      <w:pPr>
        <w:spacing w:after="0" w:line="170" w:lineRule="exact"/>
        <w:rPr>
          <w:sz w:val="20"/>
          <w:szCs w:val="20"/>
          <w:color w:val="auto"/>
        </w:rPr>
      </w:pPr>
    </w:p>
    <w:p>
      <w:pPr>
        <w:ind w:right="4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ADT</w:t>
      </w:r>
      <w:r>
        <w:rPr>
          <w:rFonts w:ascii="Arial" w:cs="Arial" w:eastAsia="Arial" w:hAnsi="Arial"/>
          <w:sz w:val="18"/>
          <w:szCs w:val="18"/>
          <w:color w:val="auto"/>
        </w:rPr>
        <w:t>” means automated deposit teller machines or other similar devices capable of accepting deposits, but that cannot dispense cash, that are owned, leased, operated or serviced by us or any of our consolidated subsidiaries.</w:t>
      </w:r>
    </w:p>
    <w:p>
      <w:pPr>
        <w:spacing w:after="0" w:line="387" w:lineRule="exact"/>
        <w:rPr>
          <w:sz w:val="20"/>
          <w:szCs w:val="20"/>
          <w:color w:val="auto"/>
        </w:rPr>
      </w:pPr>
    </w:p>
    <w:p>
      <w:pPr>
        <w:ind w:right="16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ATM</w:t>
      </w:r>
      <w:r>
        <w:rPr>
          <w:rFonts w:ascii="Arial" w:cs="Arial" w:eastAsia="Arial" w:hAnsi="Arial"/>
          <w:sz w:val="18"/>
          <w:szCs w:val="18"/>
          <w:color w:val="auto"/>
        </w:rPr>
        <w:t>” means automated teller machines or other similar devices capable of dispensing cash (and, in some cases, offering other transactions) that are owned, leased, operated or serviced by us or any of our consolidated subsidiaries.</w:t>
      </w:r>
    </w:p>
    <w:p>
      <w:pPr>
        <w:spacing w:after="0" w:line="387" w:lineRule="exact"/>
        <w:rPr>
          <w:sz w:val="20"/>
          <w:szCs w:val="20"/>
          <w:color w:val="auto"/>
        </w:rPr>
      </w:pPr>
    </w:p>
    <w:p>
      <w:pPr>
        <w:ind w:right="120" w:firstLine="7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ATM Cash Supply Arrangements</w:t>
      </w:r>
      <w:r>
        <w:rPr>
          <w:rFonts w:ascii="Arial" w:cs="Arial" w:eastAsia="Arial" w:hAnsi="Arial"/>
          <w:sz w:val="16"/>
          <w:szCs w:val="16"/>
          <w:color w:val="auto"/>
        </w:rPr>
        <w:t>” means “vault cash” supply arrangements, banknote leasing arrangements, ATM sponsorship arrangements and other similar arrangements pursuant to which banks or other financial institutions provide to us and our consolidated subsidiaries electronic or physical currency to fill ATMs and such electronic or physical currency is segregated from any other cash of ours and our consolidated subsidiaries.</w:t>
      </w:r>
    </w:p>
    <w:p>
      <w:pPr>
        <w:spacing w:after="0" w:line="363" w:lineRule="exact"/>
        <w:rPr>
          <w:sz w:val="20"/>
          <w:szCs w:val="20"/>
          <w:color w:val="auto"/>
        </w:rPr>
      </w:pPr>
    </w:p>
    <w:p>
      <w:pPr>
        <w:ind w:right="32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ATM Cash Supply Obligations</w:t>
      </w:r>
      <w:r>
        <w:rPr>
          <w:rFonts w:ascii="Arial" w:cs="Arial" w:eastAsia="Arial" w:hAnsi="Arial"/>
          <w:sz w:val="18"/>
          <w:szCs w:val="18"/>
          <w:color w:val="auto"/>
        </w:rPr>
        <w:t>” means obligations arising out of ATM Cash Supply Arrangements consistent with past practice, and loans and lines of credit serving the same purpose.</w:t>
      </w:r>
    </w:p>
    <w:p>
      <w:pPr>
        <w:spacing w:after="0" w:line="387" w:lineRule="exact"/>
        <w:rPr>
          <w:sz w:val="20"/>
          <w:szCs w:val="20"/>
          <w:color w:val="auto"/>
        </w:rPr>
      </w:pPr>
    </w:p>
    <w:p>
      <w:pPr>
        <w:ind w:right="2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the aggregate amount of assets (less applicable reserves) of Euronet and its Subsidiaries after deducting therefrom (a) all goodwill, tradenames, trademarks, patents, unamortized debt</w:t>
      </w:r>
    </w:p>
    <w:p>
      <w:pPr>
        <w:sectPr>
          <w:pgSz w:w="11900" w:h="16838" w:orient="portrait"/>
          <w:cols w:equalWidth="0" w:num="1">
            <w:col w:w="11400"/>
          </w:cols>
          <w:pgMar w:left="240" w:top="773" w:right="259" w:bottom="1440" w:gutter="0" w:footer="0" w:header="0"/>
        </w:sectPr>
      </w:pPr>
    </w:p>
    <w:bookmarkStart w:id="125" w:name="page126"/>
    <w:bookmarkEnd w:id="125"/>
    <w:p>
      <w:pPr>
        <w:ind w:right="20"/>
        <w:spacing w:after="0" w:line="259" w:lineRule="auto"/>
        <w:rPr>
          <w:sz w:val="20"/>
          <w:szCs w:val="20"/>
          <w:color w:val="auto"/>
        </w:rPr>
      </w:pPr>
      <w:r>
        <w:rPr>
          <w:rFonts w:ascii="Arial" w:cs="Arial" w:eastAsia="Arial" w:hAnsi="Arial"/>
          <w:sz w:val="18"/>
          <w:szCs w:val="18"/>
          <w:color w:val="auto"/>
        </w:rPr>
        <w:t>discount and expense and other like intangibles and (b) all current liabilities (excluding current maturities of long term indebtedness and any current liabilities for money borrowed having a maturity of less than 12 months but by its terms is renewable or extendible beyond 12 months from such date at the option of the borrower), all as reflected in Euronet’s most recent consolidated balance sheet as at the end of its fiscal quarter ending not more than 135 days prior to such date, prepared in accordance with United States generally accepted accounting principles.</w:t>
      </w:r>
    </w:p>
    <w:p>
      <w:pPr>
        <w:spacing w:after="0" w:line="200" w:lineRule="exact"/>
        <w:rPr>
          <w:sz w:val="20"/>
          <w:szCs w:val="20"/>
          <w:color w:val="auto"/>
        </w:rPr>
      </w:pPr>
    </w:p>
    <w:p>
      <w:pPr>
        <w:spacing w:after="0" w:line="203" w:lineRule="exact"/>
        <w:rPr>
          <w:sz w:val="20"/>
          <w:szCs w:val="20"/>
          <w:color w:val="auto"/>
        </w:rPr>
      </w:pPr>
    </w:p>
    <w:p>
      <w:pPr>
        <w:ind w:right="40" w:firstLine="7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Property</w:t>
      </w:r>
      <w:r>
        <w:rPr>
          <w:rFonts w:ascii="Arial" w:cs="Arial" w:eastAsia="Arial" w:hAnsi="Arial"/>
          <w:sz w:val="17"/>
          <w:szCs w:val="17"/>
          <w:color w:val="auto"/>
        </w:rPr>
        <w:t>” means the land, improvements, buildings and fixtures (including any leasehold interest therein) constituting a corporate office, facility or other capital asset (excluding ATMs, ADTs and point of sale terminals) which is owned or leased by us or any of our Significant Subsidiaries, provided each such corporate office, facility or capital asset has a net book value on the date as of which the determination is being made that exceeds 2% of our Consolidated Net Tangible Assets, unless our board of directors has determined in good faith that such office, facility or capital asset is not of material importance to the total business conducted by us and our Significant Subsidiaries taken as a whole. With respect to any Sale and Lease-Back Transaction (as defined below) or series of related Sale and Lease-Back Transactions, the determination of whether any property is a Principal Property shall be determined by reference to all properties affected by such transaction or series of transactions.</w:t>
      </w:r>
    </w:p>
    <w:p>
      <w:pPr>
        <w:spacing w:after="0" w:line="394" w:lineRule="exact"/>
        <w:rPr>
          <w:sz w:val="20"/>
          <w:szCs w:val="20"/>
          <w:color w:val="auto"/>
        </w:rPr>
      </w:pPr>
    </w:p>
    <w:p>
      <w:pPr>
        <w:ind w:right="180" w:firstLine="7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with respect to any Person, means any Subsidiary of such Person that satisfies the criteria for a “Significant Subsidiary” set forth in Rule 1-02(w) of Regulation S-X under the Exchange Act.</w:t>
      </w:r>
    </w:p>
    <w:p>
      <w:pPr>
        <w:spacing w:after="0" w:line="387" w:lineRule="exact"/>
        <w:rPr>
          <w:sz w:val="20"/>
          <w:szCs w:val="20"/>
          <w:color w:val="auto"/>
        </w:rPr>
      </w:pPr>
    </w:p>
    <w:p>
      <w:pPr>
        <w:ind w:right="340" w:firstLine="7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us or by one or more other Subsidiaries, or by us and one or more other Subsidiaries. For the purposes of this definition, “voting stock” means stock or similar interests to us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200" w:lineRule="exact"/>
        <w:rPr>
          <w:sz w:val="20"/>
          <w:szCs w:val="20"/>
          <w:color w:val="auto"/>
        </w:rPr>
      </w:pPr>
    </w:p>
    <w:p>
      <w:pPr>
        <w:spacing w:after="0" w:line="209"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Synthetic Lease</w:t>
      </w:r>
      <w:r>
        <w:rPr>
          <w:rFonts w:ascii="Arial" w:cs="Arial" w:eastAsia="Arial" w:hAnsi="Arial"/>
          <w:sz w:val="18"/>
          <w:szCs w:val="18"/>
          <w:color w:val="auto"/>
        </w:rPr>
        <w:t>” means any synthetic lease, tax retention operating lease, off-balance sheet loan or similar off-balance sheet financing arrangement that is considered borrowed money indebtedness for tax purposes but is classified as an operating lease under United States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 and Lease-Back Transactions</w:t>
      </w:r>
    </w:p>
    <w:p>
      <w:pPr>
        <w:spacing w:after="0" w:line="225" w:lineRule="exact"/>
        <w:rPr>
          <w:sz w:val="20"/>
          <w:szCs w:val="20"/>
          <w:color w:val="auto"/>
        </w:rPr>
      </w:pPr>
    </w:p>
    <w:p>
      <w:pPr>
        <w:ind w:firstLine="756"/>
        <w:spacing w:after="0" w:line="268" w:lineRule="auto"/>
        <w:rPr>
          <w:sz w:val="20"/>
          <w:szCs w:val="20"/>
          <w:color w:val="auto"/>
        </w:rPr>
      </w:pPr>
      <w:r>
        <w:rPr>
          <w:rFonts w:ascii="Arial" w:cs="Arial" w:eastAsia="Arial" w:hAnsi="Arial"/>
          <w:sz w:val="17"/>
          <w:szCs w:val="17"/>
          <w:color w:val="auto"/>
        </w:rPr>
        <w:t>We will not, nor will we permit any of our Significant Subsidiaries to, enter into any Sale and Lease-Back Transaction (as defined below) with respect to any Principal Property, other than (x) any such Sale and Lease-Back Transaction involving a lease for a term of not more than three years or (y) any such Sale and Lease-Back Transaction between us and one of our Subsidiaries or between our Subsidiaries, unless: (a) we or such Significant Subsidiary would be entitled to incur Indebtedness secured by a lien on the Principal Property involved in such Sale and Lease-Back Transaction at least equal in amount to the Attributable Debt (as defined below) with respect to such Sale and Lease-Back Transaction, without equally and ratably securing the Notes, pursuant to the covenant described above under the caption “-Limitations on Liens”; or (b)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365 days of such Sale and Lease-Back Transaction to any (or a combination) of (i) the prepayment or retirement of the Notes, (ii) the prepayment or retirement (other than any mandatory retirement, mandatory prepayment or sinking fund payment or by payment at maturity) of other Indebtedness of us or of one of our Subsidiaries (other than Indebtedness that is subordinated to the Notes or Indebtedness owed to us or one of our Subsidiaries) that matures more than 12 months after its creation (including any such Indebtedness that by its terms is renewable or extendible beyond 12 months from the date of its creation, at the option of the borrower) or (iii) the purchase, construction, development, expansion or improvement of other comparable property.</w:t>
      </w:r>
    </w:p>
    <w:p>
      <w:pPr>
        <w:spacing w:after="0" w:line="200" w:lineRule="exact"/>
        <w:rPr>
          <w:sz w:val="20"/>
          <w:szCs w:val="20"/>
          <w:color w:val="auto"/>
        </w:rPr>
      </w:pPr>
    </w:p>
    <w:p>
      <w:pPr>
        <w:spacing w:after="0" w:line="204" w:lineRule="exact"/>
        <w:rPr>
          <w:sz w:val="20"/>
          <w:szCs w:val="20"/>
          <w:color w:val="auto"/>
        </w:rPr>
      </w:pPr>
    </w:p>
    <w:p>
      <w:pPr>
        <w:ind w:firstLine="756"/>
        <w:spacing w:after="0" w:line="279" w:lineRule="auto"/>
        <w:rPr>
          <w:sz w:val="20"/>
          <w:szCs w:val="20"/>
          <w:color w:val="auto"/>
        </w:rPr>
      </w:pPr>
      <w:r>
        <w:rPr>
          <w:rFonts w:ascii="Arial" w:cs="Arial" w:eastAsia="Arial" w:hAnsi="Arial"/>
          <w:sz w:val="17"/>
          <w:szCs w:val="17"/>
          <w:color w:val="auto"/>
        </w:rPr>
        <w:t>Notwithstanding the preceding paragraph, we and our Significant Subsidiaries will be allowed to enter into any Sale and Lease-Back Transaction if, after giving effect to such Sale and Lease-Back Transaction, the sum of (i) the aggregate principal amount of all of our Indebtedness and Indebtedness of our Significant Subsidiaries secured by Subject Liens (other than Permitted Liens) and (ii) the Attributable Debt in respect of all Sale and Lease-Back Transactions not otherwise permitted under the preceding paragraph, does not exceed 15% of Consolidated Net Tangible Assets.</w:t>
      </w:r>
    </w:p>
    <w:p>
      <w:pPr>
        <w:spacing w:after="0" w:line="388" w:lineRule="exact"/>
        <w:rPr>
          <w:sz w:val="20"/>
          <w:szCs w:val="20"/>
          <w:color w:val="auto"/>
        </w:rPr>
      </w:pPr>
    </w:p>
    <w:p>
      <w:pPr>
        <w:ind w:right="20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with regard to a Sale and Lease-Back Transaction with respect to any Principal Property means, at the time of determination, the present value of the total net amount of rent required to be paid under such lease (excluding, however, any amounts required to be paid by the lessee, whether or not designated as rent or additional rent, on account of</w:t>
      </w:r>
    </w:p>
    <w:p>
      <w:pPr>
        <w:sectPr>
          <w:pgSz w:w="11900" w:h="16838" w:orient="portrait"/>
          <w:cols w:equalWidth="0" w:num="1">
            <w:col w:w="11420"/>
          </w:cols>
          <w:pgMar w:left="240" w:top="773" w:right="239" w:bottom="1440" w:gutter="0" w:footer="0" w:header="0"/>
        </w:sectPr>
      </w:pPr>
    </w:p>
    <w:bookmarkStart w:id="126" w:name="page127"/>
    <w:bookmarkEnd w:id="126"/>
    <w:p>
      <w:pPr>
        <w:spacing w:after="0" w:line="290" w:lineRule="auto"/>
        <w:rPr>
          <w:sz w:val="20"/>
          <w:szCs w:val="20"/>
          <w:color w:val="auto"/>
        </w:rPr>
      </w:pPr>
      <w:r>
        <w:rPr>
          <w:rFonts w:ascii="Arial" w:cs="Arial" w:eastAsia="Arial" w:hAnsi="Arial"/>
          <w:sz w:val="16"/>
          <w:szCs w:val="16"/>
          <w:color w:val="auto"/>
        </w:rPr>
        <w:t>maintenance and repairs, insurance, taxes, assessments, water rates or similar charges or any amounts required to be paid by the lessee thereunder contingent upon the amount of sales, maintenance and repairs, insurance, taxes, assessments, water rates or similar charges) during the remaining term thereof (including any period for which such lease has been extended), discounted at the rate of interest set forth or implicit in the terms of such lease (as determined by the Corporation or, if not practicable to determine such rate, the weighted average interest rate per annum borne by the securities of all series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382" w:lineRule="exact"/>
        <w:rPr>
          <w:sz w:val="20"/>
          <w:szCs w:val="20"/>
          <w:color w:val="auto"/>
        </w:rPr>
      </w:pPr>
    </w:p>
    <w:p>
      <w:pPr>
        <w:ind w:right="120" w:firstLine="7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w:t>
      </w:r>
      <w:r>
        <w:rPr>
          <w:rFonts w:ascii="Arial" w:cs="Arial" w:eastAsia="Arial" w:hAnsi="Arial"/>
          <w:sz w:val="18"/>
          <w:szCs w:val="18"/>
          <w:color w:val="auto"/>
        </w:rPr>
        <w:t>” means any arrangement with any person providing for the leasing by us or any of our Significant Subsidiaries of any Principal Property, whether now owned or hereafter acquired, which Principal Property has been or is to be sold or transferred by us or such Significant Subsidiary to such person.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Each of the following constitutes an event of default under the indenture with respect to the Notes:</w:t>
      </w:r>
    </w:p>
    <w:p>
      <w:pPr>
        <w:spacing w:after="0" w:line="225" w:lineRule="exact"/>
        <w:rPr>
          <w:sz w:val="20"/>
          <w:szCs w:val="20"/>
          <w:color w:val="auto"/>
        </w:rPr>
      </w:pPr>
    </w:p>
    <w:p>
      <w:pPr>
        <w:ind w:left="1020" w:hanging="256"/>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fail to pay the principal of any note (or premium, if any) when due at maturity, upon acceleration, upon redemption or otherwise;</w:t>
      </w:r>
    </w:p>
    <w:p>
      <w:pPr>
        <w:spacing w:after="0" w:line="236" w:lineRule="exact"/>
        <w:rPr>
          <w:rFonts w:ascii="Arial" w:cs="Arial" w:eastAsia="Arial" w:hAnsi="Arial"/>
          <w:sz w:val="17"/>
          <w:szCs w:val="17"/>
          <w:color w:val="auto"/>
        </w:rPr>
      </w:pPr>
    </w:p>
    <w:p>
      <w:pPr>
        <w:ind w:left="1020" w:hanging="25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to pay any interest on any note when due if such failure continues for 30 days;</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us to comply with our obligations under “Certain Covenants-Consolidation, Merger and Sale of Assets”;</w:t>
      </w:r>
    </w:p>
    <w:p>
      <w:pPr>
        <w:spacing w:after="0" w:line="225" w:lineRule="exact"/>
        <w:rPr>
          <w:rFonts w:ascii="Arial" w:cs="Arial" w:eastAsia="Arial" w:hAnsi="Arial"/>
          <w:sz w:val="18"/>
          <w:szCs w:val="18"/>
          <w:color w:val="auto"/>
        </w:rPr>
      </w:pPr>
    </w:p>
    <w:p>
      <w:pPr>
        <w:ind w:right="60" w:firstLine="764"/>
        <w:spacing w:after="0" w:line="272" w:lineRule="auto"/>
        <w:tabs>
          <w:tab w:leader="none" w:pos="1011"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default by us or any of our Significant Subsidiaries with respect to any mortgage, agreement or other instrument under which there is, or by which there is secured or evidenced, any Indebtedness having an aggregate principal balance outstanding in excess of $50 million (or the foreign currency equivalent thereof), whether such Indebtedness now exists or shall hereafter be created (i) resulting in such Indebtedness becoming or being declared due and payable prior to its scheduled maturity or (ii) constituting a failure to pay the principal of any such Indebtedness when due and payable at its stated maturity, upon required repurchase, upon declaration of acceleration or otherwise and such defaulted payment is not made, waived or extended within the applicable grace period, unless the default has been cured or waived or the Indebtedness discharged in full within 60 days after we have been notified of the default by the trustee or holders of at least 25% of the Notes outstanding;</w:t>
      </w:r>
    </w:p>
    <w:p>
      <w:pPr>
        <w:spacing w:after="0" w:line="177" w:lineRule="exact"/>
        <w:rPr>
          <w:rFonts w:ascii="Arial" w:cs="Arial" w:eastAsia="Arial" w:hAnsi="Arial"/>
          <w:sz w:val="17"/>
          <w:szCs w:val="17"/>
          <w:color w:val="auto"/>
        </w:rPr>
      </w:pPr>
    </w:p>
    <w:p>
      <w:pPr>
        <w:ind w:right="240" w:firstLine="764"/>
        <w:spacing w:after="0" w:line="257" w:lineRule="auto"/>
        <w:tabs>
          <w:tab w:leader="none" w:pos="10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final judgment for the payment of $50 million (or the foreign currency equivalent thereof) or more (excluding any amounts covered by insurance) rendered against us or any of our Significant Subsidiaries by a court of competent jurisdiction, which judgment is not paid, discharged or stayed within 60 days after (i) the date on which the right to appeal thereof has expired if no such appeal has commenced, or (ii) the date on which all rights to appeal have been extinguished (to the extent not covered by indemnities provided by reputable creditworthy companies or insurance as to which the applicable insurance company is solvent and has not denied coverage);</w:t>
      </w:r>
    </w:p>
    <w:p>
      <w:pPr>
        <w:spacing w:after="0" w:line="188" w:lineRule="exact"/>
        <w:rPr>
          <w:rFonts w:ascii="Arial" w:cs="Arial" w:eastAsia="Arial" w:hAnsi="Arial"/>
          <w:sz w:val="18"/>
          <w:szCs w:val="18"/>
          <w:color w:val="auto"/>
        </w:rPr>
      </w:pPr>
    </w:p>
    <w:p>
      <w:pPr>
        <w:ind w:right="640" w:firstLine="764"/>
        <w:spacing w:after="0" w:line="277" w:lineRule="auto"/>
        <w:tabs>
          <w:tab w:leader="none" w:pos="10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fail for 60 consecutive days after written notice from the trustee or the holders of at least 25% in principal amount of the Notes then outstanding has been received to comply with any of our other agreements contained in the Notes or indenture; or</w:t>
      </w:r>
    </w:p>
    <w:p>
      <w:pPr>
        <w:spacing w:after="0" w:line="170" w:lineRule="exact"/>
        <w:rPr>
          <w:rFonts w:ascii="Arial" w:cs="Arial" w:eastAsia="Arial" w:hAnsi="Arial"/>
          <w:sz w:val="18"/>
          <w:szCs w:val="18"/>
          <w:color w:val="auto"/>
        </w:rPr>
      </w:pPr>
    </w:p>
    <w:p>
      <w:pPr>
        <w:ind w:left="1020" w:hanging="256"/>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relating to us or any of our Significant Subsidiaries.</w:t>
      </w:r>
    </w:p>
    <w:p>
      <w:pPr>
        <w:spacing w:after="0" w:line="225" w:lineRule="exact"/>
        <w:rPr>
          <w:sz w:val="20"/>
          <w:szCs w:val="20"/>
          <w:color w:val="auto"/>
        </w:rPr>
      </w:pPr>
    </w:p>
    <w:p>
      <w:pPr>
        <w:ind w:right="140" w:firstLine="756"/>
        <w:spacing w:after="0" w:line="259" w:lineRule="auto"/>
        <w:rPr>
          <w:sz w:val="20"/>
          <w:szCs w:val="20"/>
          <w:color w:val="auto"/>
        </w:rPr>
      </w:pPr>
      <w:r>
        <w:rPr>
          <w:rFonts w:ascii="Arial" w:cs="Arial" w:eastAsia="Arial" w:hAnsi="Arial"/>
          <w:sz w:val="18"/>
          <w:szCs w:val="18"/>
          <w:color w:val="auto"/>
        </w:rPr>
        <w:t>If an event of default, other than an event of default described in clause (7) above with respect to us, occurs and is continuing, either the trustee or the holders of at least 25% in aggregate principal amount of the Notes outstanding may declare the principal amount of the Notes to be due and payable immediately. If an event of default described in clause (7) above occurs with respect to us, the principal amount of the Notes will automatically become immediately due and payable.</w:t>
      </w:r>
    </w:p>
    <w:p>
      <w:pPr>
        <w:spacing w:after="0" w:line="187"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After any such acceleration, but before a judgment or decree based on acceleration, the holders of a majority in aggregate principal amount of the Notes may, except with respect to the nonpayment of principal or interest, rescind and annul such acceleration if all events of default, other than the non-payment of accelerated principal and accrued and unpaid interest, if any, have been cured or waived.</w:t>
      </w:r>
    </w:p>
    <w:p>
      <w:pPr>
        <w:sectPr>
          <w:pgSz w:w="11900" w:h="16838" w:orient="portrait"/>
          <w:cols w:equalWidth="0" w:num="1">
            <w:col w:w="11400"/>
          </w:cols>
          <w:pgMar w:left="240" w:top="773" w:right="259" w:bottom="1440" w:gutter="0" w:footer="0" w:header="0"/>
        </w:sectPr>
      </w:pPr>
    </w:p>
    <w:bookmarkStart w:id="127" w:name="page128"/>
    <w:bookmarkEnd w:id="127"/>
    <w:p>
      <w:pPr>
        <w:jc w:val="both"/>
        <w:ind w:right="20" w:firstLine="756"/>
        <w:spacing w:after="0" w:line="286" w:lineRule="auto"/>
        <w:rPr>
          <w:sz w:val="20"/>
          <w:szCs w:val="20"/>
          <w:color w:val="auto"/>
        </w:rPr>
      </w:pPr>
      <w:r>
        <w:rPr>
          <w:rFonts w:ascii="Arial" w:cs="Arial" w:eastAsia="Arial" w:hAnsi="Arial"/>
          <w:sz w:val="17"/>
          <w:szCs w:val="17"/>
          <w:color w:val="auto"/>
        </w:rPr>
        <w:t>Subject to the trustee’s duties in the case of an event of default, the trustee will not be obligated to exercise any of its rights or powers at the request of the holders unless the holders have offered to the trustee reasonable indemnity or security reasonably satisfactory to it against any loss, liability or expense. Subject to the indenture, applicable law and the trustee’s indemnification, the holders of a majority in aggregate principal</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amount of the Notes outstanding will have the right to direct the time, method and place of conducting any proceeding for any remedy available to the trustee or exercising any trust or power conferred on the trustee with respect to the Notes. The indenture will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w:t>
      </w:r>
    </w:p>
    <w:p>
      <w:pPr>
        <w:spacing w:after="0" w:line="173" w:lineRule="exact"/>
        <w:rPr>
          <w:sz w:val="20"/>
          <w:szCs w:val="20"/>
          <w:color w:val="auto"/>
        </w:rPr>
      </w:pPr>
    </w:p>
    <w:p>
      <w:pPr>
        <w:ind w:right="400" w:firstLine="756"/>
        <w:spacing w:after="0" w:line="277" w:lineRule="auto"/>
        <w:rPr>
          <w:sz w:val="20"/>
          <w:szCs w:val="20"/>
          <w:color w:val="auto"/>
        </w:rPr>
      </w:pPr>
      <w:r>
        <w:rPr>
          <w:rFonts w:ascii="Arial" w:cs="Arial" w:eastAsia="Arial" w:hAnsi="Arial"/>
          <w:sz w:val="18"/>
          <w:szCs w:val="18"/>
          <w:color w:val="auto"/>
        </w:rPr>
        <w:t>No holder will have any right to institute any proceeding under the indenture, or for the appointment of a receiver or a trustee, or for any other remedy under the indenture unless:</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 has previously given the trustee written notice of a continuing event of default;</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then outstanding have made a written request and have offered reasonable indemnity to the trustee to institute such proceeding as trustee; and</w:t>
      </w:r>
    </w:p>
    <w:p>
      <w:pPr>
        <w:spacing w:after="0" w:line="170" w:lineRule="exact"/>
        <w:rPr>
          <w:rFonts w:ascii="Arial" w:cs="Arial" w:eastAsia="Arial" w:hAnsi="Arial"/>
          <w:sz w:val="18"/>
          <w:szCs w:val="18"/>
          <w:color w:val="auto"/>
        </w:rPr>
      </w:pPr>
    </w:p>
    <w:p>
      <w:pPr>
        <w:ind w:left="660" w:right="4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within 60 days after such notice, request and offer and has not received from the holders of a majority in aggregate principal amount of the notes then outstanding a direction inconsistent with such request within 60 days after such notice, request and offer.</w:t>
      </w:r>
    </w:p>
    <w:p>
      <w:pPr>
        <w:spacing w:after="0" w:line="397" w:lineRule="exact"/>
        <w:rPr>
          <w:sz w:val="20"/>
          <w:szCs w:val="20"/>
          <w:color w:val="auto"/>
        </w:rPr>
      </w:pPr>
    </w:p>
    <w:p>
      <w:pPr>
        <w:ind w:right="300" w:firstLine="756"/>
        <w:spacing w:after="0" w:line="277" w:lineRule="auto"/>
        <w:rPr>
          <w:sz w:val="20"/>
          <w:szCs w:val="20"/>
          <w:color w:val="auto"/>
        </w:rPr>
      </w:pPr>
      <w:r>
        <w:rPr>
          <w:rFonts w:ascii="Arial" w:cs="Arial" w:eastAsia="Arial" w:hAnsi="Arial"/>
          <w:sz w:val="18"/>
          <w:szCs w:val="18"/>
          <w:color w:val="auto"/>
        </w:rPr>
        <w:t>However, the above limitations do not apply to a suit instituted by a holder for the enforcement of payment of the principal of or interest on any note on or after the applicable due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 and Waiver of Rights of Holders</w:t>
      </w:r>
    </w:p>
    <w:p>
      <w:pPr>
        <w:spacing w:after="0" w:line="229" w:lineRule="exact"/>
        <w:rPr>
          <w:sz w:val="20"/>
          <w:szCs w:val="20"/>
          <w:color w:val="auto"/>
        </w:rPr>
      </w:pPr>
    </w:p>
    <w:p>
      <w:pPr>
        <w:ind w:right="20" w:firstLine="756"/>
        <w:spacing w:after="0" w:line="259" w:lineRule="auto"/>
        <w:rPr>
          <w:sz w:val="20"/>
          <w:szCs w:val="20"/>
          <w:color w:val="auto"/>
        </w:rPr>
      </w:pPr>
      <w:r>
        <w:rPr>
          <w:rFonts w:ascii="Arial" w:cs="Arial" w:eastAsia="Arial" w:hAnsi="Arial"/>
          <w:sz w:val="18"/>
          <w:szCs w:val="18"/>
          <w:color w:val="auto"/>
        </w:rPr>
        <w:t>Under certain circumstances, we can make changes to the indenture and the Notes. Some types of changes require the approval of each holder of Notes, some require approval by a vote of a majority of the holders of the Notes, and some changes do not require any approval at all. The consent of the holders is not necessary under the indenture to approve the particular form of any proposed amendment. It is sufficient if such consent approves the substance of the proposed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 of All Holders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First, there are changes that cannot be made to the notes without the approval of holders of all notes. These include changes that:</w:t>
      </w:r>
    </w:p>
    <w:p>
      <w:pPr>
        <w:spacing w:after="0" w:line="225" w:lineRule="exact"/>
        <w:rPr>
          <w:sz w:val="20"/>
          <w:szCs w:val="20"/>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percentage of holders of notes who must consent to a waiver or amendment of the indenture;</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rate of interest on any note or change the time for payment of interest;</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or premium due on the notes or change the stated maturity date of the notes;</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right of holders of notes to waive an existing default by majority vote;</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the provisions of the indenture with respect to the ranking of the notes in a manner adverse to the holders of the notes;</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of the holders of notes to sue for payment; or</w:t>
      </w:r>
    </w:p>
    <w:p>
      <w:pPr>
        <w:spacing w:after="0" w:line="225" w:lineRule="exact"/>
        <w:rPr>
          <w:rFonts w:ascii="Arial" w:cs="Arial" w:eastAsia="Arial" w:hAnsi="Arial"/>
          <w:sz w:val="18"/>
          <w:szCs w:val="18"/>
          <w:color w:val="auto"/>
        </w:rPr>
      </w:pPr>
    </w:p>
    <w:p>
      <w:pPr>
        <w:ind w:left="1020" w:hanging="256"/>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to this list of changes.</w:t>
      </w:r>
    </w:p>
    <w:p>
      <w:pPr>
        <w:sectPr>
          <w:pgSz w:w="11900" w:h="16838" w:orient="portrait"/>
          <w:cols w:equalWidth="0" w:num="1">
            <w:col w:w="11400"/>
          </w:cols>
          <w:pgMar w:left="240" w:top="773"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Changes Requiring a Majority Vote</w:t>
      </w:r>
    </w:p>
    <w:p>
      <w:pPr>
        <w:spacing w:after="0" w:line="225" w:lineRule="exact"/>
        <w:rPr>
          <w:sz w:val="20"/>
          <w:szCs w:val="20"/>
          <w:color w:val="auto"/>
        </w:rPr>
      </w:pPr>
    </w:p>
    <w:p>
      <w:pPr>
        <w:ind w:right="20" w:firstLine="756"/>
        <w:spacing w:after="0" w:line="257" w:lineRule="auto"/>
        <w:rPr>
          <w:sz w:val="20"/>
          <w:szCs w:val="20"/>
          <w:color w:val="auto"/>
        </w:rPr>
      </w:pPr>
      <w:r>
        <w:rPr>
          <w:rFonts w:ascii="Arial" w:cs="Arial" w:eastAsia="Arial" w:hAnsi="Arial"/>
          <w:sz w:val="18"/>
          <w:szCs w:val="18"/>
          <w:color w:val="auto"/>
        </w:rPr>
        <w:t>The second type of change to the indenture and the notes requires a vote in favor by holders owning a majority of the principal amount of the notes. Most changes fall into this category, except as described above under “-Changes Requiring Approval of All Holders” and below under “-Changes Not Requiring Approval.” A majority vote of holders of notes is required to waive any past default, except a failure to pay principal, premium or interest or a default in the certain covenants and provisions of the indenture that cannot be modified or waived without the consent of each holder as described above under “-Changes Requiring Approval of All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225" w:lineRule="exact"/>
        <w:rPr>
          <w:sz w:val="20"/>
          <w:szCs w:val="20"/>
          <w:color w:val="auto"/>
        </w:rPr>
      </w:pPr>
    </w:p>
    <w:p>
      <w:pPr>
        <w:ind w:right="60" w:firstLine="756"/>
        <w:spacing w:after="0" w:line="259" w:lineRule="auto"/>
        <w:rPr>
          <w:sz w:val="20"/>
          <w:szCs w:val="20"/>
          <w:color w:val="auto"/>
        </w:rPr>
      </w:pPr>
      <w:r>
        <w:rPr>
          <w:rFonts w:ascii="Arial" w:cs="Arial" w:eastAsia="Arial" w:hAnsi="Arial"/>
          <w:sz w:val="18"/>
          <w:szCs w:val="18"/>
          <w:color w:val="auto"/>
        </w:rPr>
        <w:t>The third type of change does not require any vote by holders of notes outstanding. This type is limited to clarifications, changes that are necessary to comply with requirements of the SEC in order to effect or maintain the qualification of the indenture under the Trust Indenture Act or to conform the text of any provision of the indenture or the notes to any provision of this description of the notes and certain other changes that would not adversely affect holders of the notes outstanding in any material respect.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Covenant Defeasance</w:t>
      </w:r>
    </w:p>
    <w:p>
      <w:pPr>
        <w:spacing w:after="0" w:line="229" w:lineRule="exact"/>
        <w:rPr>
          <w:sz w:val="20"/>
          <w:szCs w:val="20"/>
          <w:color w:val="auto"/>
        </w:rPr>
      </w:pPr>
    </w:p>
    <w:p>
      <w:pPr>
        <w:ind w:firstLine="756"/>
        <w:spacing w:after="0" w:line="287" w:lineRule="auto"/>
        <w:rPr>
          <w:sz w:val="20"/>
          <w:szCs w:val="20"/>
          <w:color w:val="auto"/>
        </w:rPr>
      </w:pPr>
      <w:r>
        <w:rPr>
          <w:rFonts w:ascii="Arial" w:cs="Arial" w:eastAsia="Arial" w:hAnsi="Arial"/>
          <w:sz w:val="16"/>
          <w:szCs w:val="16"/>
          <w:color w:val="auto"/>
        </w:rPr>
        <w:t>We may elect either (i) to defease and be discharged from any and all obligations with respect to the Notes (except as otherwise provided in the indenture) (“defeasance”) or (ii) to be released from our obligations with respect to certain covenants that are described in the indenture (“covenant defeasance”), upon the deposit with the trustee, in trust for such purpose, of money and/or government obligations that through the payment of principal and interest in accordance with their terms will provide money in an amount sufficient, without reinvestment in the opinion of a nationally recognized firm of certified public accountants, to pay the principal of, premium, if any, and interest on the Notes to maturity or redemption, as the case may be, and any mandatory sinking fund or analogous senior payments thereon. As a condition to defeasance or covenant defeasance, we must deliver to the trustee an opinion of counsel to the effect that the beneficial owners of the Notes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under clause (i) above, must refer to and be based upon a ruling of the Internal Revenue Service (the “IRS”) or a change in applicable United States federal income tax law occurring after the date of the indenture. We may exercise our defeasance option with respect to the Notes notwithstanding our prior exercise of our covenant defeasance option. If we exercise our defeasance option, payment of the Notes may not be accelerated because of an event of default.</w:t>
      </w:r>
    </w:p>
    <w:p>
      <w:pPr>
        <w:spacing w:after="0" w:line="169" w:lineRule="exact"/>
        <w:rPr>
          <w:sz w:val="20"/>
          <w:szCs w:val="20"/>
          <w:color w:val="auto"/>
        </w:rPr>
      </w:pPr>
    </w:p>
    <w:p>
      <w:pPr>
        <w:ind w:right="60" w:firstLine="756"/>
        <w:spacing w:after="0" w:line="257" w:lineRule="auto"/>
        <w:rPr>
          <w:sz w:val="20"/>
          <w:szCs w:val="20"/>
          <w:color w:val="auto"/>
        </w:rPr>
      </w:pPr>
      <w:r>
        <w:rPr>
          <w:rFonts w:ascii="Arial" w:cs="Arial" w:eastAsia="Arial" w:hAnsi="Arial"/>
          <w:sz w:val="18"/>
          <w:szCs w:val="18"/>
          <w:color w:val="auto"/>
        </w:rPr>
        <w:t>If we exercise our covenant defeasance option, payment of the Notes may not be accelerated by reference to any covenant from which we are released as described under clause (ii) of the immediately preceding paragraph. However, if acceleration were to occur for other reasons, the realizable value at the acceleration date of the money and government obligations in the defeasance trust could be less than the principal and interest then due on the Notes, in that the required deposit in the defeasance trust is based upon scheduled cash flows rather than market value, which will vary depending upon interest rates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29" w:lineRule="exact"/>
        <w:rPr>
          <w:sz w:val="20"/>
          <w:szCs w:val="20"/>
          <w:color w:val="auto"/>
        </w:rPr>
      </w:pPr>
    </w:p>
    <w:p>
      <w:pPr>
        <w:ind w:right="440" w:firstLine="756"/>
        <w:spacing w:after="0" w:line="277" w:lineRule="auto"/>
        <w:rPr>
          <w:sz w:val="20"/>
          <w:szCs w:val="20"/>
          <w:color w:val="auto"/>
        </w:rPr>
      </w:pPr>
      <w:r>
        <w:rPr>
          <w:rFonts w:ascii="Arial" w:cs="Arial" w:eastAsia="Arial" w:hAnsi="Arial"/>
          <w:sz w:val="18"/>
          <w:szCs w:val="18"/>
          <w:color w:val="auto"/>
        </w:rPr>
        <w:t>The indenture will at our request be discharged and will cease to be of further effect (except as to surviving rights or registration of transfer or exchange of the notes, as expressly provided for in the indenture) as to all notes outstanding, when: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 either:</w:t>
      </w:r>
    </w:p>
    <w:p>
      <w:pPr>
        <w:spacing w:after="0" w:line="225" w:lineRule="exact"/>
        <w:rPr>
          <w:sz w:val="20"/>
          <w:szCs w:val="20"/>
          <w:color w:val="auto"/>
        </w:rPr>
      </w:pPr>
    </w:p>
    <w:p>
      <w:pPr>
        <w:ind w:right="180" w:firstLine="764"/>
        <w:spacing w:after="0" w:line="264" w:lineRule="auto"/>
        <w:tabs>
          <w:tab w:leader="none" w:pos="105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81" w:lineRule="exact"/>
        <w:rPr>
          <w:rFonts w:ascii="Arial" w:cs="Arial" w:eastAsia="Arial" w:hAnsi="Arial"/>
          <w:sz w:val="18"/>
          <w:szCs w:val="18"/>
          <w:color w:val="auto"/>
        </w:rPr>
      </w:pPr>
    </w:p>
    <w:p>
      <w:pPr>
        <w:ind w:right="160" w:firstLine="764"/>
        <w:spacing w:after="0" w:line="297" w:lineRule="auto"/>
        <w:tabs>
          <w:tab w:leader="none" w:pos="104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(1) have become due and payable or (2) will become due and payable at their stated maturity within one year, or are to be called for redemption within one year, under arrangements satisfactory to the trustee for the giving of notice of redemption by the trustee in our name, and at our expense, and we have deposited or caused to be deposited with the trustee funds in an amount sufficient to pay and discharge the entire indebtedness on the notes not theretofore delivered to the trustee for cancellation, for principal and any premium and interest to the date of such deposit (in the case of notes that have become due and payable) or to the maturity date or redemption date, as</w:t>
      </w:r>
    </w:p>
    <w:p>
      <w:pPr>
        <w:sectPr>
          <w:pgSz w:w="11900" w:h="16838" w:orient="portrait"/>
          <w:cols w:equalWidth="0" w:num="1">
            <w:col w:w="11420"/>
          </w:cols>
          <w:pgMar w:left="240" w:top="773" w:right="239" w:bottom="1440" w:gutter="0" w:footer="0" w:header="0"/>
        </w:sectPr>
      </w:pPr>
    </w:p>
    <w:bookmarkStart w:id="129" w:name="page130"/>
    <w:bookmarkEnd w:id="129"/>
    <w:p>
      <w:pPr>
        <w:ind w:right="20"/>
        <w:spacing w:after="0" w:line="255" w:lineRule="auto"/>
        <w:rPr>
          <w:sz w:val="20"/>
          <w:szCs w:val="20"/>
          <w:color w:val="auto"/>
        </w:rPr>
      </w:pPr>
      <w:r>
        <w:rPr>
          <w:rFonts w:ascii="Arial" w:cs="Arial" w:eastAsia="Arial" w:hAnsi="Arial"/>
          <w:sz w:val="18"/>
          <w:szCs w:val="18"/>
          <w:color w:val="auto"/>
        </w:rPr>
        <w:t xml:space="preserve">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upon any redemption that requires the payment of a premium, the amount deposited shall be sufficient to the extent that an amount is deposited with the trustee equal to the premium calculated as of the date of the notice of redemption, with any deficit on the date of redemption (any such amount, the “Applicable Premium Deficit”) only required to be deposited with the trustee on or prior to the date of redemption (it being understood that any satisfaction and discharge shall be subject to the condition subsequent that such deficit is in fact paid).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193" w:lineRule="exact"/>
        <w:rPr>
          <w:sz w:val="20"/>
          <w:szCs w:val="20"/>
          <w:color w:val="auto"/>
        </w:rPr>
      </w:pPr>
    </w:p>
    <w:p>
      <w:pPr>
        <w:ind w:left="940" w:hanging="176"/>
        <w:spacing w:after="0"/>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225" w:lineRule="exact"/>
        <w:rPr>
          <w:rFonts w:ascii="Arial" w:cs="Arial" w:eastAsia="Arial" w:hAnsi="Arial"/>
          <w:sz w:val="18"/>
          <w:szCs w:val="18"/>
          <w:color w:val="auto"/>
        </w:rPr>
      </w:pPr>
    </w:p>
    <w:p>
      <w:pPr>
        <w:ind w:firstLine="764"/>
        <w:spacing w:after="0" w:line="277" w:lineRule="auto"/>
        <w:tabs>
          <w:tab w:leader="none" w:pos="9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and Transfer and Paying Agent</w:t>
      </w:r>
    </w:p>
    <w:p>
      <w:pPr>
        <w:spacing w:after="0" w:line="229" w:lineRule="exact"/>
        <w:rPr>
          <w:sz w:val="20"/>
          <w:szCs w:val="20"/>
          <w:color w:val="auto"/>
        </w:rPr>
      </w:pPr>
    </w:p>
    <w:p>
      <w:pPr>
        <w:ind w:right="80" w:firstLine="756"/>
        <w:spacing w:after="0" w:line="264" w:lineRule="auto"/>
        <w:rPr>
          <w:sz w:val="20"/>
          <w:szCs w:val="20"/>
          <w:color w:val="auto"/>
        </w:rPr>
      </w:pPr>
      <w:r>
        <w:rPr>
          <w:rFonts w:ascii="Arial" w:cs="Arial" w:eastAsia="Arial" w:hAnsi="Arial"/>
          <w:sz w:val="18"/>
          <w:szCs w:val="18"/>
          <w:color w:val="auto"/>
        </w:rPr>
        <w:t>U.S. Bank National Association serves as the trustee under the indenture. The trustee will be permitted to deal with us and our affiliates with the same rights as if it were not trustee. U.S. Bank National Association will also initially be the transfer agent for the Notes. The paying agent for the Notes will initially be Elavon Financial Services DAC, UK Branch.</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and/or our affiliates also maintain banking relationships in the ordinary course of business with one or more affiliates of the trustee.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160" w:firstLine="756"/>
        <w:spacing w:after="0" w:line="264" w:lineRule="auto"/>
        <w:rPr>
          <w:sz w:val="20"/>
          <w:szCs w:val="20"/>
          <w:color w:val="auto"/>
        </w:rPr>
      </w:pPr>
      <w:r>
        <w:rPr>
          <w:rFonts w:ascii="Arial" w:cs="Arial" w:eastAsia="Arial" w:hAnsi="Arial"/>
          <w:sz w:val="18"/>
          <w:szCs w:val="18"/>
          <w:color w:val="auto"/>
        </w:rPr>
        <w:t>Notices to holders of notes will be given by mail, delivered by hand or overnight courier or electronic delivery to the addresses of such holders as they appear in the security register. Notices will be deemed to have been given on the date of such mailing or electronic delivery. Whenever a notice is required to be given by us, such notice may be given by the trustee on our behalf.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29" w:lineRule="exact"/>
        <w:rPr>
          <w:sz w:val="20"/>
          <w:szCs w:val="20"/>
          <w:color w:val="auto"/>
        </w:rPr>
      </w:pPr>
    </w:p>
    <w:p>
      <w:pPr>
        <w:ind w:right="220" w:firstLine="756"/>
        <w:spacing w:after="0" w:line="277" w:lineRule="auto"/>
        <w:rPr>
          <w:sz w:val="20"/>
          <w:szCs w:val="20"/>
          <w:color w:val="auto"/>
        </w:rPr>
      </w:pPr>
      <w:r>
        <w:rPr>
          <w:rFonts w:ascii="Arial" w:cs="Arial" w:eastAsia="Arial" w:hAnsi="Arial"/>
          <w:sz w:val="18"/>
          <w:szCs w:val="18"/>
          <w:color w:val="auto"/>
        </w:rPr>
        <w:t>We, the trustee and any agent of ours may treat the registered owner of any notes as the absolute owner thereof (whether or not the notes shall be overdue and notwithstanding any notice to the contrary) for the purpose of making payment and for all other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29" w:lineRule="exact"/>
        <w:rPr>
          <w:sz w:val="20"/>
          <w:szCs w:val="20"/>
          <w:color w:val="auto"/>
        </w:rPr>
      </w:pPr>
    </w:p>
    <w:p>
      <w:pPr>
        <w:ind w:right="20" w:firstLine="756"/>
        <w:spacing w:after="0" w:line="259" w:lineRule="auto"/>
        <w:rPr>
          <w:sz w:val="20"/>
          <w:szCs w:val="20"/>
          <w:color w:val="auto"/>
        </w:rPr>
      </w:pPr>
      <w:r>
        <w:rPr>
          <w:rFonts w:ascii="Arial" w:cs="Arial" w:eastAsia="Arial" w:hAnsi="Arial"/>
          <w:sz w:val="18"/>
          <w:szCs w:val="18"/>
          <w:color w:val="auto"/>
        </w:rPr>
        <w:t>We will replace any mutilated note at the expense of the holders upon surrender to the trustee. We will replace notes that become destroyed, lost or stolen at the expense of the holder upon delivery to the trustee of satisfactory evidence of the destruction, loss or theft thereof. In the event of a destroyed, lost or stolen note, an indemnity or security satisfactory to us and the trustee may be required at the expense of the holder of the note before a replacement note will be 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20" w:firstLine="756"/>
        <w:spacing w:after="0" w:line="308" w:lineRule="auto"/>
        <w:rPr>
          <w:sz w:val="20"/>
          <w:szCs w:val="20"/>
          <w:color w:val="auto"/>
        </w:rPr>
      </w:pPr>
      <w:r>
        <w:rPr>
          <w:rFonts w:ascii="Arial" w:cs="Arial" w:eastAsia="Arial" w:hAnsi="Arial"/>
          <w:sz w:val="17"/>
          <w:szCs w:val="17"/>
          <w:color w:val="auto"/>
        </w:rPr>
        <w:t>Each of the indenture and the notes, and any claim, controversy or dispute arising under or related to the indenture or the notes, will be governed by, and construed in accordance with, the laws of the State of New York (without regard to the conflicts of laws provisions thereof).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Notes are listed on The Nasdaq Global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System; Global Notes</w:t>
      </w:r>
    </w:p>
    <w:p>
      <w:pPr>
        <w:spacing w:after="0" w:line="229" w:lineRule="exact"/>
        <w:rPr>
          <w:sz w:val="20"/>
          <w:szCs w:val="20"/>
          <w:color w:val="auto"/>
        </w:rPr>
      </w:pPr>
    </w:p>
    <w:p>
      <w:pPr>
        <w:ind w:right="240" w:firstLine="756"/>
        <w:spacing w:after="0" w:line="277" w:lineRule="auto"/>
        <w:rPr>
          <w:sz w:val="20"/>
          <w:szCs w:val="20"/>
          <w:color w:val="auto"/>
        </w:rPr>
      </w:pPr>
      <w:r>
        <w:rPr>
          <w:rFonts w:ascii="Arial" w:cs="Arial" w:eastAsia="Arial" w:hAnsi="Arial"/>
          <w:sz w:val="18"/>
          <w:szCs w:val="18"/>
          <w:color w:val="auto"/>
        </w:rPr>
        <w:t>The Notes were issued in the form of one or more global Notes, in fully registered form, each of which we refer to as a “global note.” Each such global note was deposited with the common depositary for Clearstream and Euroclear, and</w:t>
      </w:r>
    </w:p>
    <w:p>
      <w:pPr>
        <w:sectPr>
          <w:pgSz w:w="11900" w:h="16838" w:orient="portrait"/>
          <w:cols w:equalWidth="0" w:num="1">
            <w:col w:w="11400"/>
          </w:cols>
          <w:pgMar w:left="240" w:top="773" w:right="259" w:bottom="1440" w:gutter="0" w:footer="0" w:header="0"/>
        </w:sectPr>
      </w:pPr>
    </w:p>
    <w:bookmarkStart w:id="130" w:name="page131"/>
    <w:bookmarkEnd w:id="130"/>
    <w:p>
      <w:pPr>
        <w:ind w:right="240"/>
        <w:spacing w:after="0" w:line="277" w:lineRule="auto"/>
        <w:rPr>
          <w:sz w:val="20"/>
          <w:szCs w:val="20"/>
          <w:color w:val="auto"/>
        </w:rPr>
      </w:pPr>
      <w:r>
        <w:rPr>
          <w:rFonts w:ascii="Arial" w:cs="Arial" w:eastAsia="Arial" w:hAnsi="Arial"/>
          <w:sz w:val="18"/>
          <w:szCs w:val="18"/>
          <w:color w:val="auto"/>
        </w:rPr>
        <w:t>registered in the name of the common depositary or its nominee. We will not issue certificated securities for the Notes, except in the limited circumstances described below.</w:t>
      </w:r>
    </w:p>
    <w:p>
      <w:pPr>
        <w:spacing w:after="0" w:line="387" w:lineRule="exact"/>
        <w:rPr>
          <w:sz w:val="20"/>
          <w:szCs w:val="20"/>
          <w:color w:val="auto"/>
        </w:rPr>
      </w:pPr>
    </w:p>
    <w:p>
      <w:pPr>
        <w:ind w:right="140" w:firstLine="756"/>
        <w:spacing w:after="0" w:line="271" w:lineRule="auto"/>
        <w:rPr>
          <w:sz w:val="20"/>
          <w:szCs w:val="20"/>
          <w:color w:val="auto"/>
        </w:rPr>
      </w:pPr>
      <w:r>
        <w:rPr>
          <w:rFonts w:ascii="Arial" w:cs="Arial" w:eastAsia="Arial" w:hAnsi="Arial"/>
          <w:sz w:val="17"/>
          <w:szCs w:val="17"/>
          <w:color w:val="auto"/>
        </w:rPr>
        <w:t>Beneficial interests in the global Notes are represented, and transfers of such beneficial interests are effected, through book-entry accounts of financial institutions acting on behalf of beneficial owners as direct or indirect participants in Clearstream or Euroclear. Those beneficial interests are in denominations of €100,000 and integral multiples of €1,000 in excess thereof. Should certificates be issued to individual holders of the Notes, a holder of Notes who, as a result of trading or otherwise, holds a principal amount of Notes that is less than the minimum denomination of Notes would be required to purchase an additional principal amount of Notes such that its holding of Notes amounts to the minimum specified denomination. Investors may hold Notes directly through Clearstream or Euroclear, either directly if they are participants in such systems or indirectly through organizations that are participants in such systems. The address of Clearstream is 42 Avenue JF Kennedy, L-1855 Luxembourg, Luxembourg, and the address of Euroclear is 1 Boulevard Roi Albert II, B-1210 Brussels, Belgium.</w:t>
      </w:r>
    </w:p>
    <w:p>
      <w:pPr>
        <w:spacing w:after="0" w:line="395" w:lineRule="exact"/>
        <w:rPr>
          <w:sz w:val="20"/>
          <w:szCs w:val="20"/>
          <w:color w:val="auto"/>
        </w:rPr>
      </w:pPr>
    </w:p>
    <w:p>
      <w:pPr>
        <w:ind w:right="500" w:firstLine="756"/>
        <w:spacing w:after="0" w:line="277" w:lineRule="auto"/>
        <w:rPr>
          <w:sz w:val="20"/>
          <w:szCs w:val="20"/>
          <w:color w:val="auto"/>
        </w:rPr>
      </w:pPr>
      <w:r>
        <w:rPr>
          <w:rFonts w:ascii="Arial" w:cs="Arial" w:eastAsia="Arial" w:hAnsi="Arial"/>
          <w:sz w:val="18"/>
          <w:szCs w:val="18"/>
          <w:color w:val="auto"/>
        </w:rPr>
        <w:t>Beneficial interests in the global Notes are shown on, and transfers of beneficial interests in the global Notes are made only through, records maintained by Clearstream or Euroclear and their participants.</w:t>
      </w:r>
    </w:p>
    <w:p>
      <w:pPr>
        <w:spacing w:after="0" w:line="387" w:lineRule="exact"/>
        <w:rPr>
          <w:sz w:val="20"/>
          <w:szCs w:val="20"/>
          <w:color w:val="auto"/>
        </w:rPr>
      </w:pPr>
    </w:p>
    <w:p>
      <w:pPr>
        <w:ind w:right="80" w:firstLine="756"/>
        <w:spacing w:after="0" w:line="264" w:lineRule="auto"/>
        <w:rPr>
          <w:sz w:val="20"/>
          <w:szCs w:val="20"/>
          <w:color w:val="auto"/>
        </w:rPr>
      </w:pPr>
      <w:r>
        <w:rPr>
          <w:rFonts w:ascii="Arial" w:cs="Arial" w:eastAsia="Arial" w:hAnsi="Arial"/>
          <w:sz w:val="18"/>
          <w:szCs w:val="18"/>
          <w:color w:val="auto"/>
        </w:rPr>
        <w:t>The paying agent will wire payments on the Notes to the common depositary (or its nominee) as the holder of the global Notes. The trustee, the paying agent and we will treat the common depositary (or its nominee) or any successor nominee to the common depositary as the owner of the global Notes for all purposes.</w:t>
      </w:r>
    </w:p>
    <w:p>
      <w:pPr>
        <w:spacing w:after="0" w:line="397" w:lineRule="exact"/>
        <w:rPr>
          <w:sz w:val="20"/>
          <w:szCs w:val="20"/>
          <w:color w:val="auto"/>
        </w:rPr>
      </w:pPr>
    </w:p>
    <w:p>
      <w:pPr>
        <w:ind w:right="120" w:firstLine="756"/>
        <w:spacing w:after="0" w:line="259" w:lineRule="auto"/>
        <w:rPr>
          <w:sz w:val="20"/>
          <w:szCs w:val="20"/>
          <w:color w:val="auto"/>
        </w:rPr>
      </w:pPr>
      <w:r>
        <w:rPr>
          <w:rFonts w:ascii="Arial" w:cs="Arial" w:eastAsia="Arial" w:hAnsi="Arial"/>
          <w:sz w:val="18"/>
          <w:szCs w:val="18"/>
          <w:color w:val="auto"/>
        </w:rPr>
        <w:t>So long as Euroclear or Clearstream or their nominee or their common depositary is the registered holder of the global Notes, Euroclear, Clearstream or such nominee, as the case may be, will be considered the sole owner or holder of the Notes represented by such global Notes for all purposes under the indenture and the Notes. Payments of principal, interest and additional amounts, if any, in respect of the global Notes will be made to Euroclear, Clearstream or such nominee, as the case may be, as registered holder thereof.</w:t>
      </w:r>
    </w:p>
    <w:p>
      <w:pPr>
        <w:spacing w:after="0" w:line="200" w:lineRule="exact"/>
        <w:rPr>
          <w:sz w:val="20"/>
          <w:szCs w:val="20"/>
          <w:color w:val="auto"/>
        </w:rPr>
      </w:pPr>
    </w:p>
    <w:p>
      <w:pPr>
        <w:spacing w:after="0" w:line="203" w:lineRule="exact"/>
        <w:rPr>
          <w:sz w:val="20"/>
          <w:szCs w:val="20"/>
          <w:color w:val="auto"/>
        </w:rPr>
      </w:pPr>
    </w:p>
    <w:p>
      <w:pPr>
        <w:ind w:right="60" w:firstLine="756"/>
        <w:spacing w:after="0" w:line="342" w:lineRule="auto"/>
        <w:rPr>
          <w:sz w:val="20"/>
          <w:szCs w:val="20"/>
          <w:color w:val="auto"/>
        </w:rPr>
      </w:pPr>
      <w:r>
        <w:rPr>
          <w:rFonts w:ascii="Arial" w:cs="Arial" w:eastAsia="Arial" w:hAnsi="Arial"/>
          <w:sz w:val="16"/>
          <w:szCs w:val="16"/>
          <w:color w:val="auto"/>
        </w:rPr>
        <w:t>Distributions of principal, interest and additional amounts, if any, with respect to the global Notes will be credited in euro to the extent received by Euroclear or Clearstream to the cash accounts of Euroclear or Clearstream customers in accordance with the relevant system’s rules and procedures.</w:t>
      </w:r>
    </w:p>
    <w:p>
      <w:pPr>
        <w:spacing w:after="0" w:line="3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Clearance and Settlement Procedures</w:t>
      </w:r>
    </w:p>
    <w:p>
      <w:pPr>
        <w:spacing w:after="0" w:line="225" w:lineRule="exact"/>
        <w:rPr>
          <w:sz w:val="20"/>
          <w:szCs w:val="20"/>
          <w:color w:val="auto"/>
        </w:rPr>
      </w:pPr>
    </w:p>
    <w:p>
      <w:pPr>
        <w:ind w:firstLine="756"/>
        <w:spacing w:after="0" w:line="264" w:lineRule="auto"/>
        <w:rPr>
          <w:sz w:val="20"/>
          <w:szCs w:val="20"/>
          <w:color w:val="auto"/>
        </w:rPr>
      </w:pPr>
      <w:r>
        <w:rPr>
          <w:rFonts w:ascii="Arial" w:cs="Arial" w:eastAsia="Arial" w:hAnsi="Arial"/>
          <w:sz w:val="18"/>
          <w:szCs w:val="18"/>
          <w:color w:val="auto"/>
        </w:rPr>
        <w:t>Secondary market trading between Clearstream and/or Euroclear participants will occur in the ordinary way in accordance with the applicable rules and operating procedures of Clearstream and Euroclear, as applicable, and will be settled using the procedures applicable to conventional Eurobonds in immediately available funds.</w:t>
      </w:r>
    </w:p>
    <w:p>
      <w:pPr>
        <w:spacing w:after="0" w:line="39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Secondary Market Trading</w:t>
      </w:r>
    </w:p>
    <w:p>
      <w:pPr>
        <w:spacing w:after="0" w:line="225" w:lineRule="exact"/>
        <w:rPr>
          <w:sz w:val="20"/>
          <w:szCs w:val="20"/>
          <w:color w:val="auto"/>
        </w:rPr>
      </w:pPr>
    </w:p>
    <w:p>
      <w:pPr>
        <w:jc w:val="both"/>
        <w:ind w:firstLine="756"/>
        <w:spacing w:after="0" w:line="264" w:lineRule="auto"/>
        <w:rPr>
          <w:sz w:val="20"/>
          <w:szCs w:val="20"/>
          <w:color w:val="auto"/>
        </w:rPr>
      </w:pPr>
      <w:r>
        <w:rPr>
          <w:rFonts w:ascii="Arial" w:cs="Arial" w:eastAsia="Arial" w:hAnsi="Arial"/>
          <w:sz w:val="18"/>
          <w:szCs w:val="18"/>
          <w:color w:val="auto"/>
        </w:rPr>
        <w:t>Any secondary market trading of book-entry interests in the Notes will take place through participants in Clearstream and Euroclear in accordance with the normal rules and operating procedures of Clearstream and Euroclear and will be settled using the procedures applicable to conventional eurobonds in same-day funds. Owners of book-entry interests in the Notes will receive payments relating to their Notes in euro.</w:t>
      </w:r>
    </w:p>
    <w:p>
      <w:pPr>
        <w:sectPr>
          <w:pgSz w:w="11900" w:h="16838" w:orient="portrait"/>
          <w:cols w:equalWidth="0" w:num="1">
            <w:col w:w="11380"/>
          </w:cols>
          <w:pgMar w:left="240" w:top="773" w:right="2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Euronet's wholly owned subsidiaries were:</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Financial Services Austria GmbH, incorporated in Austria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 Taxfree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YourCash Belgium N.V., incorporated in Belgium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EOOD, incorporated in Bulgaria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HiFX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XE Corporation, incorporated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 Tax Free France S.A.S.U.,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 Taxfree Germany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Asia Holdings Limited, incorporated in Hong Kong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PT Euronet Technologies Indonesia, incorporated in Indonesia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Easycash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360 Payments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 Taxfree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YourCash Ireland Limited, incorporated in Ireland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Innova Taxfree Italy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ectPr>
          <w:pgSz w:w="11900" w:h="16838" w:orient="portrait"/>
          <w:cols w:equalWidth="0" w:num="1">
            <w:col w:w="11420"/>
          </w:cols>
          <w:pgMar w:left="240" w:top="553" w:right="239" w:bottom="1440" w:gutter="0" w:footer="0" w:header="0"/>
        </w:sectPr>
      </w:pPr>
    </w:p>
    <w:bookmarkStart w:id="132" w:name="page133"/>
    <w:bookmarkEnd w:id="132"/>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IME (M) Sdn Bhd, incorporated in Malaysia</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epay Mexico, S. de R. 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Transfers de Mexico, S. de R.L. de C.V., incorporated in Mexico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EFT Services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epay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Hanco Automated Teller Machines Holdings B.V., incorporated in the Netherlands</w:t>
      </w:r>
    </w:p>
    <w:p>
      <w:pPr>
        <w:spacing w:after="0" w:line="20" w:lineRule="exact"/>
        <w:rPr>
          <w:rFonts w:ascii="Arial" w:cs="Arial" w:eastAsia="Arial" w:hAnsi="Arial"/>
          <w:sz w:val="17"/>
          <w:szCs w:val="17"/>
          <w:color w:val="auto"/>
        </w:rPr>
      </w:pPr>
    </w:p>
    <w:p>
      <w:pPr>
        <w:ind w:left="328" w:hanging="328"/>
        <w:spacing w:after="0"/>
        <w:tabs>
          <w:tab w:leader="none" w:pos="3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Hanco Automated Teller Machines Netherlands B.V., incorporated in the Netherlands</w:t>
      </w:r>
    </w:p>
    <w:p>
      <w:pPr>
        <w:spacing w:after="0" w:line="32" w:lineRule="exact"/>
        <w:rPr>
          <w:rFonts w:ascii="Arial" w:cs="Arial" w:eastAsia="Arial" w:hAnsi="Arial"/>
          <w:sz w:val="16"/>
          <w:szCs w:val="16"/>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 Taxfree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XE Europe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Netherlands Holding B.V., incorporated in the Netherlands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Technology Services, Inc., incorporated in the Philippines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CT202 Spó³ka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MT101 Spó³ka z o.o., incorporated in Poland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IME (Portugal),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 Tax Free Portugal Unipessoal Lda, incorporated in Portugal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Singapore Pte. Ltd., incorporated in Singapore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 Taxfree Group,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 Taxfree Spain, S.L.,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GmbH, incorporated in Switzerland</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Turkey Ödeme Kuruluşu Anonim Sirketi, incorporated in Turkey</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Universal Solution Providers FZ-LLC, incorporated in United Arab Emirates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HiFX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IME UK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Innova Tax Free (UK)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RIA Financial Services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YourCash Europe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YourCash Solutions Limited, incorporated in United Kingdom</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YourCash Holdings Limited, incorporated in United Kingdom</w:t>
      </w:r>
    </w:p>
    <w:p>
      <w:pPr>
        <w:sectPr>
          <w:pgSz w:w="11900" w:h="16838" w:orient="portrait"/>
          <w:cols w:equalWidth="0" w:num="1">
            <w:col w:w="9887"/>
          </w:cols>
          <w:pgMar w:left="572" w:top="557" w:right="1440" w:bottom="1440" w:gutter="0" w:footer="0" w:header="0"/>
        </w:sectPr>
      </w:pPr>
    </w:p>
    <w:bookmarkStart w:id="133" w:name="page134"/>
    <w:bookmarkEnd w:id="133"/>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YourCash ATM Systems Limited, incorporated in United Kingdom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YourCash Limited, incorporated in United Kingdom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PaySpot,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RIA Envia, LLC, incorporated in Kansas,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Euronet also had shareholdings in the following companies that are not wholly owned:</w:t>
      </w:r>
    </w:p>
    <w:p>
      <w:pPr>
        <w:spacing w:after="0" w:line="2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Euronet Infinitium Solutions Pvt. Ltd., incorporated in India, of which 65.09% is owned by Euronet Services India Pvt.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Euronet Pakistan (Pvt.) Limited, incorporated in Pakistan, incorporated in Pakistan, of which 70% is owned by Euronet Pakistan Holdings, Inc.</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95.05% is owned by Euronet Telerecarga S.L.U.</w:t>
      </w:r>
    </w:p>
    <w:p>
      <w:pPr>
        <w:sectPr>
          <w:pgSz w:w="11900" w:h="16838" w:orient="portrait"/>
          <w:cols w:equalWidth="0" w:num="1">
            <w:col w:w="10980"/>
          </w:cols>
          <w:pgMar w:left="240" w:top="557" w:right="6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registration statement (Nos. 333-84046, 333-105478, 333-111361, 333-111363, 333-117948, 333-128228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333-231252) on Form S-3, (No. 333-116938) on Form S-4, and (Nos. 333-24539, 333-83555, 333-44890, 333-64634, 333-71766, 333-98013, 333-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102875, 333-116920, 333-136485, 333-161245, 333-176238, and 333-190337) on Form S-8 of Euronet Worldwide, Inc. and subsidiaries (the Company)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report dated February 28, 2020, with respect to the consolidated balance sheets of the Company as of December 31, 2019, and 2018, and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 comprehensive income, changes in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the related notes (collectively, the consolidated financial statements), and the effectiveness of internal control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which report appears in the December 31, 2019 annual report on Form 10-K of Euronet Worldwide, Inc.</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Our report refers to the Company’s adoption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2019 and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53"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53"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53"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20"/>
          </w:cols>
          <w:pgMar w:left="240" w:top="553"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lvl w:ilvl="1">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decimal"/>
      <w:start w:val="3"/>
    </w:lvl>
  </w:abstractNum>
  <w:abstractNum w:abstractNumId="22">
    <w:nsid w:val="2463B9EA"/>
    <w:multiLevelType w:val="hybridMultilevel"/>
    <w:lvl w:ilvl="0">
      <w:lvlJc w:val="left"/>
      <w:lvlText w:val="(%1)"/>
      <w:numFmt w:val="lowerRoman"/>
      <w:start w:val="3"/>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
    </w:lvl>
  </w:abstractNum>
  <w:abstractNum w:abstractNumId="25">
    <w:nsid w:val="2D517796"/>
    <w:multiLevelType w:val="hybridMultilevel"/>
    <w:lvl w:ilvl="0">
      <w:lvlJc w:val="left"/>
      <w:lvlText w:val="%1)"/>
      <w:numFmt w:val="decimal"/>
      <w:start w:val="2"/>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lowerLetter"/>
      <w:start w:val="1"/>
    </w:lvl>
    <w:lvl w:ilvl="1">
      <w:lvlJc w:val="left"/>
      <w:lvlText w:val="%2."/>
      <w:numFmt w:val="decimal"/>
      <w:start w:val="1"/>
    </w:lvl>
  </w:abstractNum>
  <w:abstractNum w:abstractNumId="29">
    <w:nsid w:val="70A64E2A"/>
    <w:multiLevelType w:val="hybridMultilevel"/>
    <w:lvl w:ilvl="0">
      <w:lvlJc w:val="left"/>
      <w:lvlText w:val="%1"/>
      <w:numFmt w:val="decimal"/>
      <w:start w:val="101"/>
    </w:lvl>
  </w:abstractNum>
  <w:abstractNum w:abstractNumId="30">
    <w:nsid w:val="6A2342EC"/>
    <w:multiLevelType w:val="hybridMultilevel"/>
    <w:lvl w:ilvl="0">
      <w:lvlJc w:val="left"/>
      <w:lvlText w:val="%1"/>
      <w:numFmt w:val="decimal"/>
      <w:start w:val="1"/>
    </w:lvl>
    <w:lvl w:ilvl="1">
      <w:lvlJc w:val="left"/>
      <w:lvlText w:val="%2"/>
      <w:numFmt w:val="decimal"/>
      <w:start w:val="1"/>
    </w:lvl>
    <w:lvl w:ilvl="2">
      <w:lvlJc w:val="left"/>
      <w:lvlText w:val="%3"/>
      <w:numFmt w:val="decimal"/>
      <w:start w:val="104"/>
    </w:lvl>
  </w:abstractNum>
  <w:abstractNum w:abstractNumId="31">
    <w:nsid w:val="2A487CB0"/>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32">
    <w:nsid w:val="1D4ED43B"/>
    <w:multiLevelType w:val="hybridMultilevel"/>
    <w:lvl w:ilvl="0">
      <w:lvlJc w:val="left"/>
      <w:lvlText w:val="(%1)"/>
      <w:numFmt w:val="decimal"/>
      <w:start w:val="1"/>
    </w:lvl>
    <w:lvl w:ilvl="1">
      <w:lvlJc w:val="left"/>
      <w:lvlText w:val="(%2)"/>
      <w:numFmt w:val="lowerLetter"/>
      <w:start w:val="1"/>
    </w:lvl>
  </w:abstractNum>
  <w:abstractNum w:abstractNumId="33">
    <w:nsid w:val="725A06FB"/>
    <w:multiLevelType w:val="hybridMultilevel"/>
    <w:lvl w:ilvl="0">
      <w:lvlJc w:val="left"/>
      <w:lvlText w:val="%1"/>
      <w:numFmt w:val="lowerRoman"/>
      <w:start w:val="1"/>
    </w:lvl>
    <w:lvl w:ilvl="1">
      <w:lvlJc w:val="left"/>
      <w:lvlText w:val="(%2)"/>
      <w:numFmt w:val="decimal"/>
      <w:start w:val="5"/>
    </w:lvl>
  </w:abstractNum>
  <w:abstractNum w:abstractNumId="34">
    <w:nsid w:val="2CD89A32"/>
    <w:multiLevelType w:val="hybridMultilevel"/>
    <w:lvl w:ilvl="0">
      <w:lvlJc w:val="left"/>
      <w:lvlText w:val="(%1)"/>
      <w:numFmt w:val="lowerRoman"/>
      <w:start w:val="1"/>
    </w:lvl>
    <w:lvl w:ilvl="1">
      <w:lvlJc w:val="left"/>
      <w:lvlText w:val="(%2)"/>
      <w:numFmt w:val="decimal"/>
      <w:start w:val="10"/>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2"/>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decimal"/>
      <w:start w:val="1"/>
    </w:lvl>
    <w:lvl w:ilvl="1">
      <w:lvlJc w:val="left"/>
      <w:lvlText w:val="(%2)"/>
      <w:numFmt w:val="lowerLetter"/>
      <w:start w:val="5"/>
    </w:lvl>
  </w:abstractNum>
  <w:abstractNum w:abstractNumId="40">
    <w:nsid w:val="38437FDB"/>
    <w:multiLevelType w:val="hybridMultilevel"/>
    <w:lvl w:ilvl="0">
      <w:lvlJc w:val="left"/>
      <w:lvlText w:val="(%1)"/>
      <w:numFmt w:val="decimal"/>
      <w:start w:val="2"/>
    </w:lvl>
    <w:lvl w:ilvl="1">
      <w:lvlJc w:val="left"/>
      <w:lvlText w:val="(%2)"/>
      <w:numFmt w:val="lowerLetter"/>
      <w:start w:val="7"/>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upperLetter"/>
      <w:start w:val="1"/>
    </w:lvl>
  </w:abstractNum>
  <w:abstractNum w:abstractNumId="45">
    <w:nsid w:val="749ABB43"/>
    <w:multiLevelType w:val="hybridMultilevel"/>
    <w:lvl w:ilvl="0">
      <w:lvlJc w:val="left"/>
      <w:lvlText w:val="%1."/>
      <w:numFmt w:val="decimal"/>
      <w:start w:val="2"/>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png"/><Relationship Id="rId18" Type="http://schemas.openxmlformats.org/officeDocument/2006/relationships/hyperlink" Target="http://www.sec.gov/Archives/edgar/data/1029199/000101410809000126/ewi-ex32toform8k_8353998v3.htm" TargetMode="External"/><Relationship Id="rId19" Type="http://schemas.openxmlformats.org/officeDocument/2006/relationships/hyperlink" Target="http://www.sec.gov/Archives/edgar/data/1029199/000101410809000126/ewi-ex31toform8k_8353998v3.htm" TargetMode="External"/><Relationship Id="rId20" Type="http://schemas.openxmlformats.org/officeDocument/2006/relationships/hyperlink" Target="http://www.sec.gov/Archives/edgar/data/1029199/000101410813000094/ex31-certofrights.htm" TargetMode="External"/><Relationship Id="rId21" Type="http://schemas.openxmlformats.org/officeDocument/2006/relationships/hyperlink" Target="http://www.sec.gov/Archives/edgar/data/1029199/000102919917000004/exhibit32-amendedandrestat.htm" TargetMode="External"/><Relationship Id="rId22" Type="http://schemas.openxmlformats.org/officeDocument/2006/relationships/hyperlink" Target="http://www.sec.gov/Archives/edgar/data/1029199/000119312514398639/d817126dex41.htm" TargetMode="External"/><Relationship Id="rId23" Type="http://schemas.openxmlformats.org/officeDocument/2006/relationships/hyperlink" Target="https://www.sec.gov/Archives/edgar/data/1029199/000102919919000025/exhibit41indenture.htm" TargetMode="External"/><Relationship Id="rId24" Type="http://schemas.openxmlformats.org/officeDocument/2006/relationships/hyperlink" Target="http://www.sec.gov/Archives/edgar/data/1029199/000102919919000025/exhibit41indenture.htm" TargetMode="External"/><Relationship Id="rId25" Type="http://schemas.openxmlformats.org/officeDocument/2006/relationships/hyperlink" Target="http://www.sec.gov/Archives/edgar/data/1029199/000095013706008670/c07036exv10w8.htm" TargetMode="External"/><Relationship Id="rId26" Type="http://schemas.openxmlformats.org/officeDocument/2006/relationships/hyperlink" Target="http://www.sec.gov/Archives/edgar/data/1029199/000095013707002990/c11971exv10w39.htm" TargetMode="External"/><Relationship Id="rId27" Type="http://schemas.openxmlformats.org/officeDocument/2006/relationships/hyperlink" Target="http://www.sec.gov/Archives/edgar/data/1029199/000101410807000144/ewi-ex101toform8k_7640045.htm" TargetMode="External"/><Relationship Id="rId28" Type="http://schemas.openxmlformats.org/officeDocument/2006/relationships/hyperlink" Target="http://www.sec.gov/Archives/edgar/data/1029199/000095013708007169/c26311exv10w3.htm" TargetMode="External"/><Relationship Id="rId29" Type="http://schemas.openxmlformats.org/officeDocument/2006/relationships/hyperlink" Target="http://www.sec.gov/Archives/edgar/data/1029199/000095013708007169/c26311exv10w4.htm" TargetMode="External"/><Relationship Id="rId30" Type="http://schemas.openxmlformats.org/officeDocument/2006/relationships/hyperlink" Target="http://www.sec.gov/Archives/edgar/data/1029199/000095013708007169/c26311exv10w6.htm" TargetMode="External"/><Relationship Id="rId31" Type="http://schemas.openxmlformats.org/officeDocument/2006/relationships/hyperlink" Target="http://www.sec.gov/Archives/edgar/data/1029199/000095015208010588/c48372exv10w1.htm" TargetMode="External"/><Relationship Id="rId32" Type="http://schemas.openxmlformats.org/officeDocument/2006/relationships/hyperlink" Target="http://www.sec.gov/Archives/edgar/data/1029199/000102919913000010/pre14aproxystatement.htm" TargetMode="External"/><Relationship Id="rId33" Type="http://schemas.openxmlformats.org/officeDocument/2006/relationships/hyperlink" Target="http://www.sec.gov/Archives/edgar/data/1029199/000095012310046071/c57991exv10w1.htm" TargetMode="External"/><Relationship Id="rId34" Type="http://schemas.openxmlformats.org/officeDocument/2006/relationships/hyperlink" Target="http://www.sec.gov/Archives/edgar/data/1029199/000095012310046071/c57991exv10w2.htm" TargetMode="External"/><Relationship Id="rId35" Type="http://schemas.openxmlformats.org/officeDocument/2006/relationships/hyperlink" Target="http://www.sec.gov/Archives/edgar/data/1029199/000095012311018840/c61623exv10w25.htm" TargetMode="External"/><Relationship Id="rId36" Type="http://schemas.openxmlformats.org/officeDocument/2006/relationships/hyperlink" Target="http://www.sec.gov/Archives/edgar/data/1029199/000102919917000080/exhibit101nikosfountasempl.htm" TargetMode="External"/><Relationship Id="rId37" Type="http://schemas.openxmlformats.org/officeDocument/2006/relationships/hyperlink" Target="http://www.sec.gov/Archives/edgar/data/1029199/000095012311018840/c61623exv10w26.htm" TargetMode="External"/><Relationship Id="rId38" Type="http://schemas.openxmlformats.org/officeDocument/2006/relationships/hyperlink" Target="http://www.sec.gov/Archives/edgar/data/1029199/000102919916000143/eeft12312015ex1018.htm" TargetMode="External"/><Relationship Id="rId39" Type="http://schemas.openxmlformats.org/officeDocument/2006/relationships/hyperlink" Target="http://www.sec.gov/Archives/edgar/data/1029199/000102919916000159/def14aproxystatement-2016.htm" TargetMode="External"/><Relationship Id="rId40" Type="http://schemas.openxmlformats.org/officeDocument/2006/relationships/hyperlink" Target="http://www.sec.gov/Archives/edgar/data/1029199/000102919911000015/exhibit101creditagreement.htm" TargetMode="External"/><Relationship Id="rId41" Type="http://schemas.openxmlformats.org/officeDocument/2006/relationships/hyperlink" Target="http://www.sec.gov/Archives/edgar/data/1029199/000102919918000015/eeft12312017ex1019.htm" TargetMode="External"/><Relationship Id="rId42" Type="http://schemas.openxmlformats.org/officeDocument/2006/relationships/hyperlink" Target="http://www.sec.gov/Archives/edgar/data/1029199/000102919918000015/eeft12312017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2020-03-02T05:18:43Z</dcterms:created>
  <dcterms:modified xsi:type="dcterms:W3CDTF">2020-03-02T05:18:43Z</dcterms:modified>
</cp:coreProperties>
</file>