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446405</wp:posOffset>
            </wp:positionV>
            <wp:extent cx="7133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5"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65"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49"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(Mark</w:t>
      </w:r>
    </w:p>
    <w:p>
      <w:pPr>
        <w:spacing w:after="0" w:line="20"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One)</w:t>
      </w:r>
    </w:p>
    <w:p>
      <w:pPr>
        <w:ind w:left="2940" w:hanging="439"/>
        <w:spacing w:after="0" w:line="188" w:lineRule="auto"/>
        <w:tabs>
          <w:tab w:leader="none" w:pos="29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7"/>
          <w:szCs w:val="17"/>
          <w:b w:val="1"/>
          <w:bCs w:val="1"/>
          <w:color w:val="auto"/>
        </w:rPr>
        <w:t>ANNUAL REPORT PURSUANT TO SECTION 13 OR 15(d) OF THE</w:t>
      </w:r>
    </w:p>
    <w:p>
      <w:pPr>
        <w:spacing w:after="0" w:line="4" w:lineRule="exact"/>
        <w:rPr>
          <w:rFonts w:ascii="MS PGothic" w:cs="MS PGothic" w:eastAsia="MS PGothic" w:hAnsi="MS PGothic"/>
          <w:sz w:val="35"/>
          <w:szCs w:val="35"/>
          <w:color w:val="auto"/>
          <w:vertAlign w:val="subscript"/>
        </w:rPr>
      </w:pPr>
    </w:p>
    <w:p>
      <w:pPr>
        <w:ind w:left="4000"/>
        <w:spacing w:after="0"/>
        <w:rPr>
          <w:rFonts w:ascii="MS PGothic" w:cs="MS PGothic" w:eastAsia="MS PGothic" w:hAnsi="MS PGothic"/>
          <w:sz w:val="35"/>
          <w:szCs w:val="35"/>
          <w:color w:val="auto"/>
          <w:vertAlign w:val="subscript"/>
        </w:rPr>
      </w:pPr>
      <w:r>
        <w:rPr>
          <w:rFonts w:ascii="Arial" w:cs="Arial" w:eastAsia="Arial" w:hAnsi="Arial"/>
          <w:sz w:val="18"/>
          <w:szCs w:val="18"/>
          <w:b w:val="1"/>
          <w:bCs w:val="1"/>
          <w:color w:val="auto"/>
        </w:rPr>
        <w:t>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0" w:lineRule="exact"/>
        <w:rPr>
          <w:sz w:val="24"/>
          <w:szCs w:val="24"/>
          <w:color w:val="auto"/>
        </w:rPr>
      </w:pPr>
    </w:p>
    <w:p>
      <w:pPr>
        <w:ind w:left="2960" w:hanging="482"/>
        <w:spacing w:after="0"/>
        <w:tabs>
          <w:tab w:leader="none" w:pos="296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7"/>
          <w:szCs w:val="17"/>
          <w:b w:val="1"/>
          <w:bCs w:val="1"/>
          <w:color w:val="auto"/>
        </w:rPr>
        <w:t>TRANSITION REPORT PURSUANT TO SECTION 13 OR 15(d) OF</w:t>
      </w:r>
    </w:p>
    <w:p>
      <w:pPr>
        <w:spacing w:after="0" w:line="3" w:lineRule="exact"/>
        <w:rPr>
          <w:rFonts w:ascii="MS PGothic" w:cs="MS PGothic" w:eastAsia="MS PGothic" w:hAnsi="MS PGothic"/>
          <w:sz w:val="35"/>
          <w:szCs w:val="35"/>
          <w:color w:val="auto"/>
          <w:vertAlign w:val="subscript"/>
        </w:rPr>
      </w:pPr>
    </w:p>
    <w:p>
      <w:pPr>
        <w:ind w:left="3780"/>
        <w:spacing w:after="0"/>
        <w:rPr>
          <w:rFonts w:ascii="MS PGothic" w:cs="MS PGothic" w:eastAsia="MS PGothic" w:hAnsi="MS PGothic"/>
          <w:sz w:val="35"/>
          <w:szCs w:val="35"/>
          <w:color w:val="auto"/>
          <w:vertAlign w:val="subscript"/>
        </w:rPr>
      </w:pPr>
      <w:r>
        <w:rPr>
          <w:rFonts w:ascii="Arial" w:cs="Arial" w:eastAsia="Arial" w:hAnsi="Arial"/>
          <w:sz w:val="18"/>
          <w:szCs w:val="18"/>
          <w:b w:val="1"/>
          <w:bCs w:val="1"/>
          <w:color w:val="auto"/>
        </w:rPr>
        <w:t>THE SECURITIES EXCHANGE ACT OF 1934</w:t>
      </w:r>
    </w:p>
    <w:p>
      <w:pPr>
        <w:sectPr>
          <w:pgSz w:w="11900" w:h="16838" w:orient="portrait"/>
          <w:cols w:equalWidth="0" w:num="1">
            <w:col w:w="11260"/>
          </w:cols>
          <w:pgMar w:left="320" w:top="791" w:right="319" w:bottom="0" w:gutter="0" w:footer="0" w:header="0"/>
        </w:sectPr>
      </w:pPr>
    </w:p>
    <w:p>
      <w:pPr>
        <w:spacing w:after="0" w:line="41"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226" w:lineRule="exact"/>
        <w:rPr>
          <w:sz w:val="24"/>
          <w:szCs w:val="24"/>
          <w:color w:val="auto"/>
        </w:rPr>
      </w:pPr>
    </w:p>
    <w:p>
      <w:pPr>
        <w:sectPr>
          <w:pgSz w:w="11900" w:h="16838" w:orient="portrait"/>
          <w:cols w:equalWidth="0" w:num="2">
            <w:col w:w="6380" w:space="720"/>
            <w:col w:w="4160"/>
          </w:cols>
          <w:pgMar w:left="320" w:top="791" w:right="31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Commission File Number</w:t>
      </w:r>
    </w:p>
    <w:p>
      <w:pPr>
        <w:jc w:val="center"/>
        <w:ind w:right="20"/>
        <w:spacing w:after="0"/>
        <w:rPr>
          <w:sz w:val="20"/>
          <w:szCs w:val="20"/>
          <w:color w:val="auto"/>
        </w:rPr>
      </w:pPr>
      <w:r>
        <w:rPr>
          <w:rFonts w:ascii="Arial" w:cs="Arial" w:eastAsia="Arial" w:hAnsi="Arial"/>
          <w:sz w:val="18"/>
          <w:szCs w:val="18"/>
          <w:b w:val="1"/>
          <w:bCs w:val="1"/>
          <w:color w:val="auto"/>
        </w:rPr>
        <w:t>001-31648</w:t>
      </w: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1">
            <w:col w:w="11260"/>
          </w:cols>
          <w:pgMar w:left="320" w:top="791" w:right="319" w:bottom="0" w:gutter="0" w:footer="0" w:header="0"/>
          <w:type w:val="continuous"/>
        </w:sectPr>
      </w:pPr>
    </w:p>
    <w:p>
      <w:pPr>
        <w:spacing w:after="0" w:line="229"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74-2806888</w:t>
      </w:r>
    </w:p>
    <w:p>
      <w:pPr>
        <w:spacing w:after="0" w:line="84" w:lineRule="exact"/>
        <w:rPr>
          <w:sz w:val="24"/>
          <w:szCs w:val="24"/>
          <w:color w:val="auto"/>
        </w:rPr>
      </w:pPr>
    </w:p>
    <w:p>
      <w:pPr>
        <w:sectPr>
          <w:pgSz w:w="11900" w:h="16838" w:orient="portrait"/>
          <w:cols w:equalWidth="0" w:num="2">
            <w:col w:w="7280" w:space="720"/>
            <w:col w:w="3260"/>
          </w:cols>
          <w:pgMar w:left="320" w:top="791" w:right="319" w:bottom="0" w:gutter="0" w:footer="0" w:header="0"/>
          <w:type w:val="continuous"/>
        </w:sectPr>
      </w:pPr>
    </w:p>
    <w:p>
      <w:pPr>
        <w:ind w:left="5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88" w:lineRule="exact"/>
        <w:rPr>
          <w:sz w:val="24"/>
          <w:szCs w:val="24"/>
          <w:color w:val="auto"/>
        </w:rPr>
      </w:pPr>
    </w:p>
    <w:p>
      <w:pPr>
        <w:sectPr>
          <w:pgSz w:w="11900" w:h="16838" w:orient="portrait"/>
          <w:cols w:equalWidth="0" w:num="2">
            <w:col w:w="6340" w:space="720"/>
            <w:col w:w="4200"/>
          </w:cols>
          <w:pgMar w:left="320" w:top="791" w:right="319" w:bottom="0" w:gutter="0" w:footer="0" w:header="0"/>
          <w:type w:val="continuous"/>
        </w:sectPr>
      </w:pPr>
    </w:p>
    <w:p>
      <w:pPr>
        <w:ind w:left="1200"/>
        <w:spacing w:after="0"/>
        <w:rPr>
          <w:sz w:val="20"/>
          <w:szCs w:val="20"/>
          <w:color w:val="auto"/>
        </w:rPr>
      </w:pPr>
      <w:r>
        <w:rPr>
          <w:rFonts w:ascii="Arial" w:cs="Arial" w:eastAsia="Arial" w:hAnsi="Arial"/>
          <w:sz w:val="16"/>
          <w:szCs w:val="16"/>
          <w:color w:val="auto"/>
        </w:rPr>
        <w:t>11400 Tomahawk Creek Parkway, Suite 300</w:t>
      </w:r>
    </w:p>
    <w:p>
      <w:pPr>
        <w:sectPr>
          <w:pgSz w:w="11900" w:h="16838" w:orient="portrait"/>
          <w:cols w:equalWidth="0" w:num="1">
            <w:col w:w="11260"/>
          </w:cols>
          <w:pgMar w:left="320" w:top="791" w:right="319" w:bottom="0" w:gutter="0" w:footer="0" w:header="0"/>
          <w:type w:val="continuous"/>
        </w:sectPr>
      </w:pPr>
    </w:p>
    <w:p>
      <w:pPr>
        <w:spacing w:after="0" w:line="80" w:lineRule="exact"/>
        <w:rPr>
          <w:sz w:val="24"/>
          <w:szCs w:val="24"/>
          <w:color w:val="auto"/>
        </w:rPr>
      </w:pPr>
    </w:p>
    <w:p>
      <w:pPr>
        <w:ind w:left="2140"/>
        <w:spacing w:after="0"/>
        <w:rPr>
          <w:sz w:val="20"/>
          <w:szCs w:val="20"/>
          <w:color w:val="auto"/>
        </w:rPr>
      </w:pPr>
      <w:r>
        <w:rPr>
          <w:rFonts w:ascii="Arial" w:cs="Arial" w:eastAsia="Arial" w:hAnsi="Arial"/>
          <w:sz w:val="15"/>
          <w:szCs w:val="15"/>
          <w:color w:val="auto"/>
        </w:rPr>
        <w:t>Leawood</w:t>
      </w:r>
      <w:r>
        <w:rPr>
          <w:rFonts w:ascii="Arial" w:cs="Arial" w:eastAsia="Arial" w:hAnsi="Arial"/>
          <w:sz w:val="15"/>
          <w:szCs w:val="15"/>
          <w:b w:val="1"/>
          <w:bCs w:val="1"/>
          <w:color w:val="auto"/>
        </w:rPr>
        <w:t>, Kansas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66211</w:t>
      </w:r>
    </w:p>
    <w:p>
      <w:pPr>
        <w:spacing w:after="0" w:line="92" w:lineRule="exact"/>
        <w:rPr>
          <w:sz w:val="24"/>
          <w:szCs w:val="24"/>
          <w:color w:val="auto"/>
        </w:rPr>
      </w:pPr>
    </w:p>
    <w:p>
      <w:pPr>
        <w:sectPr>
          <w:pgSz w:w="11900" w:h="16838" w:orient="portrait"/>
          <w:cols w:equalWidth="0" w:num="2">
            <w:col w:w="7500" w:space="720"/>
            <w:col w:w="3040"/>
          </w:cols>
          <w:pgMar w:left="320" w:top="791" w:right="319" w:bottom="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40"/>
          </w:cols>
          <w:pgMar w:left="320" w:top="791" w:right="319" w:bottom="0" w:gutter="0" w:footer="0" w:header="0"/>
          <w:type w:val="continuous"/>
        </w:sectPr>
      </w:pP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(913) 327-4200</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31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Title of Each Class</w:t>
            </w:r>
          </w:p>
        </w:tc>
        <w:tc>
          <w:tcPr>
            <w:tcW w:w="1100" w:type="dxa"/>
            <w:vAlign w:val="bottom"/>
            <w:gridSpan w:val="5"/>
          </w:tcPr>
          <w:p>
            <w:pPr>
              <w:jc w:val="center"/>
              <w:ind w:right="40"/>
              <w:spacing w:after="0" w:line="195" w:lineRule="exact"/>
              <w:rPr>
                <w:sz w:val="20"/>
                <w:szCs w:val="20"/>
                <w:color w:val="auto"/>
              </w:rPr>
            </w:pPr>
            <w:r>
              <w:rPr>
                <w:rFonts w:ascii="Arial" w:cs="Arial" w:eastAsia="Arial" w:hAnsi="Arial"/>
                <w:sz w:val="18"/>
                <w:szCs w:val="18"/>
                <w:b w:val="1"/>
                <w:bCs w:val="1"/>
                <w:color w:val="auto"/>
                <w:w w:val="89"/>
              </w:rPr>
              <w:t>Symbol(s)</w:t>
            </w:r>
          </w:p>
        </w:tc>
        <w:tc>
          <w:tcPr>
            <w:tcW w:w="5060" w:type="dxa"/>
            <w:vAlign w:val="bottom"/>
            <w:gridSpan w:val="3"/>
          </w:tcPr>
          <w:p>
            <w:pPr>
              <w:jc w:val="center"/>
              <w:ind w:right="40"/>
              <w:spacing w:after="0" w:line="195" w:lineRule="exact"/>
              <w:rPr>
                <w:sz w:val="20"/>
                <w:szCs w:val="20"/>
                <w:color w:val="auto"/>
              </w:rPr>
            </w:pPr>
            <w:r>
              <w:rPr>
                <w:rFonts w:ascii="Arial" w:cs="Arial" w:eastAsia="Arial" w:hAnsi="Arial"/>
                <w:sz w:val="18"/>
                <w:szCs w:val="18"/>
                <w:b w:val="1"/>
                <w:bCs w:val="1"/>
                <w:color w:val="auto"/>
                <w:w w:val="89"/>
              </w:rPr>
              <w:t>Name of Each Exchange on Which Registered</w:t>
            </w:r>
          </w:p>
        </w:tc>
      </w:tr>
      <w:tr>
        <w:trPr>
          <w:trHeight w:val="47"/>
        </w:trPr>
        <w:tc>
          <w:tcPr>
            <w:tcW w:w="194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50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33"/>
        </w:trPr>
        <w:tc>
          <w:tcPr>
            <w:tcW w:w="5100" w:type="dxa"/>
            <w:vAlign w:val="bottom"/>
            <w:tcBorders>
              <w:left w:val="single" w:sz="8" w:color="auto"/>
              <w:right w:val="single" w:sz="8" w:color="auto"/>
            </w:tcBorders>
            <w:gridSpan w:val="3"/>
          </w:tcPr>
          <w:p>
            <w:pPr>
              <w:ind w:left="19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9"/>
              </w:rPr>
              <w:t>EEFT</w:t>
            </w:r>
          </w:p>
        </w:tc>
        <w:tc>
          <w:tcPr>
            <w:tcW w:w="76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0"/>
              </w:rPr>
              <w:t>Nasdaq Global Select Market</w:t>
            </w:r>
          </w:p>
        </w:tc>
      </w:tr>
      <w:tr>
        <w:trPr>
          <w:trHeight w:val="28"/>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3"/>
        </w:trPr>
        <w:tc>
          <w:tcPr>
            <w:tcW w:w="5100" w:type="dxa"/>
            <w:vAlign w:val="bottom"/>
            <w:tcBorders>
              <w:left w:val="single" w:sz="8" w:color="auto"/>
              <w:right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1.375% Senior Notes due 2026</w:t>
            </w:r>
          </w:p>
        </w:tc>
        <w:tc>
          <w:tcPr>
            <w:tcW w:w="140" w:type="dxa"/>
            <w:vAlign w:val="bottom"/>
          </w:tcPr>
          <w:p>
            <w:pPr>
              <w:spacing w:after="0"/>
              <w:rPr>
                <w:sz w:val="20"/>
                <w:szCs w:val="20"/>
                <w:color w:val="auto"/>
              </w:rPr>
            </w:pPr>
          </w:p>
        </w:tc>
        <w:tc>
          <w:tcPr>
            <w:tcW w:w="9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EEFT26</w:t>
            </w:r>
          </w:p>
        </w:tc>
        <w:tc>
          <w:tcPr>
            <w:tcW w:w="76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1"/>
              </w:rPr>
              <w:t>Nasdaq Global Market</w:t>
            </w:r>
          </w:p>
        </w:tc>
      </w:tr>
      <w:tr>
        <w:trPr>
          <w:trHeight w:val="28"/>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ind w:left="4500"/>
        <w:spacing w:after="0" w:line="226" w:lineRule="auto"/>
        <w:rPr>
          <w:sz w:val="20"/>
          <w:szCs w:val="20"/>
          <w:color w:val="auto"/>
        </w:rPr>
      </w:pPr>
      <w:r>
        <w:rPr>
          <w:rFonts w:ascii="Arial" w:cs="Arial" w:eastAsia="Arial" w:hAnsi="Arial"/>
          <w:sz w:val="18"/>
          <w:szCs w:val="18"/>
          <w:color w:val="auto"/>
        </w:rPr>
        <w:t>_________________________</w:t>
      </w:r>
    </w:p>
    <w:p>
      <w:pPr>
        <w:ind w:right="1720"/>
        <w:spacing w:after="0" w:line="31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0"/>
        <w:spacing w:after="0" w:line="20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right="2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ind w:right="20"/>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68"/>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0"/>
        </w:trPr>
        <w:tc>
          <w:tcPr>
            <w:tcW w:w="2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6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left="40" w:right="240"/>
        <w:spacing w:after="0" w:line="27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1" w:lineRule="exact"/>
        <w:rPr>
          <w:sz w:val="24"/>
          <w:szCs w:val="24"/>
          <w:color w:val="auto"/>
        </w:rPr>
      </w:pPr>
    </w:p>
    <w:p>
      <w:pPr>
        <w:jc w:val="both"/>
        <w:ind w:right="20"/>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60"/>
          </w:cols>
          <w:pgMar w:left="320" w:top="791" w:right="319" w:bottom="0" w:gutter="0" w:footer="0" w:header="0"/>
          <w:type w:val="continuous"/>
        </w:sectPr>
      </w:pPr>
    </w:p>
    <w:bookmarkStart w:id="1" w:name="page2"/>
    <w:bookmarkEnd w:id="1"/>
    <w:p>
      <w:pPr>
        <w:spacing w:after="0" w:line="241" w:lineRule="auto"/>
        <w:rPr>
          <w:sz w:val="20"/>
          <w:szCs w:val="20"/>
          <w:color w:val="auto"/>
        </w:rPr>
      </w:pPr>
      <w:r>
        <w:rPr>
          <w:rFonts w:ascii="Arial" w:cs="Arial" w:eastAsia="Arial" w:hAnsi="Arial"/>
          <w:sz w:val="18"/>
          <w:szCs w:val="18"/>
          <w:color w:val="auto"/>
        </w:rPr>
        <w:t>As of June 30, 2020, the aggregate market value of the voting and non-voting common equity held by non-affiliates of the registrant was approximately $4.8 billion. The aggregate market value was determined based on the closing price of the Common Stock on June 30,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2021, the registrant had 52,752,851 shares of Common Stock outstanding.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Portions of the registrant's Proxy Statement for its 2021 Annual Meeting of Stockholders, which will be filed with the Securities and Exchange Commission no later than 120 days after December 31,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375285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0020" w:type="dxa"/>
            <w:vAlign w:val="bottom"/>
            <w:gridSpan w:val="5"/>
          </w:tcPr>
          <w:p>
            <w:pPr>
              <w:spacing w:after="0"/>
              <w:rPr>
                <w:sz w:val="20"/>
                <w:szCs w:val="20"/>
                <w:color w:val="auto"/>
              </w:rPr>
            </w:pPr>
            <w:r>
              <w:rPr>
                <w:rFonts w:ascii="Arial" w:cs="Arial" w:eastAsia="Arial" w:hAnsi="Arial"/>
                <w:sz w:val="18"/>
                <w:szCs w:val="18"/>
                <w:b w:val="1"/>
                <w:bCs w:val="1"/>
                <w:color w:val="auto"/>
              </w:rPr>
              <w:t>Table of Content</w:t>
            </w:r>
          </w:p>
        </w:tc>
        <w:tc>
          <w:tcPr>
            <w:tcW w:w="1220" w:type="dxa"/>
            <w:vAlign w:val="bottom"/>
          </w:tcPr>
          <w:p>
            <w:pPr>
              <w:spacing w:after="0"/>
              <w:rPr>
                <w:sz w:val="20"/>
                <w:szCs w:val="20"/>
                <w:color w:val="auto"/>
              </w:rPr>
            </w:pPr>
          </w:p>
        </w:tc>
      </w:tr>
      <w:tr>
        <w:trPr>
          <w:trHeight w:val="444"/>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0"/>
              </w:rPr>
              <w:t>Item Number</w:t>
            </w:r>
          </w:p>
        </w:tc>
        <w:tc>
          <w:tcPr>
            <w:tcW w:w="1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Item Description</w:t>
            </w:r>
          </w:p>
        </w:tc>
        <w:tc>
          <w:tcPr>
            <w:tcW w:w="12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528"/>
        </w:trPr>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1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76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6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86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Unresolved Staff Comments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Properties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6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36"/>
        </w:trPr>
        <w:tc>
          <w:tcPr>
            <w:tcW w:w="4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w:t>
              </w:r>
            </w:hyperlink>
          </w:p>
        </w:tc>
        <w:tc>
          <w:tcPr>
            <w:tcW w:w="12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60" w:type="dxa"/>
            <w:vAlign w:val="bottom"/>
            <w:gridSpan w:val="2"/>
          </w:tcPr>
          <w:p>
            <w:pPr>
              <w:spacing w:after="0"/>
              <w:rPr>
                <w:rFonts w:ascii="Arial" w:cs="Arial" w:eastAsia="Arial" w:hAnsi="Arial"/>
                <w:sz w:val="18"/>
                <w:szCs w:val="18"/>
                <w:u w:val="single" w:color="auto"/>
                <w:color w:val="0000EE"/>
                <w:w w:val="99"/>
              </w:rPr>
            </w:pPr>
            <w:hyperlink w:anchor="page36">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2"/>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86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86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86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Financial Statements and Supplementary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60" w:type="dxa"/>
            <w:vAlign w:val="bottom"/>
            <w:gridSpan w:val="2"/>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Changes in and Disagreements with Accountants on Accounting and Financial Disclosure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8860" w:type="dxa"/>
            <w:vAlign w:val="bottom"/>
            <w:gridSpan w:val="2"/>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Other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09"/>
        </w:trPr>
        <w:tc>
          <w:tcPr>
            <w:tcW w:w="4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III</w:t>
              </w:r>
            </w:hyperlink>
          </w:p>
        </w:tc>
        <w:tc>
          <w:tcPr>
            <w:tcW w:w="12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Directors, Executive Officers and 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Executive Compensation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Security Ownership of Certain Beneficial Owners and Management and Related Stockholder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Certain Relationships and Related Transactions, and Director Independence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86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Principal Accounting Fees and Services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09"/>
        </w:trPr>
        <w:tc>
          <w:tcPr>
            <w:tcW w:w="4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Part IV</w:t>
              </w:r>
            </w:hyperlink>
          </w:p>
        </w:tc>
        <w:tc>
          <w:tcPr>
            <w:tcW w:w="12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55"/>
        </w:trPr>
        <w:tc>
          <w:tcPr>
            <w:tcW w:w="4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860" w:type="dxa"/>
            <w:vAlign w:val="bottom"/>
            <w:gridSpan w:val="2"/>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Exhibits and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509"/>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60" w:type="dxa"/>
            <w:vAlign w:val="bottom"/>
            <w:gridSpan w:val="2"/>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Signatures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9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60" w:type="dxa"/>
            <w:vAlign w:val="bottom"/>
            <w:gridSpan w:val="2"/>
          </w:tcPr>
          <w:p>
            <w:pPr>
              <w:ind w:left="4420"/>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24"/>
                <w:szCs w:val="24"/>
                <w:color w:val="auto"/>
              </w:rPr>
            </w:pPr>
          </w:p>
        </w:tc>
      </w:tr>
      <w:tr>
        <w:trPr>
          <w:trHeight w:val="129"/>
        </w:trPr>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References in this report to "we," "our," "us," the "Company" and "Euronet" refer to Euronet Worldwide, Inc. and its subsidiaries unless the context indicates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Euronet is a leading electronic payments processing provider. We offer payment and transaction processing and distribution solutions to financial institutions, agents, retailers, merchants, content providers, and individual consumers. Our primary product offerings include comprehensive automated teller machine ("ATM"), point-of-sale ("POS"), card outsourcing, card issuing and merchant acquiring services; software solutions and cloud based payment solutions; electronic distribution of electronic payment products; foreign exchange services and international payment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2020:</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Electronic Fund Transfer ("EFT") Processing Segment processes transactions for a network of 37,729 ATMs and approximately 340,000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("DCC"), domestic and international ATM surcharge, advertising, customer relationship management ("CRM"), mobile top-up, bill payment, fraud management, foreign remittance payout, cardless payout, banknote recycling solutions and tax-refund services. Through this segment, we also offer a suite of integrated electronic financial transaction software solutions for electronic payment and transaction delivery systems. In 2020, the EFT Processing Segment accounted for approximately 19% of Euronet's consolidated revenues.</w:t>
      </w:r>
    </w:p>
    <w:p>
      <w:pPr>
        <w:spacing w:after="0" w:line="15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our worldwide distribution network. We operate a network that includes approximately 748,000 POS terminals that enable electronic processing of prepaid mobile airtime "top-up" services and other digital media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2020, the epay Segment accounted for approximately 33% of Euronet's consolidated revenues.</w:t>
      </w:r>
    </w:p>
    <w:p>
      <w:pPr>
        <w:spacing w:after="0" w:line="14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AFEX, and IME,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464,000 locations. xe is a provider of foreign currency exchange information on its currency data websites (www.xe.com and www.x-rates.com). We offer global account-to-account money transfer services through our websites (www.xe.com and https://transferxe.com) and xe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xe, we offer cash management solutions and foreign currency risk management services to small-and-medium sized businesses. We are one of the largest global money transfer companies measured by revenues and transaction volumes. In 2020, the Money Transfer Segment accounted for approximately 48% of Euronet's consolidated revenues.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1994 - </w:t>
      </w:r>
      <w:r>
        <w:rPr>
          <w:rFonts w:ascii="Arial" w:cs="Arial" w:eastAsia="Arial" w:hAnsi="Arial"/>
          <w:sz w:val="18"/>
          <w:szCs w:val="18"/>
          <w:color w:val="auto"/>
        </w:rPr>
        <w:t>Euronet was established as Euronet Bank Access Kft., a Hungarian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-67945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jc w:val="both"/>
        <w:ind w:left="540"/>
        <w:spacing w:after="0" w:line="248" w:lineRule="auto"/>
        <w:rPr>
          <w:sz w:val="20"/>
          <w:szCs w:val="20"/>
          <w:color w:val="auto"/>
        </w:rPr>
      </w:pPr>
      <w:r>
        <w:rPr>
          <w:rFonts w:ascii="Arial" w:cs="Arial" w:eastAsia="Arial" w:hAnsi="Arial"/>
          <w:sz w:val="18"/>
          <w:szCs w:val="18"/>
          <w:b w:val="1"/>
          <w:bCs w:val="1"/>
          <w:color w:val="auto"/>
        </w:rPr>
        <w:t xml:space="preserve">1997 - </w:t>
      </w:r>
      <w:r>
        <w:rPr>
          <w:rFonts w:ascii="Arial" w:cs="Arial" w:eastAsia="Arial" w:hAnsi="Arial"/>
          <w:sz w:val="18"/>
          <w:szCs w:val="18"/>
          <w:color w:val="auto"/>
        </w:rPr>
        <w:t>Euronet was reorganized in March 1997 in connection with its initial public offering, and at that time, our operating entities became wholly</w:t>
      </w:r>
      <w:r>
        <w:rPr>
          <w:rFonts w:ascii="Arial" w:cs="Arial" w:eastAsia="Arial" w:hAnsi="Arial"/>
          <w:sz w:val="18"/>
          <w:szCs w:val="18"/>
          <w:b w:val="1"/>
          <w:bCs w:val="1"/>
          <w:color w:val="auto"/>
        </w:rPr>
        <w:t xml:space="preserve"> </w:t>
      </w:r>
      <w:r>
        <w:rPr>
          <w:rFonts w:ascii="Arial" w:cs="Arial" w:eastAsia="Arial" w:hAnsi="Arial"/>
          <w:sz w:val="18"/>
          <w:szCs w:val="18"/>
          <w:color w:val="auto"/>
        </w:rPr>
        <w:t>owned subsidiaries of Euronet Services,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40"/>
        <w:spacing w:after="0" w:line="248" w:lineRule="auto"/>
        <w:rPr>
          <w:sz w:val="20"/>
          <w:szCs w:val="20"/>
          <w:color w:val="auto"/>
        </w:rPr>
      </w:pPr>
      <w:r>
        <w:rPr>
          <w:rFonts w:ascii="Arial" w:cs="Arial" w:eastAsia="Arial" w:hAnsi="Arial"/>
          <w:sz w:val="18"/>
          <w:szCs w:val="18"/>
          <w:b w:val="1"/>
          <w:bCs w:val="1"/>
          <w:color w:val="auto"/>
        </w:rPr>
        <w:t xml:space="preserve">1998 - </w:t>
      </w:r>
      <w:r>
        <w:rPr>
          <w:rFonts w:ascii="Arial" w:cs="Arial" w:eastAsia="Arial" w:hAnsi="Arial"/>
          <w:sz w:val="18"/>
          <w:szCs w:val="18"/>
          <w:color w:val="auto"/>
        </w:rPr>
        <w:t>In December 1998, we acquired Arkansas Systems, Inc. (now known as "Euronet USA"), a U.S.-based company that produces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transaction delivery systems software for retail banks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2001 - </w:t>
      </w:r>
      <w:r>
        <w:rPr>
          <w:rFonts w:ascii="Arial" w:cs="Arial" w:eastAsia="Arial" w:hAnsi="Arial"/>
          <w:sz w:val="18"/>
          <w:szCs w:val="18"/>
          <w:color w:val="auto"/>
        </w:rPr>
        <w:t>We changed our name from Euronet Services, Inc. to Euronet Worldwide, Inc. in August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b w:val="1"/>
          <w:bCs w:val="1"/>
          <w:color w:val="auto"/>
        </w:rPr>
        <w:t xml:space="preserve">2003 </w:t>
      </w:r>
      <w:r>
        <w:rPr>
          <w:rFonts w:ascii="Arial" w:cs="Arial" w:eastAsia="Arial" w:hAnsi="Arial"/>
          <w:sz w:val="17"/>
          <w:szCs w:val="17"/>
          <w:color w:val="auto"/>
        </w:rPr>
        <w:t>- We added a complementary business line through the acquisition of epay Limited (“epay”), which had offices in the U.K.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-71120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40" w:right="20"/>
        <w:spacing w:after="0" w:line="248" w:lineRule="auto"/>
        <w:rPr>
          <w:sz w:val="20"/>
          <w:szCs w:val="20"/>
          <w:color w:val="auto"/>
        </w:rPr>
      </w:pPr>
      <w:r>
        <w:rPr>
          <w:rFonts w:ascii="Arial" w:cs="Arial" w:eastAsia="Arial" w:hAnsi="Arial"/>
          <w:sz w:val="18"/>
          <w:szCs w:val="18"/>
          <w:b w:val="1"/>
          <w:bCs w:val="1"/>
          <w:color w:val="auto"/>
        </w:rPr>
        <w:t xml:space="preserve">2007 - </w:t>
      </w:r>
      <w:r>
        <w:rPr>
          <w:rFonts w:ascii="Arial" w:cs="Arial" w:eastAsia="Arial" w:hAnsi="Arial"/>
          <w:sz w:val="18"/>
          <w:szCs w:val="18"/>
          <w:color w:val="auto"/>
        </w:rPr>
        <w:t>We established the Money Transfer Segment after completing the acquisition of Los Angeles-based Ria, one of the largest global money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companies measured by revenues and transaction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40"/>
        <w:spacing w:after="0" w:line="248" w:lineRule="auto"/>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 We completed the acquisition of IME (M) Sdn Bhd ("IME") which provided Euronet with immediate entry into the Asian and Middle East</w:t>
      </w:r>
      <w:r>
        <w:rPr>
          <w:rFonts w:ascii="Arial" w:cs="Arial" w:eastAsia="Arial" w:hAnsi="Arial"/>
          <w:sz w:val="18"/>
          <w:szCs w:val="18"/>
          <w:b w:val="1"/>
          <w:bCs w:val="1"/>
          <w:color w:val="auto"/>
        </w:rPr>
        <w:t xml:space="preserve"> </w:t>
      </w:r>
      <w:r>
        <w:rPr>
          <w:rFonts w:ascii="Arial" w:cs="Arial" w:eastAsia="Arial" w:hAnsi="Arial"/>
          <w:sz w:val="18"/>
          <w:szCs w:val="18"/>
          <w:color w:val="auto"/>
        </w:rPr>
        <w:t>money transfer send markets. We also added a complementary business line through the acquisition of xe Corporation ("xe"), which provides currency-related data and international payment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-354965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51" w:lineRule="auto"/>
        <w:rPr>
          <w:sz w:val="20"/>
          <w:szCs w:val="20"/>
          <w:color w:val="auto"/>
        </w:rPr>
      </w:pPr>
      <w:r>
        <w:rPr>
          <w:rFonts w:ascii="Arial" w:cs="Arial" w:eastAsia="Arial" w:hAnsi="Arial"/>
          <w:sz w:val="18"/>
          <w:szCs w:val="18"/>
          <w:b w:val="1"/>
          <w:bCs w:val="1"/>
          <w:color w:val="auto"/>
        </w:rPr>
        <w:t xml:space="preserve">2019 – </w:t>
      </w:r>
      <w:r>
        <w:rPr>
          <w:rFonts w:ascii="Arial" w:cs="Arial" w:eastAsia="Arial" w:hAnsi="Arial"/>
          <w:sz w:val="18"/>
          <w:szCs w:val="18"/>
          <w:color w:val="auto"/>
        </w:rPr>
        <w:t>REN Ecosystem goes live and the migration of legacy software to the REN Ecosystem begins.</w:t>
      </w:r>
      <w:r>
        <w:rPr>
          <w:rFonts w:ascii="Arial" w:cs="Arial" w:eastAsia="Arial" w:hAnsi="Arial"/>
          <w:sz w:val="18"/>
          <w:szCs w:val="18"/>
          <w:b w:val="1"/>
          <w:bCs w:val="1"/>
          <w:color w:val="auto"/>
        </w:rPr>
        <w:t xml:space="preserve"> Current - </w:t>
      </w:r>
      <w:r>
        <w:rPr>
          <w:rFonts w:ascii="Arial" w:cs="Arial" w:eastAsia="Arial" w:hAnsi="Arial"/>
          <w:sz w:val="18"/>
          <w:szCs w:val="18"/>
          <w:color w:val="auto"/>
        </w:rPr>
        <w:t>Euronet conducts business globally, serving customers in approximately 175 countries. As of December 31, 2020, we have 13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centers, six in Europe, five in Asia Pacific and two in North America. We also maintain 66 business offices that are located in 43 countries. Our corporate offices are located in Leawood, Kansas,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-497205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-360680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Overview</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17, Business Segment Information,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DCC, domestic and international surcharge, advertising,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service financial institutions across Europe, the Middle East, Asia Pacific, and the United States. As of December 31, 2020, we operated 37,729 ATMs compared to 46,070 at December 31, 2019. The decrease was largely due to temporary closures of ATMs in response to the COVID-19 pandemic.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11.7% as indicated in the following table:</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920" w:type="dxa"/>
            <w:vAlign w:val="bottom"/>
          </w:tcPr>
          <w:p>
            <w:pPr>
              <w:spacing w:after="0"/>
              <w:rPr>
                <w:sz w:val="14"/>
                <w:szCs w:val="14"/>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r>
      <w:tr>
        <w:trPr>
          <w:trHeight w:val="20"/>
        </w:trPr>
        <w:tc>
          <w:tcPr>
            <w:tcW w:w="7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4640" w:type="dxa"/>
            <w:vAlign w:val="bottom"/>
            <w:gridSpan w:val="2"/>
          </w:tcPr>
          <w:p>
            <w:pPr>
              <w:spacing w:after="0"/>
              <w:rPr>
                <w:sz w:val="20"/>
                <w:szCs w:val="20"/>
                <w:color w:val="auto"/>
              </w:rPr>
            </w:pPr>
            <w:r>
              <w:rPr>
                <w:rFonts w:ascii="Arial" w:cs="Arial" w:eastAsia="Arial" w:hAnsi="Arial"/>
                <w:sz w:val="18"/>
                <w:szCs w:val="18"/>
                <w:color w:val="auto"/>
              </w:rPr>
              <w:t>EFT Processing Segment transactions per year</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1,885</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2,352</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2,721</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3,052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3,275</w:t>
            </w: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transactions for 2020 is the result of a significant increase in the volume of lower value, digitally-initiated payment processing transactions for an Asia Pacific customer's bank wallet and e-commerce site.</w:t>
      </w: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processing centers for the EFT Processing Segment are located in Germany, Hungary, India, China, and Pakistan. Our processing centers run two types of proprietary transaction switching software: our legacy ITM software, which we have used and sold to financial institutions since 1998 through our Software Solutions unit, an innovative switching software package named "REN", which is hosted in Germany and India, that was released in 2017. The processing centers operate 24 hours a day, seven days a week. We have been progressively transitioning all of our networks to REN.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and debit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8"/>
          <w:szCs w:val="8"/>
          <w:color w:val="auto"/>
        </w:rPr>
        <w:t>®</w:t>
      </w:r>
      <w:r>
        <w:rPr>
          <w:rFonts w:ascii="Arial" w:cs="Arial" w:eastAsia="Arial" w:hAnsi="Arial"/>
          <w:sz w:val="18"/>
          <w:szCs w:val="18"/>
          <w:color w:val="auto"/>
        </w:rPr>
        <w:t>, Visa</w:t>
      </w:r>
      <w:r>
        <w:rPr>
          <w:rFonts w:ascii="Arial" w:cs="Arial" w:eastAsia="Arial" w:hAnsi="Arial"/>
          <w:sz w:val="8"/>
          <w:szCs w:val="8"/>
          <w:color w:val="auto"/>
        </w:rPr>
        <w:t>®</w:t>
      </w:r>
      <w:r>
        <w:rPr>
          <w:rFonts w:ascii="Arial" w:cs="Arial" w:eastAsia="Arial" w:hAnsi="Arial"/>
          <w:sz w:val="18"/>
          <w:szCs w:val="18"/>
          <w:color w:val="auto"/>
        </w:rPr>
        <w:t>, Mastercard</w:t>
      </w:r>
      <w:r>
        <w:rPr>
          <w:rFonts w:ascii="Arial" w:cs="Arial" w:eastAsia="Arial" w:hAnsi="Arial"/>
          <w:sz w:val="8"/>
          <w:szCs w:val="8"/>
          <w:color w:val="auto"/>
        </w:rPr>
        <w:t>®</w:t>
      </w:r>
      <w:r>
        <w:rPr>
          <w:rFonts w:ascii="Arial" w:cs="Arial" w:eastAsia="Arial" w:hAnsi="Arial"/>
          <w:sz w:val="18"/>
          <w:szCs w:val="18"/>
          <w:color w:val="auto"/>
        </w:rPr>
        <w:t>, Diners Club International</w:t>
      </w:r>
      <w:r>
        <w:rPr>
          <w:rFonts w:ascii="Arial" w:cs="Arial" w:eastAsia="Arial" w:hAnsi="Arial"/>
          <w:sz w:val="8"/>
          <w:szCs w:val="8"/>
          <w:color w:val="auto"/>
        </w:rPr>
        <w:t>®</w:t>
      </w:r>
      <w:r>
        <w:rPr>
          <w:rFonts w:ascii="Arial" w:cs="Arial" w:eastAsia="Arial" w:hAnsi="Arial"/>
          <w:sz w:val="18"/>
          <w:szCs w:val="18"/>
          <w:color w:val="auto"/>
        </w:rPr>
        <w:t>, Discover</w:t>
      </w:r>
      <w:r>
        <w:rPr>
          <w:rFonts w:ascii="Arial" w:cs="Arial" w:eastAsia="Arial" w:hAnsi="Arial"/>
          <w:sz w:val="8"/>
          <w:szCs w:val="8"/>
          <w:color w:val="auto"/>
        </w:rPr>
        <w:t>®</w:t>
      </w:r>
      <w:r>
        <w:rPr>
          <w:rFonts w:ascii="Arial" w:cs="Arial" w:eastAsia="Arial" w:hAnsi="Arial"/>
          <w:sz w:val="18"/>
          <w:szCs w:val="18"/>
          <w:color w:val="auto"/>
        </w:rPr>
        <w:t xml:space="preserve"> and UnionPay International</w:t>
      </w:r>
      <w:r>
        <w:rPr>
          <w:rFonts w:ascii="Arial" w:cs="Arial" w:eastAsia="Arial" w:hAnsi="Arial"/>
          <w:sz w:val="8"/>
          <w:szCs w:val="8"/>
          <w:color w:val="auto"/>
        </w:rPr>
        <w:t>©</w:t>
      </w:r>
      <w:r>
        <w:rPr>
          <w:rFonts w:ascii="Arial" w:cs="Arial" w:eastAsia="Arial" w:hAnsi="Arial"/>
          <w:sz w:val="18"/>
          <w:szCs w:val="18"/>
          <w:color w:val="auto"/>
        </w:rPr>
        <w:t>, as well as international ATM networks such as PULSE</w:t>
      </w:r>
      <w:r>
        <w:rPr>
          <w:rFonts w:ascii="Arial" w:cs="Arial" w:eastAsia="Arial" w:hAnsi="Arial"/>
          <w:sz w:val="8"/>
          <w:szCs w:val="8"/>
          <w:color w:val="auto"/>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17"/>
          <w:szCs w:val="17"/>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-70485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Cash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Balance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Transactions not completed because the relevant card issuer does not give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Dynamic currency conversion;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Prepaid telecommunication recharges and other electronic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financial institution or organization may be used at all ATMs that we operate in a given market. In most markets, we operate under sponsorship by our own e-money licensed entities. In some markets, we have agreements with a financial institution under which we are designated as a service provider (which we refer to as "sponsorship agreements") for the acceptance of domestic cards and/or cards bearing international logos, such as Visa</w:t>
      </w:r>
      <w:r>
        <w:rPr>
          <w:rFonts w:ascii="Arial" w:cs="Arial" w:eastAsia="Arial" w:hAnsi="Arial"/>
          <w:sz w:val="8"/>
          <w:szCs w:val="8"/>
          <w:color w:val="auto"/>
        </w:rPr>
        <w:t>®</w:t>
      </w:r>
      <w:r>
        <w:rPr>
          <w:rFonts w:ascii="Arial" w:cs="Arial" w:eastAsia="Arial" w:hAnsi="Arial"/>
          <w:sz w:val="17"/>
          <w:szCs w:val="17"/>
          <w:color w:val="auto"/>
        </w:rPr>
        <w:t xml:space="preserve"> and Mastercard</w:t>
      </w:r>
      <w:r>
        <w:rPr>
          <w:rFonts w:ascii="Arial" w:cs="Arial" w:eastAsia="Arial" w:hAnsi="Arial"/>
          <w:sz w:val="8"/>
          <w:szCs w:val="8"/>
          <w:color w:val="auto"/>
        </w:rPr>
        <w:t>®</w:t>
      </w:r>
      <w:r>
        <w:rPr>
          <w:rFonts w:ascii="Arial" w:cs="Arial" w:eastAsia="Arial" w:hAnsi="Arial"/>
          <w:sz w:val="17"/>
          <w:szCs w:val="17"/>
          <w:color w:val="auto"/>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 Euronet is generally liable for the cash in the ATM networks.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7" w:name="page8"/>
    <w:bookmarkEnd w:id="7"/>
    <w:p>
      <w:pPr>
        <w:jc w:val="both"/>
        <w:spacing w:after="0" w:line="225"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network of owned or operated ATMs allows for the sale of additional financial and other products or services at a low incremental cost. We have developed value added services in addition to basic cash withdrawal and balance inquiry transactions. These value added services include mobile top-up, fraud management, bill payment, domestic and international surcharge, CRM, foreign remittance payout, cardless payout, banknote recycling, electronic content, ticket and voucher, and advertising. We are committed to the ongoing development of innovative new products and services to offer our EFT processing customers.</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3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our processing centers in the EFT Processing Segment, resulting in cost savings and added value compared to third-party license and maintenance options. Our proprietary software consists of our legacy ITM software, which we have used and sold to financial institutions since 1998 through our Software Solutions unit, and an innovative switching software package named REN that we released in 2017.</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currently operate REN in our processing center to process payments for our own networks in Europe and we are progressively transitioning all our networks globally to REN. The private cloud architecture of REN allows us to simultaneously deploy REN across multiple physical locations. REN is now operated for both internal resources and external customers with the launch of the REN Foundation for Mozambique's National Payments Network in 2020. REN is scalable and will allow us to offer payment and digital solutions to more third parties. In addition to payments processing, REN also supports other digital elements, including card issuing for physical and virtual cards, loyalty services, Know Your Customer compliance, real time settlement, inventory management, risk and fraud management and other services. REN will be used as a platform to connect Euronet assets to offer digital payment solutions, and is currently utilized within the epay and Money Transfer Segments.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surcharge, cardless payment, banknote recycling solutions, tax refund services, advertising, fraud management, bill payment, mobile top-up, CRM and foreign remittance payout.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8" w:name="page9"/>
    <w:bookmarkEnd w:id="8"/>
    <w:p>
      <w:pPr>
        <w:jc w:val="both"/>
        <w:spacing w:after="0" w:line="232"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could provide continued growth while minimizing our capital investment.</w:t>
      </w:r>
    </w:p>
    <w:p>
      <w:pPr>
        <w:spacing w:after="0" w:line="32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deactivating ATMs in tourist locations that experience significantly higher traffic during the summer. Seasonally deactivating involves shutting down the ATMs during the slower months and results in lower overall transaction volumes in the EFT Processing Segment during those months. As we have expanded our IAD network in tourist locations, the financial impact of seasonally deactivating has increased, because we continue to bear the expense of seasonally deactivated ATMs even though they do not generate transactions during the slower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we have contracts with government-owned banks to provide certain ATM driving and transaction switching services and mobile airtime recharge services. Additionally, certain government-owned banks are members of our shared ATM network in India and we provide software services to financial institutions partially owned by government-owned banks. In Austria, Croatia, Cyprus, Czech Republic, Denmark, Egypt, Germany, Hungary, Ireland, Italy, Malta, Poland, Portugal, Romania, Slovakia, Spain, and the United Kingdom, we lease land and other property for certain ATM sites from companies that are majority-owned by the government. In Pakistan, we have a contract with a government-owned bank to provide software support services. In China and Greece, we have contracts with clients and financial institutions that are partially owned by the government.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epay 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currently offer prepaid mobile airtime top-up services and other electronic content and payment processing services for various prepaid products, cards and services on a network of approximately 748,000 POS terminals across approximately 338,000 retailer locations in Europe, the Middle East, Asia Pacific, the United States and South America. Our processing centers for the epay Segment are located in the U.K., Germany, Italy, and the U.S.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 such as music, games and software, prepaid vouchers, transport payments, lottery payments, prepaid long distance and bill payment processing assistance through partnerships with various licensed money transmitters.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72"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The epay Segment generates commissions and processing fees from the distribution of electronic content and from telecommunications service providers for the sale and distribution of prepaid mobile airtime. In 2020, approximately 65% of total revenues and approximately 71% of gross profit for the epay Segment was from electronic content other than prepaid mobile airtime (digital media products).</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Customers using mobile phones generally pay for usage in one of two ways: (1) through "postpaid" accounts, where usage is billed at the end of each billing period, or (2) through "prepaid" accounts, where customers pay in advance by crediting their accounts prior to usage.</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7"/>
          <w:szCs w:val="17"/>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jc w:val="both"/>
        <w:spacing w:after="0" w:line="236" w:lineRule="auto"/>
        <w:rPr>
          <w:sz w:val="20"/>
          <w:szCs w:val="20"/>
          <w:color w:val="auto"/>
        </w:rPr>
      </w:pPr>
      <w:r>
        <w:rPr>
          <w:rFonts w:ascii="Arial" w:cs="Arial" w:eastAsia="Arial" w:hAnsi="Arial"/>
          <w:sz w:val="17"/>
          <w:szCs w:val="17"/>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 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retailer network and new retailer networks such as electronic channels. In the U.S., most prepaid digital media content is purchased for gifting; in markets outside the U.S., consumers generally purchase prepaid digital media content for self-use.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4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w:t>
      </w:r>
      <w:r>
        <w:rPr>
          <w:rFonts w:ascii="Arial" w:cs="Arial" w:eastAsia="Arial" w:hAnsi="Arial"/>
          <w:sz w:val="9"/>
          <w:szCs w:val="9"/>
          <w:color w:val="auto"/>
        </w:rPr>
        <w:t>®</w:t>
      </w:r>
      <w:r>
        <w:rPr>
          <w:rFonts w:ascii="Arial" w:cs="Arial" w:eastAsia="Arial" w:hAnsi="Arial"/>
          <w:sz w:val="17"/>
          <w:szCs w:val="17"/>
          <w:color w:val="auto"/>
        </w:rPr>
        <w:t xml:space="preserve"> or Mastercard</w:t>
      </w:r>
      <w:r>
        <w:rPr>
          <w:rFonts w:ascii="Arial" w:cs="Arial" w:eastAsia="Arial" w:hAnsi="Arial"/>
          <w:sz w:val="9"/>
          <w:szCs w:val="9"/>
          <w:color w:val="auto"/>
        </w:rPr>
        <w:t>®</w:t>
      </w:r>
      <w:r>
        <w:rPr>
          <w:rFonts w:ascii="Arial" w:cs="Arial" w:eastAsia="Arial" w:hAnsi="Arial"/>
          <w:sz w:val="17"/>
          <w:szCs w:val="17"/>
          <w:color w:val="auto"/>
        </w:rPr>
        <w:t>) and are honored at multiple, unaffiliated locations (wherever cards from these networks are generally accepted). They are not merchant-specific. We distribute and issue single-use, non-reloadable open loop gift cards carrying the Visa</w:t>
      </w:r>
      <w:r>
        <w:rPr>
          <w:rFonts w:ascii="Arial" w:cs="Arial" w:eastAsia="Arial" w:hAnsi="Arial"/>
          <w:sz w:val="9"/>
          <w:szCs w:val="9"/>
          <w:color w:val="auto"/>
        </w:rPr>
        <w:t>®</w:t>
      </w:r>
      <w:r>
        <w:rPr>
          <w:rFonts w:ascii="Arial" w:cs="Arial" w:eastAsia="Arial" w:hAnsi="Arial"/>
          <w:sz w:val="17"/>
          <w:szCs w:val="17"/>
          <w:color w:val="auto"/>
        </w:rPr>
        <w:t xml:space="preserve"> brand in our retail channels. After the consumer purchases the preloaded value gift card at a retail store location or online, the consumer must call the toll-free number on the back of the card to activate 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distribute Visa</w:t>
      </w:r>
      <w:r>
        <w:rPr>
          <w:rFonts w:ascii="Arial" w:cs="Arial" w:eastAsia="Arial" w:hAnsi="Arial"/>
          <w:sz w:val="9"/>
          <w:szCs w:val="9"/>
          <w:color w:val="auto"/>
        </w:rPr>
        <w:t>®</w:t>
      </w:r>
      <w:r>
        <w:rPr>
          <w:rFonts w:ascii="Arial" w:cs="Arial" w:eastAsia="Arial" w:hAnsi="Arial"/>
          <w:sz w:val="17"/>
          <w:szCs w:val="17"/>
          <w:color w:val="auto"/>
        </w:rPr>
        <w:t xml:space="preserve"> and Mastercard</w:t>
      </w:r>
      <w:r>
        <w:rPr>
          <w:rFonts w:ascii="Arial" w:cs="Arial" w:eastAsia="Arial" w:hAnsi="Arial"/>
          <w:sz w:val="9"/>
          <w:szCs w:val="9"/>
          <w:color w:val="auto"/>
        </w:rPr>
        <w:t>®</w:t>
      </w:r>
      <w:r>
        <w:rPr>
          <w:rFonts w:ascii="Arial" w:cs="Arial" w:eastAsia="Arial" w:hAnsi="Arial"/>
          <w:sz w:val="17"/>
          <w:szCs w:val="17"/>
          <w:color w:val="auto"/>
        </w:rPr>
        <w:t xml:space="preserve">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6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In certain locations, the terminals used for prepaid services can also be used for electronic funds transfer to process credit and debit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3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48"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The number of transactions processed on our POS networks has increased over the last five years at a compound annual growth rate ("CAGR") of approximately 13.1% as indicated in the following table: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r>
      <w:tr>
        <w:trPr>
          <w:trHeight w:val="20"/>
        </w:trPr>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432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00" w:type="dxa"/>
            <w:vAlign w:val="bottom"/>
            <w:gridSpan w:val="3"/>
          </w:tcPr>
          <w:p>
            <w:pPr>
              <w:jc w:val="right"/>
              <w:ind w:right="360"/>
              <w:spacing w:after="0"/>
              <w:rPr>
                <w:sz w:val="20"/>
                <w:szCs w:val="20"/>
                <w:color w:val="auto"/>
              </w:rPr>
            </w:pPr>
            <w:r>
              <w:rPr>
                <w:rFonts w:ascii="Arial" w:cs="Arial" w:eastAsia="Arial" w:hAnsi="Arial"/>
                <w:sz w:val="18"/>
                <w:szCs w:val="18"/>
                <w:color w:val="auto"/>
              </w:rPr>
              <w:t>1,294</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1,186</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1,149</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1,542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2,395</w:t>
            </w: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loss of a high-volume, low-margin customer in the Middle East in 2017 contributed to a decline in processing transactions in 2017 and 2018. The addition of a high-volume, low-margin market in India contributed to an overall increase in processing transactions in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Sony, and Microsoft.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Seasonality</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7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Transurban Limited, the largest manager of toll road networks in Australia, Cubic supporting New South Wales Transport ticketing in Australia and with New Zealand Transport Authority, which operates all toll roads in New Zealand. In Germany, Cadooz has a contract with Deutsche Bahn, which is majority owned by the German state. We also have a contract for the processing of mobile airtime with a Saudi company, which is majority owned by the Saudi government. There are no other government contracts in the epay Segment.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able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provide global money transfer services primarily under the brand names Ria, IME, AFEX, and xe. Ria and IME provide consumer-to-consumer money transfer services through a global network of more than 464,000 locations and our websites riamoneytransfer.com and online.imeremit.com. Most of our money transfers are originated through sending agents in approximately 43 countries, with money transfer delivery completed in 159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addition, we provide global account-to-account money transfer services under the brand name xe. We offer money transfer services via our websites (www.xe.com and https://transferxe.com) and through customer service representatives. xe also provides foreign currency exchange information on its currency data websites (www.xe.com and www.x-rates.com). Through xe, we offer cash management solutions and foreign currency risk management services to small-and-medium sized businesses.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3" w:name="page14"/>
    <w:bookmarkEnd w:id="13"/>
    <w:p>
      <w:pPr>
        <w:jc w:val="both"/>
        <w:spacing w:after="0" w:line="241"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7.2% as indicated in the following table:</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r>
      <w:tr>
        <w:trPr>
          <w:trHeight w:val="20"/>
        </w:trPr>
        <w:tc>
          <w:tcPr>
            <w:tcW w:w="7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430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20" w:type="dxa"/>
            <w:vAlign w:val="bottom"/>
            <w:gridSpan w:val="3"/>
          </w:tcPr>
          <w:p>
            <w:pPr>
              <w:jc w:val="right"/>
              <w:ind w:right="400"/>
              <w:spacing w:after="0"/>
              <w:rPr>
                <w:sz w:val="20"/>
                <w:szCs w:val="20"/>
                <w:color w:val="auto"/>
              </w:rPr>
            </w:pPr>
            <w:r>
              <w:rPr>
                <w:rFonts w:ascii="Arial" w:cs="Arial" w:eastAsia="Arial" w:hAnsi="Arial"/>
                <w:sz w:val="18"/>
                <w:szCs w:val="18"/>
                <w:color w:val="auto"/>
              </w:rPr>
              <w:t>82.3</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92.2</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107.6</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114.5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116.5</w:t>
            </w:r>
          </w:p>
        </w:tc>
      </w:tr>
    </w:tbl>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the U.S., the U.K., New Zealand, and Malaysia.</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one of the largest global money transfer companies measured by revenues and transaction volumes. Our Money Transfer Segment processed approximately $54 billion in money transfers in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Money transfer products and services are sold primarily through three channels: at agent locations, Company-owned stores and on internet enabled devices at riamoneytransfer.com, online.imeremit.com, xe.com, and https://transferxe.com (online transactions). In an online transaction, customers send funds, using a bank account or credit or debit card, for pay-out at most of our agent locations around the world or directly to a bank account.</w:t>
      </w:r>
    </w:p>
    <w:p>
      <w:pPr>
        <w:spacing w:after="0" w:line="14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7,000 companies, including electric and gas utilities and telephone/wireless companies. Bill payment services are offered primarily in the 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6"/>
          <w:szCs w:val="16"/>
          <w:color w:val="auto"/>
        </w:rPr>
        <w:t>xe offers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17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Austria, Bangladesh, Belarus, Belgium, Benin, Bhutan, Bolivia, Bosnia-Herzegovina, Botswana, Burkina Faso, Burundi, Cameroon, Cape Verde, Chad, China, Costa Rica, Cote d'Ivoire, Cuba, Djibouti, Dominican Republic, Ecuador, Egypt, El Salvador, Eritrea, Ethiopia, Fiji, Gabon, Gambia, Georgia, Ghana, Guatemala, Guinea, Guinea - Bissau, Honduras, India, Indonesia, Italy, Jordan, Kenya, Kyrgyzstan, Laos, Liberia, Madagascar, Malaysia, Mali, Mauritania, Mauritius, Mexico, Moldova, Morocco, Myanmar, Niger, Nigeria, Pakistan, Philippines, Poland, Romania, Rwanda, Saudi Arabia, Serbia, Senegal, Sri Lanka, Suriname, Tanzania, Thailand, Togo, Tunisia, Turkey, Uganda, Ukraine, Uzbekistan, Vietnam, Yemen, Zambia, and Zimbabwe.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and digital currencies. Our continued growth also depends upon our ability to compete effectively with these alternative technologies.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Employees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had approximately 8,100, 7,700 and 7,100 employees as of December 31, 2020, 2019, and 2018,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2020 and we consider relations with our employees to be good.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European product offerings, including in particular, our money transfer services, merchant acquiring and bill payment products, are regulated payment services requiring a license under the Second Payment Services Directive, or PSD2, which replaced the Payment Services Directive, or PSD, effective January 13, 2018. Key changes made by PSD2 include: creation of two new payment service types, extension of PSD rules on transparency to additional transactions not previously covered by PSD; enhanced cooperation and information exchange between authorities in the context of authorization and supervision of payment institutions and electronic money institutions; and increased obligations around the management of operational and security risk and the notification of incidents, increased obligations relating to complaints handling and additional requirements regarding payment security. PSD2 as implemented in some member states also resulted in some of our European licensed institutions needing to go through a re-authorisation process.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Traditionally, we passported our U.K., German and Spanish payment services authorizations to several Member States. As a result of Brexit, our U.K, payment institution is no longer capable of passporting its license in 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 Prior to the end of the Brexit transition period, our e-money license was passported into over twenty-five EEA Member States. As a result of Brexit, we have restructured the regulated services provided by our U.K. e-money institution in the EEA Member States and transitioned them to our other payment service licenses that can still operate in the EEA. The e-money institution will continue to operate in the U.K. unchanged.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4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("BSA"), the Financial Crimes Enforcement Network ("FINCEN"), as well as any existing or future regulations that impact any aspect of our money transfer business.</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requires that financial institutions have in place policies regarding the collection, processing, storage and disclosure of information considered nonpublic personal information. Laws in other countries include the E.U.'s General Data Protection Regulation (2016/679) ("GDPR"), which became effective from May 25, 2018, as well as the laws of other countries.</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comply with the GLBA and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Despite the July 2020 ruling of the European Court of Justice, we believe we remain in compliance with E.U. regulations regarding the transfer of personal data to the United States and other jurisdictions.</w:t>
      </w:r>
    </w:p>
    <w:p>
      <w:pPr>
        <w:spacing w:after="0" w:line="14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Sanctions Compliance</w:t>
      </w:r>
    </w:p>
    <w:p>
      <w:pPr>
        <w:spacing w:after="0" w:line="14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In addition to anti-money laundering laws and regulations, our products and services are subject to economic and trade sanctions laws and regulations promulgated by OFAC and other jurisdictions in which our products and services are offered. 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Programs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4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brand names of "Ria," "Ria Financial Services," "Ria Envia," "xe," "AFEX," "IME,"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5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With respect to our epay Segment, we maintain registered trademarks for the "epay" brand and logo in the U.S., U.K., E.U. (through a Community Trademark application, which provides enforceability of the epay trademark in all member states of the European Union), Brazil, Australia and New Zealand. We have filed trademark applications for the “epay” brand in India and Singapore. The trademark applications in both countries are still pending.</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9" w:name="page20"/>
    <w:bookmarkEnd w:id="19"/>
    <w:p>
      <w:pPr>
        <w:ind w:left="404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19, 2021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90"/>
              </w:rPr>
              <w:t>Age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644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Position Held</w:t>
            </w:r>
          </w:p>
        </w:tc>
      </w:tr>
      <w:tr>
        <w:trPr>
          <w:trHeight w:val="247"/>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Brown</w:t>
            </w:r>
          </w:p>
        </w:tc>
        <w:tc>
          <w:tcPr>
            <w:tcW w:w="110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89"/>
              </w:rPr>
              <w:t>64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Chairman, Chief Executive Officer and President</w:t>
            </w:r>
          </w:p>
        </w:tc>
      </w:tr>
      <w:tr>
        <w:trPr>
          <w:trHeight w:val="240"/>
        </w:trPr>
        <w:tc>
          <w:tcPr>
            <w:tcW w:w="2140" w:type="dxa"/>
            <w:vAlign w:val="bottom"/>
          </w:tcPr>
          <w:p>
            <w:pPr>
              <w:ind w:left="40"/>
              <w:spacing w:after="0"/>
              <w:rPr>
                <w:sz w:val="20"/>
                <w:szCs w:val="20"/>
                <w:color w:val="auto"/>
              </w:rPr>
            </w:pPr>
            <w:r>
              <w:rPr>
                <w:rFonts w:ascii="Arial" w:cs="Arial" w:eastAsia="Arial" w:hAnsi="Arial"/>
                <w:sz w:val="18"/>
                <w:szCs w:val="18"/>
                <w:color w:val="auto"/>
              </w:rPr>
              <w:t>Rick L. Weller</w:t>
            </w:r>
          </w:p>
        </w:tc>
        <w:tc>
          <w:tcPr>
            <w:tcW w:w="1100" w:type="dxa"/>
            <w:vAlign w:val="bottom"/>
          </w:tcPr>
          <w:p>
            <w:pPr>
              <w:jc w:val="center"/>
              <w:ind w:left="273"/>
              <w:spacing w:after="0"/>
              <w:rPr>
                <w:sz w:val="20"/>
                <w:szCs w:val="20"/>
                <w:color w:val="auto"/>
              </w:rPr>
            </w:pPr>
            <w:r>
              <w:rPr>
                <w:rFonts w:ascii="Arial" w:cs="Arial" w:eastAsia="Arial" w:hAnsi="Arial"/>
                <w:sz w:val="18"/>
                <w:szCs w:val="18"/>
                <w:color w:val="auto"/>
                <w:w w:val="89"/>
              </w:rPr>
              <w:t>63</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November 2002</w:t>
            </w:r>
          </w:p>
        </w:tc>
        <w:tc>
          <w:tcPr>
            <w:tcW w:w="6440" w:type="dxa"/>
            <w:vAlign w:val="bottom"/>
          </w:tcPr>
          <w:p>
            <w:pPr>
              <w:ind w:left="180"/>
              <w:spacing w:after="0"/>
              <w:rPr>
                <w:sz w:val="20"/>
                <w:szCs w:val="20"/>
                <w:color w:val="auto"/>
              </w:rPr>
            </w:pPr>
            <w:r>
              <w:rPr>
                <w:rFonts w:ascii="Arial" w:cs="Arial" w:eastAsia="Arial" w:hAnsi="Arial"/>
                <w:sz w:val="18"/>
                <w:szCs w:val="18"/>
                <w:color w:val="auto"/>
              </w:rPr>
              <w:t>Executive Vice President - Chief Financial Officer</w:t>
            </w:r>
          </w:p>
        </w:tc>
      </w:tr>
      <w:tr>
        <w:trPr>
          <w:trHeight w:val="28"/>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48"/>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Scott D. Claassen</w:t>
            </w:r>
          </w:p>
        </w:tc>
        <w:tc>
          <w:tcPr>
            <w:tcW w:w="110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89"/>
              </w:rPr>
              <w:t>54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Counsel and Secretary</w:t>
            </w:r>
          </w:p>
        </w:tc>
      </w:tr>
      <w:tr>
        <w:trPr>
          <w:trHeight w:val="227"/>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w w:val="97"/>
              </w:rPr>
              <w:t>Executive Vice President - Chief Executive Officer, epay, Software and EFT Asia</w:t>
            </w:r>
          </w:p>
        </w:tc>
      </w:tr>
      <w:tr>
        <w:trPr>
          <w:trHeight w:val="227"/>
        </w:trPr>
        <w:tc>
          <w:tcPr>
            <w:tcW w:w="2140" w:type="dxa"/>
            <w:vAlign w:val="bottom"/>
          </w:tcPr>
          <w:p>
            <w:pPr>
              <w:ind w:left="40"/>
              <w:spacing w:after="0"/>
              <w:rPr>
                <w:sz w:val="20"/>
                <w:szCs w:val="20"/>
                <w:color w:val="auto"/>
              </w:rPr>
            </w:pPr>
            <w:r>
              <w:rPr>
                <w:rFonts w:ascii="Arial" w:cs="Arial" w:eastAsia="Arial" w:hAnsi="Arial"/>
                <w:sz w:val="18"/>
                <w:szCs w:val="18"/>
                <w:color w:val="auto"/>
              </w:rPr>
              <w:t>Kevin J. Caponecchi</w:t>
            </w:r>
          </w:p>
        </w:tc>
        <w:tc>
          <w:tcPr>
            <w:tcW w:w="1100" w:type="dxa"/>
            <w:vAlign w:val="bottom"/>
          </w:tcPr>
          <w:p>
            <w:pPr>
              <w:jc w:val="center"/>
              <w:ind w:left="273"/>
              <w:spacing w:after="0"/>
              <w:rPr>
                <w:sz w:val="20"/>
                <w:szCs w:val="20"/>
                <w:color w:val="auto"/>
              </w:rPr>
            </w:pPr>
            <w:r>
              <w:rPr>
                <w:rFonts w:ascii="Arial" w:cs="Arial" w:eastAsia="Arial" w:hAnsi="Arial"/>
                <w:sz w:val="18"/>
                <w:szCs w:val="18"/>
                <w:color w:val="auto"/>
                <w:w w:val="89"/>
              </w:rPr>
              <w:t>54</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6440" w:type="dxa"/>
            <w:vAlign w:val="bottom"/>
          </w:tcPr>
          <w:p>
            <w:pPr>
              <w:ind w:left="180"/>
              <w:spacing w:after="0"/>
              <w:rPr>
                <w:sz w:val="20"/>
                <w:szCs w:val="20"/>
                <w:color w:val="auto"/>
              </w:rPr>
            </w:pPr>
            <w:r>
              <w:rPr>
                <w:rFonts w:ascii="Arial" w:cs="Arial" w:eastAsia="Arial" w:hAnsi="Arial"/>
                <w:sz w:val="18"/>
                <w:szCs w:val="18"/>
                <w:color w:val="auto"/>
              </w:rPr>
              <w:t>Pacific Division</w:t>
            </w:r>
          </w:p>
        </w:tc>
      </w:tr>
      <w:tr>
        <w:trPr>
          <w:trHeight w:val="28"/>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48"/>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Juan C. Bianchi</w:t>
            </w:r>
          </w:p>
        </w:tc>
        <w:tc>
          <w:tcPr>
            <w:tcW w:w="110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89"/>
              </w:rPr>
              <w:t>50</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Executive Vice President - Chief Executive Officer, Money Transfer Segment</w:t>
            </w:r>
          </w:p>
        </w:tc>
      </w:tr>
      <w:tr>
        <w:trPr>
          <w:trHeight w:val="227"/>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w w:val="96"/>
              </w:rPr>
              <w:t>Executive Vice President - Chief Executive Officer, EFT Europe, Middle East and</w:t>
            </w:r>
          </w:p>
        </w:tc>
      </w:tr>
      <w:tr>
        <w:trPr>
          <w:trHeight w:val="227"/>
        </w:trPr>
        <w:tc>
          <w:tcPr>
            <w:tcW w:w="2140" w:type="dxa"/>
            <w:vAlign w:val="bottom"/>
          </w:tcPr>
          <w:p>
            <w:pPr>
              <w:ind w:left="40"/>
              <w:spacing w:after="0"/>
              <w:rPr>
                <w:sz w:val="20"/>
                <w:szCs w:val="20"/>
                <w:color w:val="auto"/>
              </w:rPr>
            </w:pPr>
            <w:r>
              <w:rPr>
                <w:rFonts w:ascii="Arial" w:cs="Arial" w:eastAsia="Arial" w:hAnsi="Arial"/>
                <w:sz w:val="18"/>
                <w:szCs w:val="18"/>
                <w:color w:val="auto"/>
              </w:rPr>
              <w:t>Nikos Fountas</w:t>
            </w:r>
          </w:p>
        </w:tc>
        <w:tc>
          <w:tcPr>
            <w:tcW w:w="1100" w:type="dxa"/>
            <w:vAlign w:val="bottom"/>
          </w:tcPr>
          <w:p>
            <w:pPr>
              <w:jc w:val="center"/>
              <w:ind w:left="273"/>
              <w:spacing w:after="0"/>
              <w:rPr>
                <w:sz w:val="20"/>
                <w:szCs w:val="20"/>
                <w:color w:val="auto"/>
              </w:rPr>
            </w:pPr>
            <w:r>
              <w:rPr>
                <w:rFonts w:ascii="Arial" w:cs="Arial" w:eastAsia="Arial" w:hAnsi="Arial"/>
                <w:sz w:val="18"/>
                <w:szCs w:val="18"/>
                <w:color w:val="auto"/>
                <w:w w:val="89"/>
              </w:rPr>
              <w:t>57</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September 2009</w:t>
            </w:r>
          </w:p>
        </w:tc>
        <w:tc>
          <w:tcPr>
            <w:tcW w:w="6440" w:type="dxa"/>
            <w:vAlign w:val="bottom"/>
          </w:tcPr>
          <w:p>
            <w:pPr>
              <w:ind w:left="180"/>
              <w:spacing w:after="0"/>
              <w:rPr>
                <w:sz w:val="20"/>
                <w:szCs w:val="20"/>
                <w:color w:val="auto"/>
              </w:rPr>
            </w:pPr>
            <w:r>
              <w:rPr>
                <w:rFonts w:ascii="Arial" w:cs="Arial" w:eastAsia="Arial" w:hAnsi="Arial"/>
                <w:sz w:val="18"/>
                <w:szCs w:val="18"/>
                <w:color w:val="auto"/>
              </w:rPr>
              <w:t>Africa Division</w:t>
            </w:r>
          </w:p>
        </w:tc>
      </w:tr>
      <w:tr>
        <w:trPr>
          <w:trHeight w:val="28"/>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40"/>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Martin L. Bruckner</w:t>
            </w:r>
          </w:p>
        </w:tc>
        <w:tc>
          <w:tcPr>
            <w:tcW w:w="11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9"/>
              </w:rPr>
              <w:t>45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2014</w:t>
            </w: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Vice President - Chief Technology Officer</w:t>
            </w:r>
          </w:p>
        </w:tc>
      </w:tr>
      <w:tr>
        <w:trPr>
          <w:trHeight w:val="28"/>
        </w:trPr>
        <w:tc>
          <w:tcPr>
            <w:tcW w:w="2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r>
    </w:tbl>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SCOTT D. CLAASSEN, General Counsel and Secretary. Mr. Claassen has been General Counsel and Secretary of Euronet since joining the Company in May 2020. Prior to this, he practiced corporate law with Stinson LLP and Shook, Hardy and Bacon LLP. He is a member of the Missouri bar. He received a B.S. in Agriculture from Kansas State University, an MBA from the University of Kansas and a law degree from Harvard Law School.</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20" w:name="page21"/>
    <w:bookmarkEnd w:id="20"/>
    <w:p>
      <w:pPr>
        <w:jc w:val="both"/>
        <w:spacing w:after="0"/>
        <w:rPr>
          <w:sz w:val="20"/>
          <w:szCs w:val="20"/>
          <w:color w:val="auto"/>
        </w:rPr>
      </w:pPr>
      <w:r>
        <w:rPr>
          <w:rFonts w:ascii="Arial" w:cs="Arial" w:eastAsia="Arial" w:hAnsi="Arial"/>
          <w:sz w:val="17"/>
          <w:szCs w:val="17"/>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4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7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"Corporate Governance / Documents and Charters".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366FF"/>
        </w:rPr>
        <w:t>GOVERNMENT AND REGULATION</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Because we are a multinational company conducting a complex business in many markets worldwide, we are subject to legal and operational risks related to </w:t>
      </w:r>
      <w:r>
        <w:rPr>
          <w:rFonts w:ascii="Arial" w:cs="Arial" w:eastAsia="Arial" w:hAnsi="Arial"/>
          <w:sz w:val="18"/>
          <w:szCs w:val="18"/>
          <w:color w:val="auto"/>
        </w:rPr>
        <w:t>a</w:t>
      </w:r>
      <w:r>
        <w:rPr>
          <w:rFonts w:ascii="Arial" w:cs="Arial" w:eastAsia="Arial" w:hAnsi="Arial"/>
          <w:sz w:val="18"/>
          <w:szCs w:val="18"/>
          <w:b w:val="1"/>
          <w:bCs w:val="1"/>
          <w:color w:val="auto"/>
        </w:rPr>
        <w:t xml:space="preserve"> broad array of local legal and regulatory requirements which could adversely affect our operations.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Operating outside of the U.S. creates difficulties associated with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anti-money laundering, sanctions, employment, transfer pricing and other laws or regulations to which we may be subject. We also cannot assure you that these laws will not be modified in ways that may adversely affect our business.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our epay Segment, as we continue to expand our electronic payment product offerings, certain of those products may become regulated by state, federal or foreign laws, rules and regulations, including the U.S.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4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4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Additionally, the evolving regulatory environment may change the competitive landscape across various jurisdictions and adversely affect our financial results. If governments implement new laws or regulations, or organizations such as Visa</w:t>
      </w:r>
      <w:r>
        <w:rPr>
          <w:rFonts w:ascii="Arial" w:cs="Arial" w:eastAsia="Arial" w:hAnsi="Arial"/>
          <w:sz w:val="8"/>
          <w:szCs w:val="8"/>
          <w:color w:val="auto"/>
        </w:rPr>
        <w:t>®</w:t>
      </w:r>
      <w:r>
        <w:rPr>
          <w:rFonts w:ascii="Arial" w:cs="Arial" w:eastAsia="Arial" w:hAnsi="Arial"/>
          <w:sz w:val="18"/>
          <w:szCs w:val="18"/>
          <w:color w:val="auto"/>
        </w:rPr>
        <w:t xml:space="preserve"> and Mastercard</w:t>
      </w:r>
      <w:r>
        <w:rPr>
          <w:rFonts w:ascii="Arial" w:cs="Arial" w:eastAsia="Arial" w:hAnsi="Arial"/>
          <w:sz w:val="8"/>
          <w:szCs w:val="8"/>
          <w:color w:val="auto"/>
        </w:rPr>
        <w:t>®</w:t>
      </w:r>
      <w:r>
        <w:rPr>
          <w:rFonts w:ascii="Arial" w:cs="Arial" w:eastAsia="Arial" w:hAnsi="Arial"/>
          <w:sz w:val="18"/>
          <w:szCs w:val="18"/>
          <w:color w:val="auto"/>
        </w:rPr>
        <w:t xml:space="preserve">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March 2018, the E.U. proposed additional regulations on cross border transactions within the E.U., including specific regulations on DCC. In December 2018, the European Commission, European Council and European Parliament agreed to legislation that requires disclosure of foreign exchange margins applicable to DCC transactions and eventual comparability between foreign exchange rates offered by DCC providers and bank card issuers. The new legislation went into effect in April 2020. Such regulation could materially and adversely impact our financial results, by reducing the number of DCC transactions performed over our networks and the level of profit we generate from such transactions.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E.U. has passed a regulation called the GDPR that establishes stringent requirements for the collection and processing of personal information of individuals within the E.U. The GDPR came into effect across the E.U. on May 25, 2018. The GDPR established stringent requirements for the collection and processing of personal information of individuals within the E.U., established certain rights of individuals regarding personal information processed by companies as well as requirements for information security and imposed significant fines that may be revenue-based for violation of its requirements. The GDPR applies to transfers of personal information from the E.U. to countries outside the E.U., including the U.S. Any failure on our part to meet the requirements of the GDPR could result in the imposition of fines and penalties that could materially and adversely affect our financial results.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2" w:name="page23"/>
    <w:bookmarkEnd w:id="22"/>
    <w:p>
      <w:pPr>
        <w:jc w:val="both"/>
        <w:spacing w:after="0" w:line="226"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5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4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Additionally, 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Governments may prohibit or restrict the use of certain legal structures designed to minimize taxes. Any such tax increases, whether borne by us or our customers, could negatively impact our operating results or the demand for our products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3" w:name="page24"/>
    <w:bookmarkEnd w:id="23"/>
    <w:p>
      <w:pPr>
        <w:jc w:val="both"/>
        <w:spacing w:after="0" w:line="298"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sanctions,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 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SUPPLY CHAIN AND THIRD PARTIES</w:t>
      </w:r>
    </w:p>
    <w:p>
      <w:pPr>
        <w:spacing w:after="0" w:line="20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4" w:name="page25"/>
    <w:bookmarkEnd w:id="24"/>
    <w:p>
      <w:pPr>
        <w:jc w:val="both"/>
        <w:spacing w:after="0" w:line="298"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32"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w:t>
      </w:r>
      <w:r>
        <w:rPr>
          <w:rFonts w:ascii="Arial" w:cs="Arial" w:eastAsia="Arial" w:hAnsi="Arial"/>
          <w:sz w:val="7"/>
          <w:szCs w:val="7"/>
          <w:color w:val="auto"/>
        </w:rPr>
        <w:t>®</w:t>
      </w:r>
      <w:r>
        <w:rPr>
          <w:rFonts w:ascii="Arial" w:cs="Arial" w:eastAsia="Arial" w:hAnsi="Arial"/>
          <w:sz w:val="16"/>
          <w:szCs w:val="16"/>
          <w:color w:val="auto"/>
        </w:rPr>
        <w:t xml:space="preserve"> or Mastercard</w:t>
      </w:r>
      <w:r>
        <w:rPr>
          <w:rFonts w:ascii="Arial" w:cs="Arial" w:eastAsia="Arial" w:hAnsi="Arial"/>
          <w:sz w:val="7"/>
          <w:szCs w:val="7"/>
          <w:color w:val="auto"/>
        </w:rPr>
        <w:t>®</w:t>
      </w:r>
      <w:r>
        <w:rPr>
          <w:rFonts w:ascii="Arial" w:cs="Arial" w:eastAsia="Arial" w:hAnsi="Arial"/>
          <w:sz w:val="16"/>
          <w:szCs w:val="16"/>
          <w:color w:val="auto"/>
        </w:rPr>
        <w:t>) or national transaction processing switching networks. If a bankcard issuer fails to settle transactions in accordance with those rules, we are dependent upon cooperation from such associations or switching networks to enforce our right of settlement against such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incur substantial losses if one of the third party depository institutions or financial institutions we use in our operations were to fail.</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w:t>
      </w:r>
      <w:r>
        <w:rPr>
          <w:rFonts w:ascii="Arial" w:cs="Arial" w:eastAsia="Arial" w:hAnsi="Arial"/>
          <w:sz w:val="8"/>
          <w:szCs w:val="8"/>
          <w:color w:val="auto"/>
        </w:rPr>
        <w:t>®</w:t>
      </w:r>
      <w:r>
        <w:rPr>
          <w:rFonts w:ascii="Arial" w:cs="Arial" w:eastAsia="Arial" w:hAnsi="Arial"/>
          <w:sz w:val="17"/>
          <w:szCs w:val="17"/>
          <w:color w:val="auto"/>
        </w:rPr>
        <w:t xml:space="preserve"> and Mastercard</w:t>
      </w:r>
      <w:r>
        <w:rPr>
          <w:rFonts w:ascii="Arial" w:cs="Arial" w:eastAsia="Arial" w:hAnsi="Arial"/>
          <w:sz w:val="8"/>
          <w:szCs w:val="8"/>
          <w:color w:val="auto"/>
        </w:rPr>
        <w:t>®</w:t>
      </w:r>
      <w:r>
        <w:rPr>
          <w:rFonts w:ascii="Arial" w:cs="Arial" w:eastAsia="Arial" w:hAnsi="Arial"/>
          <w:sz w:val="17"/>
          <w:szCs w:val="17"/>
          <w:color w:val="auto"/>
        </w:rPr>
        <w:t>,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29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2020, the amount of cash used in our ATM networks under these supply agreements was approximately $616.3 million. Before the cash is disbursed to ATM customers, beneficial ownership of the cash is generally retained by the cash providers, and we have no access or proprietary rights to the cash.</w:t>
      </w:r>
    </w:p>
    <w:p>
      <w:pPr>
        <w:spacing w:after="0" w:line="33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CORPORATE GROWTH STRATEGIES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38" w:lineRule="exact"/>
        <w:rPr>
          <w:sz w:val="20"/>
          <w:szCs w:val="20"/>
          <w:color w:val="auto"/>
        </w:rPr>
      </w:pPr>
    </w:p>
    <w:p>
      <w:pPr>
        <w:jc w:val="both"/>
        <w:ind w:left="540"/>
        <w:spacing w:after="0" w:line="222" w:lineRule="auto"/>
        <w:rPr>
          <w:sz w:val="20"/>
          <w:szCs w:val="20"/>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-425450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40"/>
        <w:spacing w:after="0" w:line="217" w:lineRule="auto"/>
        <w:rPr>
          <w:sz w:val="20"/>
          <w:szCs w:val="20"/>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-306070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2500"/>
        <w:spacing w:after="0" w:line="217" w:lineRule="auto"/>
        <w:rPr>
          <w:sz w:val="20"/>
          <w:szCs w:val="20"/>
          <w:color w:val="auto"/>
        </w:rPr>
      </w:pPr>
      <w:r>
        <w:rPr>
          <w:rFonts w:ascii="Arial" w:cs="Arial" w:eastAsia="Arial" w:hAnsi="Arial"/>
          <w:sz w:val="18"/>
          <w:szCs w:val="18"/>
          <w:color w:val="auto"/>
        </w:rPr>
        <w:t>The execution of our integration plans may divert the attention of our management from other key responsibilities; We may assume unanticipated liabilities and contingencies;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-187325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-67945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-80645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3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 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results of operations and financial condition could be materially and adversely affected.</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47" w:lineRule="exact"/>
        <w:rPr>
          <w:sz w:val="20"/>
          <w:szCs w:val="20"/>
          <w:color w:val="auto"/>
        </w:rPr>
      </w:pPr>
    </w:p>
    <w:p>
      <w:pPr>
        <w:ind w:left="480" w:hanging="2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ind w:left="480" w:hanging="294"/>
        <w:spacing w:after="0" w:line="21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ind w:left="480" w:hanging="294"/>
        <w:spacing w:after="0" w:line="21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ind w:left="480" w:hanging="29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 w:name="page28"/>
    <w:bookmarkEnd w:id="27"/>
    <w:p>
      <w:pPr>
        <w:jc w:val="both"/>
        <w:spacing w:after="0" w:line="224"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business or brands declines, our business may be adversely affected.</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business relies on customer confidence in our brands and our ability to provide efficient and reliable products and services across each of our segments. For our Money Transfer division,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CAPITAL MARKETS AND ECONOMIC CONDITIONS</w:t>
      </w:r>
    </w:p>
    <w:p>
      <w:pPr>
        <w:spacing w:after="0" w:line="14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The outbreak of COVID-19 (coronavirus) has negatively impacted and could continue to negatively impact the global economy. In addition, the COVID-19 pandemic could disrupt or otherwise negatively impact global credit markets and our operations, including the demand for our products and services.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significant outbreak of COVID-19 has resulted in a widespread health crisis, which has negatively impacted and could continue to negatively impact the global economy. In addition, the global and regional impact of the outbreak, including official or unofficial quarantines and governmental restrictions on activities taken in response to such event, has had, and could continue to have a negative impact on our operations, reduced consumer demand for our products and services due to reduced consumer traffic in, or closure of, retail and other locations where our products and services are offered, including voluntary or mandatory temporary closures of our facilities or those of our agents or customers; interruptions in our supply chain, which could impact the cost or availability of equipment; disruptions or restrictions on our ability to travel or to market and distribute our products and services; and labor shortages.</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example, the COVID-19 pandemic has resulted in travel restrictions within and between countries, including mandatory quarantine requirements for travelers from certain locations, and varying degrees of “sheltering in-place” and other social distancing orders in most of the countries where we do business. Among other things, these orders restrict which businesses are allowed to be open and the conditions under which they are allowed to operate. Although the majority of these orders went into effect at the end of February 2020 and throughout various times in March 2020, new orders continue to be implemented, or reinstated, as the pandemic spreads around the global and new hot spots flare up. These travel restrictions and orders, as well as increased unemployment and general economic uncertainty caused by the pandemic, have negatively impacted our financial results. The EFT operating segment has experienced declines in DCC and surcharge transaction volumes as the factors noted above have reduced these high-margin transactions on our network of ATMs. For the epay and Money Transfer operating segments, the disruption in business of the retailers and agents that offer our services and products may adversely affect their ability to remain in business and/or timely remit payments owed to us. All of these factors, in turn, may not only impact our operations, financial condition and demand for our products and services but our overall ability to react timely to mitigate the impact of this event.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8"/>
          <w:szCs w:val="18"/>
          <w:color w:val="auto"/>
        </w:rPr>
        <w:t>The COVID-19 outbreak could disrupt or otherwise negatively impact credit markets, which could adversely affect the availability and cost of capital. Such impacts could limit our ability to fund our operations and satisfy our obligations.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extent and potential impact of the COVID-19 outbreak on our operational and financial performance will depend on future developments, including the duration, severity and spread of the virus, the speed and effectiveness of rollouts for vaccines and treatments, actions that may be taken by governmental authorities and the impact on our supply chain, customers, operations, workforce and the financial markets, all of which are highly uncertain and cannot be predicted. These and other potential impacts of an epidemic, pandemic or other health crisis, such as COVID-19, could therefore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Additionally, economic or political instability, wars, civil unrest, terrorism, epidemics (including but not limited to, Coronavirus outbreak) and natural disasters may make money transfers to, from or within a particular country more difficult. The inability to timely complete money transfers could adversely affect our business.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Economic cycles may lead us to recognize impairment charges related to long-lived assets and goodwill recorded in connection with our acquisitions, which would adversely impact our results of operations. Our total assets include approximately $787.7 million, or 16% of total assets, in goodwill and acquired intangible assets recorded as a result of acquisitions. We assess our goodwill, intangible assets and other long-lived assets as and when required by accounting principles generally accepted in the U.S. to determine whether they are impaired. For example, during 2020, we incurred goodwill and acquired intangible asset impairment charges of $106.6 million. If operating results in any of our key markets, including Australia, Germany, Greece, Malaysia, India, New Zealand, the U.S.,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9" w:name="page30"/>
    <w:bookmarkEnd w:id="29"/>
    <w:p>
      <w:pPr>
        <w:jc w:val="both"/>
        <w:spacing w:after="0" w:line="341" w:lineRule="auto"/>
        <w:rPr>
          <w:sz w:val="20"/>
          <w:szCs w:val="20"/>
          <w:color w:val="auto"/>
        </w:rPr>
      </w:pPr>
      <w:r>
        <w:rPr>
          <w:rFonts w:ascii="Arial" w:cs="Arial" w:eastAsia="Arial" w:hAnsi="Arial"/>
          <w:sz w:val="16"/>
          <w:szCs w:val="16"/>
          <w:b w:val="1"/>
          <w:bCs w:val="1"/>
          <w:color w:val="auto"/>
        </w:rPr>
        <w:t>We have a substantial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total liabilities were $3,480.8 million, of which $1,437.6 million represents long-term debt obligations, and total assets were $4,926.7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52" w:lineRule="exact"/>
        <w:rPr>
          <w:sz w:val="20"/>
          <w:szCs w:val="20"/>
          <w:color w:val="auto"/>
        </w:rPr>
      </w:pPr>
    </w:p>
    <w:p>
      <w:pPr>
        <w:ind w:left="500" w:hanging="314"/>
        <w:spacing w:after="0" w:line="22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 w:lineRule="exact"/>
        <w:rPr>
          <w:rFonts w:ascii="Arial" w:cs="Arial" w:eastAsia="Arial" w:hAnsi="Arial"/>
          <w:sz w:val="18"/>
          <w:szCs w:val="18"/>
          <w:color w:val="auto"/>
        </w:rPr>
      </w:pPr>
    </w:p>
    <w:p>
      <w:pPr>
        <w:ind w:left="500" w:hanging="314"/>
        <w:spacing w:after="0" w:line="21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 w:lineRule="exact"/>
        <w:rPr>
          <w:rFonts w:ascii="Arial" w:cs="Arial" w:eastAsia="Arial" w:hAnsi="Arial"/>
          <w:sz w:val="18"/>
          <w:szCs w:val="18"/>
          <w:color w:val="auto"/>
        </w:rPr>
      </w:pPr>
    </w:p>
    <w:p>
      <w:pPr>
        <w:ind w:left="480" w:hanging="294"/>
        <w:spacing w:after="0" w:line="230"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ind w:left="500" w:right="20" w:hanging="314"/>
        <w:spacing w:after="0" w:line="217" w:lineRule="auto"/>
        <w:tabs>
          <w:tab w:leader="none" w:pos="47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 w:lineRule="exact"/>
        <w:rPr>
          <w:rFonts w:ascii="Arial" w:cs="Arial" w:eastAsia="Arial" w:hAnsi="Arial"/>
          <w:sz w:val="18"/>
          <w:szCs w:val="18"/>
          <w:color w:val="auto"/>
        </w:rPr>
      </w:pPr>
    </w:p>
    <w:p>
      <w:pPr>
        <w:ind w:left="500" w:hanging="314"/>
        <w:spacing w:after="0" w:line="23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32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3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200" w:lineRule="exact"/>
        <w:rPr>
          <w:sz w:val="20"/>
          <w:szCs w:val="20"/>
          <w:color w:val="auto"/>
        </w:rPr>
      </w:pPr>
    </w:p>
    <w:p>
      <w:pPr>
        <w:spacing w:after="0" w:line="30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4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A significant number of our ATMs are located in countries in the European Union that use the euro. From time to time, some of these countries, have considered leaving the European Union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CYBER, PHYSICAL ASSET, AND DATA SECURITY</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Euronet has relied on an alternate mechanism of personal data transfer, called the Standard Contractual Clauses (“SCCs”), since the enforcement of GDPR in 2018. In November 2020, the European Data Protection Board issued a series of recommendations regarding supplementary measures to the SCCs, which Euronet is currently implementing. Our money transfer business relies on the transfer of personal data of individuals in the EU to the US to enable payment of money remittance transactions to beneficiaries through our correspondent network. If we are unable to transfer personal data from the EU to the US or other countries where we operate, then it could affect the manner in which we provide our services and adversely affect our financial results.</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Any operational problem in our processing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322"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Our services and infrastructure are increasingly reliant on the Internet. Computer networks and the Internet are vulnerable to unauthorized access, computer viruses and other disruptive problems such as denial of service attacks or other cyber-attacks carried out by cyber criminals or state-sponsored actors. Other potential attacks include attempts to obtain unauthorized access to confidential information or destroy data, often through the introduction of computer viruses, ransomware or malware, cyber-attacks and other means, which are constantly evolving and difficult to detect. Those same parties may also attempt to fraudulently induce employees, customers, vendors, or other users of our systems through phishing schemes or other methods to disclose sensitive information in order to gain access to our data or that of our customers or clients.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computer security breaches, and we cannot exclude the possibility of additional breaches in the future.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Under state, federal and foreign laws requiring consumer notification of security breaches, the costs to remediate security breaches can be substantial.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attacks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Failures of third-party service providers we rely upon could lead to financial loss.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A failure of these services by a third 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COMPETITIVE LANDSCAPE</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ectPr>
          <w:pgSz w:w="11900" w:h="16838" w:orient="portrait"/>
          <w:cols w:equalWidth="0" w:num="1">
            <w:col w:w="11240"/>
          </w:cols>
          <w:pgMar w:left="320" w:top="340"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type w:val="continuous"/>
        </w:sectPr>
      </w:pPr>
    </w:p>
    <w:bookmarkStart w:id="32" w:name="page33"/>
    <w:bookmarkEnd w:id="32"/>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Money Transfer Segment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primary competitors in the money transfer and bill payment business include other large money transfer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payments could materially reduce our transaction levels and revenues.</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3366FF"/>
        </w:rPr>
        <w:t>GOVERNANCE MATTERS</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47"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-219710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classification of our directors into three classes with respect to the time for which they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supermajority voting requirements to amend the provision in our certificate of incorporation providing for the classification of our directors into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-64135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such classes;</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4900"/>
        <w:spacing w:after="0" w:line="279" w:lineRule="auto"/>
        <w:rPr>
          <w:sz w:val="20"/>
          <w:szCs w:val="20"/>
          <w:color w:val="auto"/>
        </w:rPr>
      </w:pPr>
      <w:r>
        <w:rPr>
          <w:rFonts w:ascii="Arial" w:cs="Arial" w:eastAsia="Arial" w:hAnsi="Arial"/>
          <w:sz w:val="16"/>
          <w:szCs w:val="16"/>
          <w:color w:val="auto"/>
        </w:rPr>
        <w:t>control by our board of directors of the size of our board of directors; limitations on the ability of stockholders to call special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 exclusive forum bylaw provision for all internal corporate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Additionally, we are authorized to issue up to a total of 90 million shares of common stock, potentially diluting equity ownership of current holders and the share price of our common stock. 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4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color w:val="auto"/>
        </w:rPr>
        <w:t>An additional 8.1 million shares of common stock, representing approximately 15% of the shares outstanding as of December 31, 2020,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of December 31, 2020, we had 4.1 million and 0.5 million options and restricted stock awards outstanding, respectively, held by our directors, officers and employees, which entitle these holders to acquire an equal number of shares of our common stock. Of this amount, 1.5 million options are vested and exercisable as of December 31, 2020. Approximately 0.7 million additional shares of our common stock may be issued in connection with our stock incentive and employee stock purchase plans. Accordingly, based on current trading prices of our common stock, approximately 2.0 million shares could potentially be added to our total current common stock outstanding through the exercise of options and the vesting of restricted stock awards, which could adversely impact the trading price for our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4" w:name="page35"/>
    <w:bookmarkEnd w:id="34"/>
    <w:p>
      <w:pPr>
        <w:jc w:val="both"/>
        <w:spacing w:after="0" w:line="226" w:lineRule="auto"/>
        <w:rPr>
          <w:sz w:val="20"/>
          <w:szCs w:val="20"/>
          <w:color w:val="auto"/>
        </w:rPr>
      </w:pPr>
      <w:r>
        <w:rPr>
          <w:rFonts w:ascii="Arial" w:cs="Arial" w:eastAsia="Arial" w:hAnsi="Arial"/>
          <w:sz w:val="18"/>
          <w:szCs w:val="18"/>
          <w:color w:val="auto"/>
        </w:rPr>
        <w:t>Of the 4.6 million total options and restricted stock awards outstanding, an aggregate of 2.0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 notes and issuing shares of common stock for the conversion value in excess of the principal, which would significantly reduce the number of shares issued upon conversion, if our financial condition significantly and adversely changes, we may not be able to settle as intended should the notes be converted.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3366FF"/>
        </w:rPr>
        <w:t>KEY PERSONNEL</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executive offices are located in Leawood, Kansas. As of December 31, 2020, we also have 36 principal offices in Europe, 14 in Asia Pacific, 10 in North America, three in the Middle East, two in South America and one in Africa. Our office leases generally provide for initial terms ranging from two to twelve years.</w:t>
      </w:r>
    </w:p>
    <w:p>
      <w:pPr>
        <w:spacing w:after="0" w:line="15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processing centers for the EFT Processing Segment are located in Germany, Hungary, India, China, and Pakistan. Processing centers we operate for the epay Segment are located in the U.K., Germany, Italy, and the U.S. Our processing centers for the Money Transfer Segment are located in the U.S., the U.K., New Zealand, and Malaysia.</w:t>
      </w:r>
    </w:p>
    <w:p>
      <w:pPr>
        <w:spacing w:after="0" w:line="150"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4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68" w:lineRule="exact"/>
        <w:rPr>
          <w:sz w:val="20"/>
          <w:szCs w:val="20"/>
          <w:color w:val="auto"/>
        </w:rPr>
      </w:pPr>
    </w:p>
    <w:p>
      <w:pPr>
        <w:ind w:right="2040"/>
        <w:spacing w:after="0" w:line="4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$0.02 par value per share, is quoted on the NASDAQ Global Select Market under the symbol EEFT.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no dividends have been paid on our common stock. We do not intend to distribute dividends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At December 31, 2020, we had 45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During 2020, we did not issue any equity securities that were not registered under the Securities Act of 1933, which have not been previously reported in a Quarterly Report on Form 10-Q or a Current Report on Form 8-K.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Performance Graph</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2015 through December 31, 2020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2015.</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96455" cy="4537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453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NOTE: Index Data: Calculated (or Derived) based from CRSP NASDAQ Stock Market (U.S. Companies) and CRSP NASDAQ Financial Index, Center for Research in Security Prices (CRSP®), Graduate School of Business, The University of Chicago. Copyright 2021. Used with permission. All rights reserved.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2"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 xml:space="preserve">Refer to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Note 16, Stock Plans, and Part III, Item 12, </w:t>
      </w:r>
      <w:r>
        <w:rPr>
          <w:rFonts w:ascii="Arial" w:cs="Arial" w:eastAsia="Arial" w:hAnsi="Arial"/>
          <w:sz w:val="18"/>
          <w:szCs w:val="18"/>
          <w:i w:val="1"/>
          <w:iCs w:val="1"/>
          <w:color w:val="auto"/>
        </w:rPr>
        <w:t>Security Ownership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Beneficial Owners and Management and Related Stockholder Matters </w:t>
      </w:r>
      <w:r>
        <w:rPr>
          <w:rFonts w:ascii="Arial" w:cs="Arial" w:eastAsia="Arial" w:hAnsi="Arial"/>
          <w:sz w:val="18"/>
          <w:szCs w:val="18"/>
          <w:color w:val="auto"/>
        </w:rPr>
        <w:t>for information related to our equity compensation plans.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Stock Repurchases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repurchase any shares during the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Maximum Dollar Value of</w:t>
            </w: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7"/>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7"/>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Publicly Announced Plans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1"/>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Programs (in thousands) (1)</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2020</w:t>
            </w:r>
          </w:p>
        </w:tc>
        <w:tc>
          <w:tcPr>
            <w:tcW w:w="16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4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2020</w:t>
            </w:r>
          </w:p>
        </w:tc>
        <w:tc>
          <w:tcPr>
            <w:tcW w:w="1680" w:type="dxa"/>
            <w:vAlign w:val="bottom"/>
          </w:tcPr>
          <w:p>
            <w:pPr>
              <w:ind w:left="1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8"/>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2020</w:t>
            </w:r>
          </w:p>
        </w:tc>
        <w:tc>
          <w:tcPr>
            <w:tcW w:w="16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55"/>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7"/>
        <w:spacing w:after="0" w:line="226" w:lineRule="auto"/>
        <w:tabs>
          <w:tab w:leader="none" w:pos="253"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11, 2019, in connection with the issuance of the Convertible Notes, the Board of Directors authorized a repurchase program of $120 million in value of Euronet’s common stock through March 11, 2021. Euronet has repurchased $110.6 million of stock under this program. On February 26, 2020, the Company put a repurchase program in place to repurchase up to $250 million in value, but not more than 5.0 million shares of common stock through February 28, 2022. Repurchases under either program may take place in the open market or in privately negotiated transactions, including derivative transactions, and may be made under a Rule 10b5-1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2,482,700</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2,750,109</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2,536,629</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2,252,422</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1,958,615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2,163,171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2,072,694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1,628,313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127,021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111,744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95,030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232,893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(58,795)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income from continuing operations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346,695</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232,131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156,940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w w:val="98"/>
              </w:rPr>
              <w:t>(Loss) 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4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38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6.31</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4,926,711</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4,657,666</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3,321,155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3,140,029</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1,090,939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561,663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Finance lease obligations, long-term portion</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37,729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46,070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40,354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37,133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EFT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rPr>
              <w:t>Number of operational prepaid processing POS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80" w:type="dxa"/>
            <w:vAlign w:val="bottom"/>
            <w:gridSpan w:val="2"/>
          </w:tcPr>
          <w:p>
            <w:pPr>
              <w:ind w:left="320"/>
              <w:spacing w:after="0"/>
              <w:rPr>
                <w:sz w:val="20"/>
                <w:szCs w:val="20"/>
                <w:color w:val="auto"/>
              </w:rPr>
            </w:pPr>
            <w:r>
              <w:rPr>
                <w:rFonts w:ascii="Arial" w:cs="Arial" w:eastAsia="Arial" w:hAnsi="Arial"/>
                <w:sz w:val="18"/>
                <w:szCs w:val="18"/>
                <w:color w:val="auto"/>
              </w:rPr>
              <w:t>terminals at end of period (rounded)</w:t>
            </w:r>
          </w:p>
        </w:tc>
        <w:tc>
          <w:tcPr>
            <w:tcW w:w="2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748,000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683,000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processing transactions during the period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(millions)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w w:val="95"/>
              </w:rPr>
              <w:t>Money transfer transactions during the period (millions)</w:t>
            </w:r>
          </w:p>
        </w:tc>
        <w:tc>
          <w:tcPr>
            <w:tcW w:w="2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1"/>
        </w:trPr>
        <w:tc>
          <w:tcPr>
            <w:tcW w:w="4280" w:type="dxa"/>
            <w:vAlign w:val="bottom"/>
            <w:gridSpan w:val="2"/>
          </w:tcPr>
          <w:p>
            <w:pPr>
              <w:jc w:val="right"/>
              <w:ind w:right="2491"/>
              <w:spacing w:after="0"/>
              <w:rPr>
                <w:sz w:val="20"/>
                <w:szCs w:val="20"/>
                <w:color w:val="auto"/>
              </w:rPr>
            </w:pPr>
            <w:r>
              <w:rPr>
                <w:rFonts w:ascii="Arial" w:cs="Arial" w:eastAsia="Arial" w:hAnsi="Arial"/>
                <w:sz w:val="18"/>
                <w:szCs w:val="18"/>
                <w:b w:val="1"/>
                <w:bCs w:val="1"/>
                <w:color w:val="auto"/>
                <w:w w:val="88"/>
              </w:rPr>
              <w:t>___________________</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100" w:hanging="393"/>
        <w:spacing w:after="0" w:line="272"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2020, 2018 and 2017 include non-cash charges related to impairment of goodwill and acquired intangible assets of $106.6 million, $7.0 million and $34.1 million,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accompanying notes included elsewhere in this Annual Report on Form 10-K. This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our Annual Report on Form 10-K for the fiscal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4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The EFT Processing Segment, which processes transactions for a network of 37,729 ATMs and approximately 340,000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-635000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2"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748,000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-499745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9" w:lineRule="exact"/>
        <w:rPr>
          <w:sz w:val="20"/>
          <w:szCs w:val="20"/>
          <w:color w:val="auto"/>
        </w:rPr>
      </w:pPr>
    </w:p>
    <w:p>
      <w:pPr>
        <w:jc w:val="both"/>
        <w:ind w:left="540"/>
        <w:spacing w:after="0" w:line="268" w:lineRule="auto"/>
        <w:rPr>
          <w:sz w:val="20"/>
          <w:szCs w:val="20"/>
          <w:color w:val="auto"/>
        </w:rPr>
      </w:pPr>
      <w:r>
        <w:rPr>
          <w:rFonts w:ascii="Arial" w:cs="Arial" w:eastAsia="Arial" w:hAnsi="Arial"/>
          <w:sz w:val="17"/>
          <w:szCs w:val="17"/>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464,000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-1186815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2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71%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33% of total consolidated revenues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65%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48%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3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68" w:lineRule="exact"/>
        <w:rPr>
          <w:sz w:val="20"/>
          <w:szCs w:val="20"/>
          <w:color w:val="auto"/>
        </w:rPr>
      </w:pPr>
    </w:p>
    <w:p>
      <w:pPr>
        <w:ind w:left="540" w:right="3700"/>
        <w:spacing w:after="0" w:line="268" w:lineRule="auto"/>
        <w:rPr>
          <w:sz w:val="20"/>
          <w:szCs w:val="20"/>
          <w:color w:val="auto"/>
        </w:rPr>
      </w:pPr>
      <w:r>
        <w:rPr>
          <w:rFonts w:ascii="Arial" w:cs="Arial" w:eastAsia="Arial" w:hAnsi="Arial"/>
          <w:sz w:val="17"/>
          <w:szCs w:val="17"/>
          <w:color w:val="auto"/>
        </w:rPr>
        <w:t>increasing the number of ATMs and cash deposit terminals in our independent ATM networks; increasing transactions processed on our network of owned and operated ATMs and POS devices; signing new outsourced ATM and POS terminal management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-354965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expanding our epay processing network and portfolio of digital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3480"/>
        <w:spacing w:after="0" w:line="253" w:lineRule="auto"/>
        <w:rPr>
          <w:sz w:val="20"/>
          <w:szCs w:val="20"/>
          <w:color w:val="auto"/>
        </w:rPr>
      </w:pPr>
      <w:r>
        <w:rPr>
          <w:rFonts w:ascii="Arial" w:cs="Arial" w:eastAsia="Arial" w:hAnsi="Arial"/>
          <w:sz w:val="18"/>
          <w:szCs w:val="18"/>
          <w:color w:val="auto"/>
        </w:rPr>
        <w:t>expanding our money transfer services, cross-currency payments products and bill payment network; expanding our cash management solutions and foreign currency risk management services; and developing our credit and debit card outsourcing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-363220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-226695</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-90805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3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limited to, the following:</w:t>
      </w:r>
    </w:p>
    <w:p>
      <w:pPr>
        <w:spacing w:after="0" w:line="147" w:lineRule="exact"/>
        <w:rPr>
          <w:sz w:val="20"/>
          <w:szCs w:val="20"/>
          <w:color w:val="auto"/>
        </w:rPr>
      </w:pPr>
    </w:p>
    <w:p>
      <w:pPr>
        <w:ind w:left="540" w:right="2620"/>
        <w:spacing w:after="0" w:line="256" w:lineRule="auto"/>
        <w:rPr>
          <w:sz w:val="20"/>
          <w:szCs w:val="20"/>
          <w:color w:val="auto"/>
        </w:rPr>
      </w:pPr>
      <w:r>
        <w:rPr>
          <w:rFonts w:ascii="Arial" w:cs="Arial" w:eastAsia="Arial" w:hAnsi="Arial"/>
          <w:sz w:val="18"/>
          <w:szCs w:val="18"/>
          <w:color w:val="auto"/>
        </w:rPr>
        <w:t>the impact of competition by banks and other ATM operators and service providers in our current target markets; the demand for our ATM outsourcing services in our current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-219710</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-83185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1940"/>
        <w:spacing w:after="0" w:line="248" w:lineRule="auto"/>
        <w:rPr>
          <w:sz w:val="20"/>
          <w:szCs w:val="20"/>
          <w:color w:val="auto"/>
        </w:rPr>
      </w:pPr>
      <w:r>
        <w:rPr>
          <w:rFonts w:ascii="Arial" w:cs="Arial" w:eastAsia="Arial" w:hAnsi="Arial"/>
          <w:sz w:val="18"/>
          <w:szCs w:val="18"/>
          <w:color w:val="auto"/>
        </w:rPr>
        <w:t>our ability to develop products or services, including value added services, to drive increases in transactions and revenues; the expansion of our various business lines in markets where we operate and in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3320"/>
        <w:spacing w:after="0" w:line="263" w:lineRule="auto"/>
        <w:rPr>
          <w:sz w:val="20"/>
          <w:szCs w:val="20"/>
          <w:color w:val="auto"/>
        </w:rPr>
      </w:pPr>
      <w:r>
        <w:rPr>
          <w:rFonts w:ascii="Arial" w:cs="Arial" w:eastAsia="Arial" w:hAnsi="Arial"/>
          <w:sz w:val="17"/>
          <w:szCs w:val="17"/>
          <w:color w:val="auto"/>
        </w:rPr>
        <w:t>our entry into additional card acceptance and ATM management agreements with financial institutions; our ability to obtain required licenses in markets we intend to enter or expand services; our ability to enter into sponsorship agreements where our licenses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-355600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-83185</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3560"/>
        <w:spacing w:after="0" w:line="248" w:lineRule="auto"/>
        <w:rPr>
          <w:sz w:val="20"/>
          <w:szCs w:val="20"/>
          <w:color w:val="auto"/>
        </w:rPr>
      </w:pPr>
      <w:r>
        <w:rPr>
          <w:rFonts w:ascii="Arial" w:cs="Arial" w:eastAsia="Arial" w:hAnsi="Arial"/>
          <w:sz w:val="18"/>
          <w:szCs w:val="18"/>
          <w:color w:val="auto"/>
        </w:rPr>
        <w:t>our ability to enter into and renew ATM network cash supply agreements with financial institutions; the availability of financing for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3860"/>
        <w:spacing w:after="0" w:line="248" w:lineRule="auto"/>
        <w:rPr>
          <w:sz w:val="20"/>
          <w:szCs w:val="20"/>
          <w:color w:val="auto"/>
        </w:rPr>
      </w:pPr>
      <w:r>
        <w:rPr>
          <w:rFonts w:ascii="Arial" w:cs="Arial" w:eastAsia="Arial" w:hAnsi="Arial"/>
          <w:sz w:val="18"/>
          <w:szCs w:val="18"/>
          <w:color w:val="auto"/>
        </w:rPr>
        <w:t>our ability to efficiently install ATMs contracted under newly awarded outsourcing agreements; our ability to renew existing contracts at profitable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maintain pricing at current levels or mitigate price reductions in certain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5" w:lineRule="exact"/>
        <w:rPr>
          <w:sz w:val="20"/>
          <w:szCs w:val="20"/>
          <w:color w:val="auto"/>
        </w:rPr>
      </w:pPr>
    </w:p>
    <w:p>
      <w:pPr>
        <w:jc w:val="both"/>
        <w:ind w:left="540"/>
        <w:spacing w:after="0" w:line="253" w:lineRule="auto"/>
        <w:rPr>
          <w:sz w:val="20"/>
          <w:szCs w:val="20"/>
          <w:color w:val="auto"/>
        </w:rPr>
      </w:pPr>
      <w:r>
        <w:rPr>
          <w:rFonts w:ascii="Arial" w:cs="Arial" w:eastAsia="Arial" w:hAnsi="Arial"/>
          <w:sz w:val="18"/>
          <w:szCs w:val="18"/>
          <w:color w:val="auto"/>
        </w:rPr>
        <w:t>the impact of changes in rules imposed by international card organizations such as Visa</w:t>
      </w:r>
      <w:r>
        <w:rPr>
          <w:rFonts w:ascii="Arial" w:cs="Arial" w:eastAsia="Arial" w:hAnsi="Arial"/>
          <w:sz w:val="8"/>
          <w:szCs w:val="8"/>
          <w:color w:val="auto"/>
        </w:rPr>
        <w:t>®</w:t>
      </w:r>
      <w:r>
        <w:rPr>
          <w:rFonts w:ascii="Arial" w:cs="Arial" w:eastAsia="Arial" w:hAnsi="Arial"/>
          <w:sz w:val="18"/>
          <w:szCs w:val="18"/>
          <w:color w:val="auto"/>
        </w:rPr>
        <w:t xml:space="preserve"> and Mastercard</w:t>
      </w:r>
      <w:r>
        <w:rPr>
          <w:rFonts w:ascii="Arial" w:cs="Arial" w:eastAsia="Arial" w:hAnsi="Arial"/>
          <w:sz w:val="8"/>
          <w:szCs w:val="8"/>
          <w:color w:val="auto"/>
        </w:rPr>
        <w:t>®</w:t>
      </w:r>
      <w:r>
        <w:rPr>
          <w:rFonts w:ascii="Arial" w:cs="Arial" w:eastAsia="Arial" w:hAnsi="Arial"/>
          <w:sz w:val="18"/>
          <w:szCs w:val="18"/>
          <w:color w:val="auto"/>
        </w:rPr>
        <w:t xml:space="preserve"> on card transactions on ATMs, including reductions in ATM interchange fees, restrictions on the ability to apply direct access fees, the ability to offer DCC transactions on ATMs, and increases in fees charged on DCC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-354965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560"/>
        <w:spacing w:after="0" w:line="248" w:lineRule="auto"/>
        <w:rPr>
          <w:sz w:val="20"/>
          <w:szCs w:val="20"/>
          <w:color w:val="auto"/>
        </w:rPr>
      </w:pPr>
      <w:r>
        <w:rPr>
          <w:rFonts w:ascii="Arial" w:cs="Arial" w:eastAsia="Arial" w:hAnsi="Arial"/>
          <w:sz w:val="18"/>
          <w:szCs w:val="18"/>
          <w:color w:val="auto"/>
        </w:rPr>
        <w:t>the impact of changes in laws and regulations affecting the profitability of our services, including regulation of DCC transactions by the E.U.; the impact of overall market trends on ATM transactions in our current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expand and sign additional customers for the cross-border merchant processing and acquiring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1200"/>
        <w:spacing w:after="0" w:line="257" w:lineRule="auto"/>
        <w:rPr>
          <w:sz w:val="20"/>
          <w:szCs w:val="20"/>
          <w:color w:val="auto"/>
        </w:rPr>
      </w:pPr>
      <w:r>
        <w:rPr>
          <w:rFonts w:ascii="Arial" w:cs="Arial" w:eastAsia="Arial" w:hAnsi="Arial"/>
          <w:sz w:val="18"/>
          <w:szCs w:val="18"/>
          <w:color w:val="auto"/>
        </w:rPr>
        <w:t>the continued development and implementation of our software products and their ability to interact with other leading products; and the impact of government imposed restrictions on travel into countries where we operate ATMs.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-228600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-92710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47"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-219710</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440"/>
        <w:spacing w:after="0" w:line="279" w:lineRule="auto"/>
        <w:rPr>
          <w:sz w:val="20"/>
          <w:szCs w:val="20"/>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 the development of mobile phone networks in the markets in which we do business and the increase in the number of mobile phone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80"/>
        <w:spacing w:after="0" w:line="248" w:lineRule="auto"/>
        <w:rPr>
          <w:sz w:val="20"/>
          <w:szCs w:val="20"/>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 our market share of the retail distribution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1820"/>
        <w:spacing w:after="0" w:line="248" w:lineRule="auto"/>
        <w:rPr>
          <w:sz w:val="20"/>
          <w:szCs w:val="20"/>
          <w:color w:val="auto"/>
        </w:rPr>
      </w:pPr>
      <w:r>
        <w:rPr>
          <w:rFonts w:ascii="Arial" w:cs="Arial" w:eastAsia="Arial" w:hAnsi="Arial"/>
          <w:sz w:val="18"/>
          <w:szCs w:val="18"/>
          <w:color w:val="auto"/>
        </w:rPr>
        <w:t>the development of new technologies that may compete with POS distribution of prepaid mobile airtime and other products; the level of commission that is paid to the various intermediaries in the electronic payment distribution chain; our ability to fully recover monies collected by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-354965</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-218440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3660"/>
        <w:spacing w:after="0" w:line="248" w:lineRule="auto"/>
        <w:rPr>
          <w:sz w:val="20"/>
          <w:szCs w:val="20"/>
          <w:color w:val="auto"/>
        </w:rPr>
      </w:pPr>
      <w:r>
        <w:rPr>
          <w:rFonts w:ascii="Arial" w:cs="Arial" w:eastAsia="Arial" w:hAnsi="Arial"/>
          <w:sz w:val="18"/>
          <w:szCs w:val="18"/>
          <w:color w:val="auto"/>
        </w:rPr>
        <w:t>our ability to add new and differentiated products in addition to those offered by mobile operators; our ability to develop and effectively market additional value added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our ability to take advantage of cross-selling opportunities with our EFT Processing and Money Transfer Segments, including providing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-71120</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transfer services through our distribution network;</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availability of financing for further expansion;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government imposed restrictions on retailers with whom we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3" w:name="page44"/>
    <w:bookmarkEnd w:id="43"/>
    <w:p>
      <w:pPr>
        <w:jc w:val="both"/>
        <w:ind w:right="20"/>
        <w:spacing w:after="0" w:line="272"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limited to, the following:</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continued growth in worker migration and employment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-70485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maintain our agent and correspondent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-71120</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5020"/>
        <w:spacing w:after="0" w:line="248" w:lineRule="auto"/>
        <w:rPr>
          <w:sz w:val="20"/>
          <w:szCs w:val="20"/>
          <w:color w:val="auto"/>
        </w:rPr>
      </w:pPr>
      <w:r>
        <w:rPr>
          <w:rFonts w:ascii="Arial" w:cs="Arial" w:eastAsia="Arial" w:hAnsi="Arial"/>
          <w:sz w:val="18"/>
          <w:szCs w:val="18"/>
          <w:color w:val="auto"/>
        </w:rPr>
        <w:t>the expansion of our services in markets where we operate and in new markets; our ability to strengthen our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fund working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jc w:val="both"/>
        <w:ind w:left="540" w:right="1640"/>
        <w:spacing w:after="0" w:line="279" w:lineRule="auto"/>
        <w:rPr>
          <w:sz w:val="20"/>
          <w:szCs w:val="20"/>
          <w:color w:val="auto"/>
        </w:rPr>
      </w:pPr>
      <w:r>
        <w:rPr>
          <w:rFonts w:ascii="Arial" w:cs="Arial" w:eastAsia="Arial" w:hAnsi="Arial"/>
          <w:sz w:val="16"/>
          <w:szCs w:val="16"/>
          <w:color w:val="auto"/>
        </w:rPr>
        <w:t>our ability to recover from agents funds collected from customers and our ability to recover advances made to correspondents; our ability to maintain compliance with the regulatory requirements of the jurisdictions in which we operate or plan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-82550</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our ability to leverage our banking and merchant/retailer relationships to expand money transfer corridors to Europe, Asia and Africa, including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-64135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growth corridors to Central and Eastern European countries;</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availability of financing for further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ability to maintain banking relationships necessary for us to service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48" w:lineRule="auto"/>
        <w:rPr>
          <w:sz w:val="20"/>
          <w:szCs w:val="20"/>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provide additional value-added products under the xe brand;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government imposed restrictions on our network of agents and correspondents.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COVID-19</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the COVID-19 (coronavirus) pandemic has resulted in varying degrees of travel restrictions and shelter-in-place and other social distancing orders in most of the countries where the Company operates during the year ended December 31, 2020. Although the majority of these orders went into effect in late February 2020 or early March 2020, new orders continue to be implemented, or reinstated, as the pandemic spreads around the globe and there is a resurgence of infections.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the Company has a higher mix of digital distribution or a higher concentration of retailers that are deemed essential and have remained open during the pandemic.</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response to the COVID-19 pandemic driven impacts, the Company implemented several key measures to offset the impact across the business, including renegotiating certain third party contracts, reducing travel, decreasing capital expenditures, and expanding ATM seasonal deactivations (placing them in dormancy status, terminating, or re-negotiating) in more sites and more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Revenues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Operating Income (Expense)</w:t>
            </w:r>
          </w:p>
        </w:tc>
      </w:tr>
      <w:tr>
        <w:trPr>
          <w:trHeight w:val="275"/>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61"/>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888,712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296,640</w:t>
            </w:r>
          </w:p>
        </w:tc>
      </w:tr>
      <w:tr>
        <w:trPr>
          <w:trHeight w:val="25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835,517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769,329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89,204</w:t>
            </w:r>
          </w:p>
        </w:tc>
      </w:tr>
      <w:tr>
        <w:trPr>
          <w:trHeight w:val="28"/>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1,096,226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134,790</w:t>
            </w:r>
          </w:p>
        </w:tc>
      </w:tr>
      <w:tr>
        <w:trPr>
          <w:trHeight w:val="233"/>
        </w:trPr>
        <w:tc>
          <w:tcPr>
            <w:tcW w:w="57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2,488,092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2,754,267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520,634</w:t>
            </w:r>
          </w:p>
        </w:tc>
      </w:tr>
      <w:tr>
        <w:trPr>
          <w:trHeight w:val="28"/>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(45,440)</w:t>
            </w:r>
          </w:p>
        </w:tc>
      </w:tr>
      <w:tr>
        <w:trPr>
          <w:trHeight w:val="255"/>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2,482,700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2,750,109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475,194</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annual consolidated revenues decreased by 10% for 2020 compared to 2019. The decrease in revenues for 2020 was primarily due to a decrease in the number of ATMs under management, along with a decrease in demand for DCC, domestic and international surcharge and other value added services in our EFT Processing Segment, partially offset by growth in the number of money transfers processed by the core Ria business and the number of transactions processed by our epay subsidiaries.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decrease in operating income for 2020 was primarily due to the decrease in ATMs under management, along with the decrease in demand for DCC, domestic and international surcharge, other value added services and the $106.6 million non-cash impairment of goodwill and acquired intangible assets, partially offset by the increase in the number of money transfer transactions processed, and the increase in the number of transactions processed for epay.</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loss attributable to Euronet for 2020 was $3.4 million, or $0.06 per diluted share and net income attributable to Euronet for 2019 was $346.7 million, or $6.31 per diluted share.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8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2020 consolidated operating income was approximately 7% higher due to changes in foreign currency exchange rates when compared to 2019. If significant, in our discussion we will refer to the impact of fluctuations in foreign currency exchange rates in our comparison of operating segment results.</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2020 and 2019, of the currencies of the countries in which we have our most significant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Average Translation Rate Year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4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 Increase</w:t>
            </w:r>
          </w:p>
        </w:tc>
        <w:tc>
          <w:tcPr>
            <w:tcW w:w="0" w:type="dxa"/>
            <w:vAlign w:val="bottom"/>
          </w:tcPr>
          <w:p>
            <w:pPr>
              <w:spacing w:after="0"/>
              <w:rPr>
                <w:sz w:val="1"/>
                <w:szCs w:val="1"/>
                <w:color w:val="auto"/>
              </w:rPr>
            </w:pPr>
          </w:p>
        </w:tc>
      </w:tr>
      <w:tr>
        <w:trPr>
          <w:trHeight w:val="70"/>
        </w:trPr>
        <w:tc>
          <w:tcPr>
            <w:tcW w:w="3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 Percent</w:t>
            </w:r>
          </w:p>
        </w:tc>
        <w:tc>
          <w:tcPr>
            <w:tcW w:w="0" w:type="dxa"/>
            <w:vAlign w:val="bottom"/>
          </w:tcPr>
          <w:p>
            <w:pPr>
              <w:spacing w:after="0"/>
              <w:rPr>
                <w:sz w:val="1"/>
                <w:szCs w:val="1"/>
                <w:color w:val="auto"/>
              </w:rPr>
            </w:pPr>
          </w:p>
        </w:tc>
      </w:tr>
      <w:tr>
        <w:trPr>
          <w:trHeight w:val="24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0.6904</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0.6954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350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3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1.2835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1.2771</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0"/>
        </w:trPr>
        <w:tc>
          <w:tcPr>
            <w:tcW w:w="350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0.0033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0.0034</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0.0142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0"/>
        </w:trPr>
        <w:tc>
          <w:tcPr>
            <w:tcW w:w="350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0.2383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0.2416</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0.6504</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0.6591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350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0.2571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0.2606</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6"/>
        </w:trPr>
        <w:tc>
          <w:tcPr>
            <w:tcW w:w="3500" w:type="dxa"/>
            <w:vAlign w:val="bottom"/>
          </w:tcPr>
          <w:p>
            <w:pPr>
              <w:spacing w:after="0"/>
              <w:rPr>
                <w:sz w:val="24"/>
                <w:szCs w:val="24"/>
                <w:color w:val="auto"/>
              </w:rPr>
            </w:pPr>
          </w:p>
        </w:tc>
        <w:tc>
          <w:tcPr>
            <w:tcW w:w="3540" w:type="dxa"/>
            <w:vAlign w:val="bottom"/>
          </w:tcPr>
          <w:p>
            <w:pPr>
              <w:jc w:val="right"/>
              <w:ind w:right="12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Operating Results For The Years Ended December 31, 2020 and 2019 - By Operating 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years ended December 31, 2020 and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248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1"/>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3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w w:val="92"/>
              </w:rPr>
              <w:t>Increase (Decrease)</w:t>
            </w: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
              <w:spacing w:after="0" w:line="151" w:lineRule="exact"/>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91"/>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7"/>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468,726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(94,495)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0"/>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91,526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40"/>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0"/>
                <w:szCs w:val="20"/>
                <w:color w:val="auto"/>
              </w:rPr>
            </w:pPr>
          </w:p>
        </w:tc>
        <w:tc>
          <w:tcPr>
            <w:tcW w:w="1340" w:type="dxa"/>
            <w:vAlign w:val="bottom"/>
          </w:tcPr>
          <w:p>
            <w:pPr>
              <w:jc w:val="right"/>
              <w:ind w:right="14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84,025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3"/>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535,437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592,072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8"/>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(66,711)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(363,351)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ATMs in service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0"/>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Average ATMs in service during the year</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42,126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88"/>
        </w:trPr>
        <w:tc>
          <w:tcPr>
            <w:tcW w:w="5580" w:type="dxa"/>
            <w:vAlign w:val="bottom"/>
          </w:tcPr>
          <w:p>
            <w:pPr>
              <w:spacing w:after="0" w:line="189" w:lineRule="exact"/>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7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7"/>
          <w:szCs w:val="17"/>
          <w:color w:val="auto"/>
        </w:rPr>
        <w:t>EFT Processing Segment total revenues were $468.7 million for 2020, a decrease of $420.0 million or 47% compared to 2019. Total revenues for 2020 decreased due to the impact of fewer active ATMs and fewer high-margin cross-border transactions (DCC), related to COVID-19 pandemic-driven government-imposed border and business closures and shelter-in-place orders. The government imposed border and business closures and shelter-in-place orders were in effect for the majority of 2020. These closures resulted in a decrease in revenues for 2020 compared to 2019. Foreign currency movements decreased total revenues by approximately $1.0 million for 2020 compared to 2019.</w:t>
      </w:r>
    </w:p>
    <w:p>
      <w:pPr>
        <w:spacing w:after="0" w:line="1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Average monthly revenues per ATM decreased to $927 for 2020 compared to $1,655 for 2019. Revenues per transaction decreased to $0.14 for 2020 compared to $0.29 for 2019. The decreases in average monthly revenues per ATM and revenue per transaction were attributable to the decreases in DCC and surcharge transactions, which earn higher revenues per transaction than other ATM or card-based services. The decrease in DCC transactions was due to the decline in tourism throughout Europe driven by the border and business closures during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EFT Processing Segment direct operating costs were $302.6 million for 2020, a decrease of $94.5 million or 24% compared to 2019. Direct operating costs in the EFT Processing Segment consist primarily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The decrease in direct operating costs was primarily due to the decrease in the number of ATMs under management, renegotiated and reduced site rental fees, and reduced operating costs for ATM's seasonally deactivated during COVID-19 pandemic imposed restrictions. Foreign currency movements decreased direct operating costs by approximately $1.0 million for 2020 compared to 2019.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Gross profit</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Gross profit, which is calculated as revenues less direct operating costs, was $166.1 million for 2020, a decrease of $325.5 million or 66% compared to $491.6 million for 2019. Gross profit as a percentage of revenues ("gross margin") decreased to 35.4% for 2020 compared to 55.3% for 2019. The decrease in gross profit and gross margin was attributable to decreases in DCC and domestic and international surcharge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Salaries and benefits expenses were $91.5 million for 2020, an increase $3.9 million or 4% compared to 2019. The increase in salaries and benefits was primarily attributable to additional headcount to support expansion in the United States and long-term growth strategy, partially offset by a decrease in bonus expense. The border and business closures and shelter-in-place orders that took effect in late February 2020 and March 2020 in response to the COVID-19 pandemic reduced transaction volumes and revenues through the end of 2020. High-margin cross-border transactions and revenues for 2020 decreased compared to 2019 as a result. However, human resources to support actual and planned growth were added throughout 2019 as well as the early part of 2020 before the COVID-19 pandemic took effect. As a percentage of revenues, these expenses increased to 19.5% for 2020 compared to 9.9% for 2019. The Company made a decision to retain its employees during the pandemic.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68"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Selling, general and administrative expenses were $35.4 million for 2020, a decrease of $0.1 million or flat compared to 2019. As a percentage of revenues these expenses increased to 7.5% for 2020 compared to 4.0% for 2019. The increase was primarily due to an increase in bad debt expense, partially offset by a decrease in travel related expenses.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Depreciation and amortization expenses were $84.0 million for 2020, an increase of $12.2 million or 17% compared to 2019. The increase was primarily attributable to the deployment of additional ATMs (and subsequent seasonal deactivation) and software assets. As a percentage of revenues these expenses increased to 17.9% for 2020 compared to 8.1% for 2019.</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EFT Processing Segment operating loss was $66.7 million for 2020, a decrease of $363.4 million or 122% compared to 2019 operating income. Operating loss as a percentage of revenues ("operating margin") was (14.2%) for 2020 compared to operating income as a percentage of revenues of 33.4% for 2019 and operating loss per transaction was ($0.02) for 2020 compared to operating income per transaction of $0.10 for 2019. The decreases in operating income, operating margin, and operating income per transaction were primarily due to the decrease in revenues for 2020 compared to 2019 and the non-cash goodwill impairment charges. Beginning in late February 2020 and throughout December 2020, high margin cross-border transactions (DCC) decreased throughout Europe due to the COVID-19 pandemic driven government imposed border and business closures and shelter-in-place orders.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epay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2020 and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2480" w:type="dxa"/>
            <w:vAlign w:val="bottom"/>
            <w:gridSpan w:val="3"/>
          </w:tcPr>
          <w:p>
            <w:pPr>
              <w:jc w:val="right"/>
              <w:ind w:right="56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38"/>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Increase (Decrease)</w:t>
            </w: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91"/>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835,517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0"/>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0"/>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8"/>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95"/>
        </w:trPr>
        <w:tc>
          <w:tcPr>
            <w:tcW w:w="57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96,678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Transactions processed (billions)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8"/>
        </w:trPr>
        <w:tc>
          <w:tcPr>
            <w:tcW w:w="5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6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epay Segment total revenues were $835.5 million for 2020, an increase of $66.2 million or 9% compared to 2019. Revenue was higher by approximately $10 million related to a temporary increase in available margin provided by a mobile operator which was entirely passed on to the retailer. The remaining increase in total revenues was primarily due to an increase in the number of transactions processed driven by continued digital media growth. Foreign currency movements increased total revenues by approximately $0.5 million for 2020 compared to 2019. The epay segment was impacted by COVID-19 pandemic-driven government-imposed shelter-in-place orders and business closures, primarily at retail outlets, which were partially offset by increases in digital media offerings in Asia.</w:t>
      </w:r>
    </w:p>
    <w:p>
      <w:pPr>
        <w:spacing w:after="0" w:line="149"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Revenues per transaction decreased to $0.35 for 2020 compared to $0.50 for 2019. The decrease in revenues per transaction was primarily driven by the increase in the number of mobile transactions processed in a region where we generally earn lower revenues per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epay Segment direct operating costs were $630.4 million for 2020, an increase of $53.6 million or 9% compared to 2019.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transaction volumes for the large volume of low-value mobile top-up and digital transactions. Foreign currency movements decreased direct operating costs by approximately $0.3 million for 2020 compared to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Gross profit was $205.1 million for 2020, an increase of $12.5 million or 6% compared to $192.6 million for 2019. Gross margin decreased to 24.6% for 2020 compared to 25.0% for 2019. The increase in gross profit and the decrease in gross margin is driven by the increase in transaction volumes processed in regions where we generally earn lower revenues per transaction.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Salaries and benefits</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Salaries and benefits expenses were $64.8 million for 2020, an increase of $3.2 million or 5% compared to 2019. The increase in salaries and benefits was driven by an increase in headcount to support the growth of the business. As a percentage of revenues, these expenses decreased to 7.8% for 2020 compared to 8.0% for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Selling, general and administrative expenses were $35.8 million for 2020, an increase of $0.7 million or 2% compared to 2019. The increase in selling, general and administrative expenses was driven by maintenance costs in hardware and software to operate the business, partially offset by a decrease in travel related expenses. As a percentage of revenues, these expenses decreased to 4.3% for 2020 compared to 4.6% for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Depreciation and amortization expenses were $7.9 million for 2020, an increase of $1.1 million or 16% compared to 2019. Depreciation and amortization expenses primarily represent depreciation of POS terminals we install in retail stores and amortization of acquired intangible assets. The increase is primarily due to the addition of POS terminals and software assets. As a percentage of revenues, these expenses were flat at 0.9% for both 2020 and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epay Segment operating income was $96.7 million for 2020, an increase of $7.5 million or 8% compared to 2019. Operating margin was 11.6% for both 2020 and 2019 and operating income per transaction was $0.04 for 2020 compared to $0.06 for 2019. The increase in operating income and consistent operating margin was primarily due to an increase in the number of higher-margin digital media transactions and the decrease in operating income per transaction was driven by transactions processed in a region where we generally earn lower revenues per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2020 and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2980" w:type="dxa"/>
            <w:vAlign w:val="bottom"/>
            <w:gridSpan w:val="3"/>
          </w:tcPr>
          <w:p>
            <w:pPr>
              <w:jc w:val="right"/>
              <w:ind w:right="76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75"/>
              <w:spacing w:after="0" w:line="151" w:lineRule="exact"/>
              <w:rPr>
                <w:sz w:val="20"/>
                <w:szCs w:val="20"/>
                <w:color w:val="auto"/>
              </w:rPr>
            </w:pPr>
            <w:r>
              <w:rPr>
                <w:rFonts w:ascii="Arial" w:cs="Arial" w:eastAsia="Arial" w:hAnsi="Arial"/>
                <w:sz w:val="14"/>
                <w:szCs w:val="14"/>
                <w:b w:val="1"/>
                <w:bCs w:val="1"/>
                <w:color w:val="auto"/>
                <w:w w:val="90"/>
              </w:rPr>
              <w:t>Increase (Decrease)</w:t>
            </w: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3"/>
              <w:spacing w:after="0" w:line="151" w:lineRule="exact"/>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91"/>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7"/>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1,183,849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1,096,226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87,623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649,033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586,730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62,303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0"/>
        </w:trPr>
        <w:tc>
          <w:tcPr>
            <w:tcW w:w="536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213,511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208,792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4,719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133,068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0"/>
        </w:trPr>
        <w:tc>
          <w:tcPr>
            <w:tcW w:w="5360" w:type="dxa"/>
            <w:vAlign w:val="bottom"/>
            <w:gridSpan w:val="2"/>
          </w:tcPr>
          <w:p>
            <w:pPr>
              <w:ind w:left="16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84,741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84,741</w:t>
            </w:r>
          </w:p>
        </w:tc>
        <w:tc>
          <w:tcPr>
            <w:tcW w:w="160" w:type="dxa"/>
            <w:vAlign w:val="bottom"/>
          </w:tcPr>
          <w:p>
            <w:pPr>
              <w:spacing w:after="0"/>
              <w:rPr>
                <w:sz w:val="20"/>
                <w:szCs w:val="20"/>
                <w:color w:val="auto"/>
              </w:rPr>
            </w:pPr>
          </w:p>
        </w:tc>
        <w:tc>
          <w:tcPr>
            <w:tcW w:w="1440" w:type="dxa"/>
            <w:vAlign w:val="bottom"/>
          </w:tcPr>
          <w:p>
            <w:pPr>
              <w:jc w:val="right"/>
              <w:ind w:right="10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32,846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3"/>
        </w:trPr>
        <w:tc>
          <w:tcPr>
            <w:tcW w:w="53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1,124,140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961,436</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162,704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134,790</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(75,081)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gridSpan w:val="2"/>
          </w:tcPr>
          <w:p>
            <w:pPr>
              <w:ind w:left="160"/>
              <w:spacing w:after="0"/>
              <w:rPr>
                <w:sz w:val="20"/>
                <w:szCs w:val="20"/>
                <w:color w:val="auto"/>
              </w:rPr>
            </w:pPr>
            <w:r>
              <w:rPr>
                <w:rFonts w:ascii="Arial" w:cs="Arial" w:eastAsia="Arial" w:hAnsi="Arial"/>
                <w:sz w:val="18"/>
                <w:szCs w:val="18"/>
                <w:color w:val="auto"/>
              </w:rPr>
              <w:t>Transactions processed (millions)</w:t>
            </w: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00" w:type="dxa"/>
            <w:vAlign w:val="bottom"/>
          </w:tcPr>
          <w:p>
            <w:pPr>
              <w:spacing w:after="0" w:line="189" w:lineRule="exact"/>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3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594"/>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Revenues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Money Transfer Segment total revenues were $1,183.8 million for 2020, an increase of $87.6 million or 8% compared to 2019. The increase in revenue was primarily due to increases in U.S. outbound and international-originated money transfers, partially offset by a decrease in the U.S. domestic business. Foreign currency movements increased total revenues by approximately $7.2 million for 2020 compared to 2019.</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per transaction increased to $10.16 for 2020 compared to $9.57 for 2019. The increase in revenues per transaction was primarily driven by the shift in the proportion of domestic to international transfers. We earn higher revenue per transaction on international remittances.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6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Money Transfer Segment direct operating costs were $649.0 million for 2020, an increase of $62.3 million or 11% compared to 2019.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the increase in the number of U.S. outbound and international-originated money transfer transactions, partially offset by the impact of the U.S. dollar strengthening against key foreign currencies. Foreign currency movements increased direct operating costs by approximately $4.3 million for 2020 compared to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Gross profit was $534.8 million for 2020, an increase of $25.3 million or 5% compared to $509.5 million for 2019. Gross margin decreased to 45.2% for 2020 compared to 46.5% for 2019. The increase in gross profit was primarily due to increases in U.S. outbound and international-originated money transfers.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Salaries and benefits expenses were $213.5 million for 2020, an increase of $4.7 million or 2% compared to 2019. The increase in salaries and benefits was primarily driven by an increase in headcount to support the growth of the business, partially offset by a decrease in bonus expense. As a percentage of revenues, these expenses decreased to 18.0% for 2020 compared to 19.0% for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Selling, general and administrative expenses were $142.2 million for 2020, an increase of $9.1 million or 7% compared to 2019. The increase was primarily due to expenses incurred to support the growth of our money transfer services, the expansion of new products and services in both the U.S. and foreign markets, and an increase in bad debt expense, partially offset by a decrease in travel related expenses. As a percentage of revenues, these expenses decreased to 12.0% for 2020 compared to 12.1% for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 During the second half of 2020, a $2.0 million non-cash acquired intangible asset impairment charge was recorded for xe on previously acquired customer relationship intangible assets due to the discontinuation of trading with certain customers during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Depreciation and amortization expenses were $34.7 million for 2020, an increase of $1.8 million or 6% compared to 2019. Depreciation and amortization expenses primarily represent amortization of acquired intangible assets and depreciation of money transfer terminals, computers and software, leasehold improvements and office equipment. The increase is primarily due to investments made to support the growth in the business. As a percentage of revenues, these expenses decreased to 2.9% for 2020 compared to 3.0% for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6" w:lineRule="exact"/>
        <w:rPr>
          <w:sz w:val="20"/>
          <w:szCs w:val="20"/>
          <w:color w:val="auto"/>
        </w:rPr>
      </w:pPr>
    </w:p>
    <w:p>
      <w:pPr>
        <w:jc w:val="both"/>
        <w:spacing w:after="0"/>
        <w:rPr>
          <w:sz w:val="20"/>
          <w:szCs w:val="20"/>
          <w:color w:val="auto"/>
        </w:rPr>
      </w:pPr>
      <w:r>
        <w:rPr>
          <w:rFonts w:ascii="Arial" w:cs="Arial" w:eastAsia="Arial" w:hAnsi="Arial"/>
          <w:sz w:val="17"/>
          <w:szCs w:val="17"/>
          <w:color w:val="auto"/>
        </w:rPr>
        <w:t>Money Transfer Segment operating income was $59.7 million for 2020, a decrease of $75.1 million or 56% compared to 2019. Operating margin decreased to 5.0% for 2020 compared to 12.3% for 2019 and operating income per transaction decreased to $0.51 for 2020 compared to $1.18 for 2019. The decreases in operating income and operating margin were primarily driven by the non-cash goodwill impairment charge and the increase in selling, general and administrative expenses incurred to support the expansion of new products and markets, partially offset by increases in higher margin transactions for U.S. outbound and international-originated money transfers during the third and fourth quarter of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Corporate Services for the years ended December 31, 2020 and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restart"/>
          </w:tcPr>
          <w:p>
            <w:pPr>
              <w:jc w:val="right"/>
              <w:ind w:right="81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280"/>
              <w:spacing w:after="0" w:line="151" w:lineRule="exact"/>
              <w:rPr>
                <w:sz w:val="20"/>
                <w:szCs w:val="20"/>
                <w:color w:val="auto"/>
              </w:rPr>
            </w:pPr>
            <w:r>
              <w:rPr>
                <w:rFonts w:ascii="Arial" w:cs="Arial" w:eastAsia="Arial" w:hAnsi="Arial"/>
                <w:sz w:val="14"/>
                <w:szCs w:val="14"/>
                <w:b w:val="1"/>
                <w:bCs w:val="1"/>
                <w:color w:val="auto"/>
                <w:w w:val="89"/>
              </w:rPr>
              <w:t>Increase (Decrease)</w:t>
            </w:r>
          </w:p>
        </w:tc>
        <w:tc>
          <w:tcPr>
            <w:tcW w:w="12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34,336</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8,306</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5"/>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43,054</w:t>
            </w:r>
          </w:p>
        </w:tc>
        <w:tc>
          <w:tcPr>
            <w:tcW w:w="1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Total Corporate operating expenses were $43.1 million for 2020, a decrease of $2.4 million or 5% compared to 2019. The decrease is attributable to a decrease in bonus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vMerge w:val="restart"/>
          </w:tcPr>
          <w:p>
            <w:pPr>
              <w:jc w:val="right"/>
              <w:ind w:right="8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36"/>
              <w:spacing w:after="0"/>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21"/>
                <w:szCs w:val="21"/>
                <w:color w:val="auto"/>
              </w:rPr>
            </w:pPr>
          </w:p>
        </w:tc>
        <w:tc>
          <w:tcPr>
            <w:tcW w:w="1300" w:type="dxa"/>
            <w:vAlign w:val="bottom"/>
          </w:tcPr>
          <w:p>
            <w:pPr>
              <w:jc w:val="right"/>
              <w:ind w:right="32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1"/>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8"/>
              </w:rPr>
              <w:t>(Decrease) Amount</w:t>
            </w:r>
          </w:p>
        </w:tc>
        <w:tc>
          <w:tcPr>
            <w:tcW w:w="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4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0"/>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0"/>
                <w:szCs w:val="20"/>
                <w:color w:val="auto"/>
              </w:rPr>
            </w:pP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(36,237)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gains, net</w:t>
            </w:r>
          </w:p>
        </w:tc>
        <w:tc>
          <w:tcPr>
            <w:tcW w:w="5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67"/>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5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(38,451)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(41,387)</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36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Other gains, net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2019, the Company provided a notice of redemption on the outstanding Retired Convertible Notes. Prior to the redemption date, approximately $352.4 million principal amount of the Retired Convertible Notes was submitted for conversion for the remainder. The Company settled the principal amount with cash and issuing shares of common stock valued at $147.24 per share. In accordance with ASC 470, the Company recognized a loss of $9.8 million on the conversion of those Restricted Convertible Notes and the redemption of the remaining Retired Convertible Notes, representing the difference between the fair value of the Retired Convertible Notes and the carrying value of the Retired Convertible Notes at the time of conversion and redemption.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recorded a net foreign currency exchange loss of $3.8 million for 2020 and a net foreign currency exchange gain of $2.7 million in 2019. These realized and unrealized foreign currency exchange losses and gains reflect the fluctuation in the value of the U.S. dollar against the currencies of the countries in which we operated during the respective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8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433,807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(87,112)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346,695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8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433,807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320" w:type="dxa"/>
            <w:vAlign w:val="bottom"/>
            <w:gridSpan w:val="2"/>
          </w:tcPr>
          <w:p>
            <w:pPr>
              <w:ind w:left="160"/>
              <w:spacing w:after="0"/>
              <w:rPr>
                <w:sz w:val="20"/>
                <w:szCs w:val="20"/>
                <w:color w:val="auto"/>
              </w:rPr>
            </w:pPr>
            <w:r>
              <w:rPr>
                <w:rFonts w:ascii="Arial" w:cs="Arial" w:eastAsia="Arial" w:hAnsi="Arial"/>
                <w:sz w:val="18"/>
                <w:szCs w:val="18"/>
                <w:color w:val="auto"/>
              </w:rPr>
              <w:t>Adjust: Goodwill and acquired intangible assets impairment</w:t>
            </w:r>
          </w:p>
        </w:tc>
        <w:tc>
          <w:tcPr>
            <w:tcW w:w="32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(106,602)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Adjust: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320" w:type="dxa"/>
            <w:vAlign w:val="bottom"/>
            <w:gridSpan w:val="2"/>
          </w:tcPr>
          <w:p>
            <w:pPr>
              <w:ind w:left="160"/>
              <w:spacing w:after="0"/>
              <w:rPr>
                <w:sz w:val="20"/>
                <w:szCs w:val="20"/>
                <w:color w:val="auto"/>
              </w:rPr>
            </w:pPr>
            <w:r>
              <w:rPr>
                <w:rFonts w:ascii="Arial" w:cs="Arial" w:eastAsia="Arial" w:hAnsi="Arial"/>
                <w:sz w:val="18"/>
                <w:szCs w:val="18"/>
                <w:color w:val="auto"/>
              </w:rPr>
              <w:t>Adjust: Foreign currency exchange (loss) gain, net</w:t>
            </w:r>
          </w:p>
        </w:tc>
        <w:tc>
          <w:tcPr>
            <w:tcW w:w="32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117,660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440,926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(87,112)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(expense) attributable to 2017 U.S. Tax Reform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(expense) attributable to foreign currency exchange (loss) gain, net</w:t>
            </w:r>
          </w:p>
        </w:tc>
        <w:tc>
          <w:tcPr>
            <w:tcW w:w="32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as adjusted</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(123,830)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55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3" w:name="page54"/>
    <w:bookmarkEnd w:id="53"/>
    <w:p>
      <w:pPr>
        <w:jc w:val="both"/>
        <w:spacing w:after="0" w:line="236" w:lineRule="auto"/>
        <w:rPr>
          <w:sz w:val="20"/>
          <w:szCs w:val="20"/>
          <w:color w:val="auto"/>
        </w:rPr>
      </w:pPr>
      <w:r>
        <w:rPr>
          <w:rFonts w:ascii="Arial" w:cs="Arial" w:eastAsia="Arial" w:hAnsi="Arial"/>
          <w:sz w:val="17"/>
          <w:szCs w:val="17"/>
          <w:color w:val="auto"/>
        </w:rPr>
        <w:t>We calculate our effective income tax rate by dividing income tax expense by pre-tax book income. Our effective income tax rates were 140.4% and 20.1% for the years ended December 31, 2020 and 2019, respectively. On December 22, 2017, the U.S. enacted into law what is informally called the Tax Cuts and Jobs Act of 2017 ("U.S. Tax Reform"). In the fourth quarter of 2019 after additional regulatory guidance was issued by applicable taxing authorities, the Company elected to claim U.S. foreign tax credits, which reduced the net tax expense by $25.7 million. See Note 14, Income Taxes, to the Consolidated Financial Statements for further information. The effective income tax rates were also significantly influenced by the impact of the goodwill and acquired intangible asset impairment and foreign currency exchange gains (losses). Excluding foreign currency exchange gains (losses) and goodwill and acquired intangible asset impairment items from pre-tax income, as well as the related tax effects for these items, our adjusted effective income tax rates were 13.2% and 28.1% for the years ended December 31, 2020 and 2019, respectively.</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effective income tax rate, as adjusted, for 2020 was lower than the applicable statutory income tax rate of 21% primarily because of the release of unrecognized tax benefits for the completion of foreign country tax audits. The effective income tax rate, as adjusted, for 2019 was higher than the applicable statutory income tax rate of 21% primarily because of higher income tax rates in foreign countries where we have significant operations. and the tax effects of the global intangible low-taxed income ("GILTI") provision of U.S. Tax Reform.</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$39.8 million as of December 31, 2020.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Net (Income) Loss Attributable To Noncontrolling Interest</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income attributable to noncontrolling interests was $0.1 million for 2020 and net loss attributable to noncontrolling interests was $0.1 million for 2019. Noncontrolling interests represent the elimination of net income or loss attributable to the minority shareholders' portion of the following consolidated subsidiaries that are not wholly owned: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vMerge w:val="restart"/>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Percent Owned</w:t>
            </w:r>
          </w:p>
        </w:tc>
        <w:tc>
          <w:tcPr>
            <w:tcW w:w="100" w:type="dxa"/>
            <w:vAlign w:val="bottom"/>
            <w:vMerge w:val="restart"/>
          </w:tcPr>
          <w:p>
            <w:pPr>
              <w:spacing w:after="0"/>
              <w:rPr>
                <w:sz w:val="14"/>
                <w:szCs w:val="14"/>
                <w:color w:val="auto"/>
              </w:rPr>
            </w:pP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Segment -</w:t>
            </w:r>
          </w:p>
        </w:tc>
        <w:tc>
          <w:tcPr>
            <w:tcW w:w="0" w:type="dxa"/>
            <w:vAlign w:val="bottom"/>
          </w:tcPr>
          <w:p>
            <w:pPr>
              <w:spacing w:after="0"/>
              <w:rPr>
                <w:sz w:val="1"/>
                <w:szCs w:val="1"/>
                <w:color w:val="auto"/>
              </w:rPr>
            </w:pPr>
          </w:p>
        </w:tc>
      </w:tr>
      <w:tr>
        <w:trPr>
          <w:trHeight w:val="191"/>
        </w:trPr>
        <w:tc>
          <w:tcPr>
            <w:tcW w:w="8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Country</w:t>
            </w:r>
          </w:p>
        </w:tc>
        <w:tc>
          <w:tcPr>
            <w:tcW w:w="0" w:type="dxa"/>
            <w:vAlign w:val="bottom"/>
          </w:tcPr>
          <w:p>
            <w:pPr>
              <w:spacing w:after="0"/>
              <w:rPr>
                <w:sz w:val="1"/>
                <w:szCs w:val="1"/>
                <w:color w:val="auto"/>
              </w:rPr>
            </w:pPr>
          </w:p>
        </w:tc>
      </w:tr>
      <w:tr>
        <w:trPr>
          <w:trHeight w:val="247"/>
        </w:trPr>
        <w:tc>
          <w:tcPr>
            <w:tcW w:w="8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0"/>
        </w:trPr>
        <w:tc>
          <w:tcPr>
            <w:tcW w:w="888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w:t>
            </w:r>
          </w:p>
        </w:tc>
        <w:tc>
          <w:tcPr>
            <w:tcW w:w="0" w:type="dxa"/>
            <w:vAlign w:val="bottom"/>
          </w:tcPr>
          <w:p>
            <w:pPr>
              <w:spacing w:after="0"/>
              <w:rPr>
                <w:sz w:val="1"/>
                <w:szCs w:val="1"/>
                <w:color w:val="auto"/>
              </w:rPr>
            </w:pPr>
          </w:p>
        </w:tc>
      </w:tr>
      <w:tr>
        <w:trPr>
          <w:trHeight w:val="236"/>
        </w:trPr>
        <w:tc>
          <w:tcPr>
            <w:tcW w:w="8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Pakistan</w:t>
            </w:r>
          </w:p>
        </w:tc>
        <w:tc>
          <w:tcPr>
            <w:tcW w:w="0" w:type="dxa"/>
            <w:vAlign w:val="bottom"/>
          </w:tcPr>
          <w:p>
            <w:pPr>
              <w:spacing w:after="0"/>
              <w:rPr>
                <w:sz w:val="1"/>
                <w:szCs w:val="1"/>
                <w:color w:val="auto"/>
              </w:rPr>
            </w:pPr>
          </w:p>
        </w:tc>
      </w:tr>
      <w:tr>
        <w:trPr>
          <w:trHeight w:val="240"/>
        </w:trPr>
        <w:tc>
          <w:tcPr>
            <w:tcW w:w="888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EFT - India</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Euronet</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loss attributable to Euronet was $3.4 million for 2020 compared to the net income attributable to Euronet for 2019, a decrease of $350.1 million or 101%. The decrease in net income was primarily attributable to the $267.4 million decrease in revenues, the $161.2 million increase in operating expenses (including the $106.6 million non-cash goodwill and acquired intangible asset impairment charges), and $6.5 million increase in net foreign currency exchange losses, partially offset by a $9.8 million decrease in loss on early retirement of debt and a decrease in income tax expense of $75.6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recorded a net gain on translation adjustments of $70.8 million for 2020 and a net loss of $13.9 million for 2019. During 2020, the U.S. dollar weakened compared to key foreign currencies, resulting in translation gains which were recorded in comprehensive income. In 2019, the U.S. dollar strengthened compared to most currencies, resulting in translation losses which were recorded in comprehensive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6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of December 31, 2020, we had working capital of $1,510.5 million, which is calculated as the difference between total current assets and total current liabilities, compared to working capital of $1,284.8 million as of December 31, 2019. The increase in working capital is primarily driven by an increase in borrowings on our revolving credit facility of $270.4 million and operating results for 2020, partially offset by $239.8 million of share repurchases during the first quarter of 2020. This $270.4 million was utilized to facilitate effective cash management for year-end payment and settlement requirements across many countries and was repaid in January 2021. Our ratio of current assets to current liabilities was 1.81 and 1.79 as of December 31, 2020 and December 31, 2019,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5" w:name="page56"/>
    <w:bookmarkEnd w:id="55"/>
    <w:p>
      <w:pPr>
        <w:jc w:val="both"/>
        <w:spacing w:after="0" w:line="251"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2020, we had approximately $411.1 million of our own cash in use or designated for use in our ATM network, which is recorded in ATM cash on Euronet's Consolidated Balance Sheet. ATM cash decreased $254.5 million from $665.6 million as of December 31, 2019 to $411.1 million as of December 31, 2020 as a result of the reduction in number of active ATMs as of December 31, 2020 compared to December 31, 2019.</w:t>
      </w:r>
    </w:p>
    <w:p>
      <w:pPr>
        <w:spacing w:after="0" w:line="14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 has $1,420.3 million of unrestricted cash as of December 31, 2020 compared to $786.1 million as of December 31, 2019. The increase in cash is primarily due to the transfer of ATM cash to unrestricted cash, cash generated from operations, and additional borrowings on the Credit Facility of $270.4 million, partially offset by $239.8 million in share repurchases during the first quarter of 2020. Including the $411.1 million of cash in ATMs at December 31, 2020, the Company has access to $1,831.4 million in available cash, and $668.8 million available under the credit facility with no significant long-term debt principal payments until October 2023.</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had cash, cash equivalents and restricted cash of $2,099.5 million as of December 31, 2020, of which $1,394.8 million was held outside of the U.S. and is expected to be indefinitely reinvested for continued use in foreign operations. Repatriation of these assets to the U.S. could have negative tax consequences.</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years ended December 31, 2020 and 2019 (in thousands):</w:t>
      </w:r>
    </w:p>
    <w:p>
      <w:pPr>
        <w:spacing w:after="0" w:line="201"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36830</wp:posOffset>
            </wp:positionV>
            <wp:extent cx="1727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27835" cy="8255"/>
                    </a:xfrm>
                    <a:prstGeom prst="rect">
                      <a:avLst/>
                    </a:prstGeom>
                    <a:noFill/>
                  </pic:spPr>
                </pic:pic>
              </a:graphicData>
            </a:graphic>
          </wp:anchor>
        </w:drawing>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Liquidity</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4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0"/>
        </w:trPr>
        <w:tc>
          <w:tcPr>
            <w:tcW w:w="84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253,505</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504,488</w:t>
            </w:r>
          </w:p>
        </w:tc>
      </w:tr>
      <w:tr>
        <w:trPr>
          <w:trHeight w:val="28"/>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8"/>
        </w:trPr>
        <w:tc>
          <w:tcPr>
            <w:tcW w:w="8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(229,027)</w:t>
            </w:r>
          </w:p>
        </w:tc>
      </w:tr>
      <w:tr>
        <w:trPr>
          <w:trHeight w:val="240"/>
        </w:trPr>
        <w:tc>
          <w:tcPr>
            <w:tcW w:w="84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416,298</w:t>
            </w:r>
          </w:p>
        </w:tc>
      </w:tr>
      <w:tr>
        <w:trPr>
          <w:trHeight w:val="28"/>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55"/>
        </w:trPr>
        <w:tc>
          <w:tcPr>
            <w:tcW w:w="8480" w:type="dxa"/>
            <w:vAlign w:val="bottom"/>
          </w:tcPr>
          <w:p>
            <w:pPr>
              <w:ind w:left="20"/>
              <w:spacing w:after="0"/>
              <w:rPr>
                <w:sz w:val="20"/>
                <w:szCs w:val="20"/>
                <w:color w:val="auto"/>
              </w:rPr>
            </w:pPr>
            <w:r>
              <w:rPr>
                <w:rFonts w:ascii="Arial" w:cs="Arial" w:eastAsia="Arial" w:hAnsi="Arial"/>
                <w:sz w:val="18"/>
                <w:szCs w:val="18"/>
                <w:color w:val="auto"/>
              </w:rPr>
              <w:t>Increase in cash and cash equivalents and restricted cash</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686,427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Cash flows provided by operating activities were $253.5 million for 2020 compared to $504.5 million for 2019. The decrease in operating cash flows was primarily due to the decrease in net income, partially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flows used in investing activities were $105.5 million for 2020 compared to $229.0 million for 2019. The decrease is primarily the result of a $93.1 million decrease in acquisitions during 2020 compared to 2019. We used $97.6 million for purchases of property and equipment in 2020 compared to $131.3 million in 2019. The decrease in purchases of property and equipment is primarily driven by the COVID-19 pandemic related impacts to the EFT segment. Cash used for software development and other investing activities totaled $7.8 million in 2020 compared to $7.3 million in 2019. Other investing activities consists mainly of proceeds from the sale of property and equipment of $1.0 million for 2020 and $3.7 million for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Cash flows provided financing activities were $35.4 million for 2020 compared to $416.3 million for 2019. The net borrowings on debt obligations were $265.2 million for 2020 compared to $500.2 million in 2019. The decrease in net borrowings was the result of the issuance of $1,194.9 million of Convertible Notes and Senior Notes during 2019 which were used to fund the operating cash of our IAD networks, repay revolving credit facility borrowings and repurchase a portion of existing convertible notes, partially offset by $270.4 million outstanding on the Credit Facility as of December 31, 2020. We repurchased $241.5 million and $74.5 million of our common stock during 2020 and 2019, respectively. Of the $241.5 million repurchased shares, $239.8 million of Euronet common stock was repurchased under our repurchase program. We received proceeds of $18.1 million and $15.0 million during 2020 and 2019, respectively, for the issuance of stock in connection with our Stock Incentive Plan.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25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December 31, 2020, fees and interest on borrowings are based upon the Company's corporate credit rating (as defined in the Credit Facility)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As of December 31, 2020, we had $270.4 million of borrowings and $60.8 million of stand-by letters of credit outstanding under the Credit Facility. The remaining $668.8 million under the Credit Facility was available for borrowing. As of December 31, 2020, the weighted average interest rate under the Credit Facility was 1.2%, excluding amortization of deferred financing costs.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On March 18, 2019, we completed the sale of $525.0 million in principal amount of Convertible Senior Notes due 2049 (“Convertible Notes”). As of December 31, 2020 the carrying value of the Convertible Notes was $452.2 million. 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57" w:name="page58"/>
    <w:bookmarkEnd w:id="57"/>
    <w:p>
      <w:pPr>
        <w:ind w:right="140"/>
        <w:spacing w:after="0" w:line="232" w:lineRule="auto"/>
        <w:rPr>
          <w:sz w:val="20"/>
          <w:szCs w:val="20"/>
          <w:color w:val="auto"/>
        </w:rPr>
      </w:pPr>
      <w:r>
        <w:rPr>
          <w:rFonts w:ascii="Arial" w:cs="Arial" w:eastAsia="Arial" w:hAnsi="Arial"/>
          <w:sz w:val="18"/>
          <w:szCs w:val="18"/>
          <w:color w:val="auto"/>
        </w:rPr>
        <w:t>For the Retired Convertible Notes, in accordance with ASC 470, the Company recognized a loss of $9.8 million on the conversion and redemption of the debt in 2019, representing the difference between the fair value of the Retired Convertible Notes and the carrying value of the Retired Convertible Notes at the time of conversion.</w:t>
      </w:r>
    </w:p>
    <w:p>
      <w:pPr>
        <w:spacing w:after="0" w:line="150"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xml:space="preserve"> - 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December 31, 2020, the Company has outstanding €600 million ($732.8 million) principal amount of the Senior Notes. In addition, the Company may redeem some or all of these notes on or after February 22, 2026 at their principal amount plus any accrued and unpaid interest.</w:t>
      </w:r>
    </w:p>
    <w:p>
      <w:pPr>
        <w:spacing w:after="0" w:line="151"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$0.9 million and $6.2 million outstanding under these other obligation arrangements as of December 31, 2020 and December 31, 2019,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2020 were $96.2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2021 are currently estimated to be approximately $135 million to $140 million. The Company reduced capital expenditures for 2020 due to the COVID-19 pandemic.</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u w:val="single" w:color="auto"/>
          <w:color w:val="auto"/>
        </w:rPr>
        <w:t>Contractual lease obligations</w:t>
      </w:r>
      <w:r>
        <w:rPr>
          <w:rFonts w:ascii="Arial" w:cs="Arial" w:eastAsia="Arial" w:hAnsi="Arial"/>
          <w:sz w:val="18"/>
          <w:szCs w:val="18"/>
          <w:color w:val="auto"/>
        </w:rPr>
        <w:t xml:space="preserve"> — The Company has entered into contractually binding operating and finance lease commitments to operate the business. Operating lease expenses were $83.1 million for the year ended December 31, 2020 and $130.5 million for the year ended December 31, 2019. Finance lease expenses were not material for 2020 or 2019. For additional information on operating and finance lease obligations, see Note 13, Leases, to the Consolidated Financial Statements.</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Company's Board of Directors had authorized a stock repurchase program allowing Euronet to repurchase up to $375 million in value or 10.0 million shares of stock through March 31, 2020. The Company repurchased all $375 million of stock under this program. On March 11, 2019, in connection with the issuance of the Convertible Notes, the Board of Directors authorized an additional repurchase program of $120 million in value of the Company's common stock through March 11, 2021. The Company has repurchased $110.6 million of stock under this program. On February 26, 2020, the Company put a repurchase program in place to repurchase up to $250 million in value, but not more than 5.0 million shares of common stock through February 28, 2022. For the year ended December 31, 2020, the Company repurchased 2.1 million shares under the repurchase programs at a weighted average purchase price of $114.41 for a total value of $239.8 million. Repurchases under either of the current programs may take place in the open market or in privately negotiated transactions, including derivative transactions, and may be made under a Rule 10b5-1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20, Commitments, to the Consolidated Financial Statements.</w:t>
      </w:r>
    </w:p>
    <w:p>
      <w:pPr>
        <w:spacing w:after="0" w:line="14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5"/>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Less than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More than</w:t>
            </w:r>
          </w:p>
        </w:tc>
      </w:tr>
      <w:tr>
        <w:trPr>
          <w:trHeight w:val="231"/>
        </w:trPr>
        <w:tc>
          <w:tcPr>
            <w:tcW w:w="586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1-3 years</w:t>
            </w: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3-5 years</w:t>
            </w:r>
          </w:p>
        </w:tc>
        <w:tc>
          <w:tcPr>
            <w:tcW w:w="18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5 years</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2"/>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r>
      <w:tr>
        <w:trPr>
          <w:trHeight w:val="240"/>
        </w:trPr>
        <w:tc>
          <w:tcPr>
            <w:tcW w:w="5860" w:type="dxa"/>
            <w:vAlign w:val="bottom"/>
          </w:tcPr>
          <w:p>
            <w:pPr>
              <w:ind w:left="40"/>
              <w:spacing w:after="0"/>
              <w:rPr>
                <w:sz w:val="20"/>
                <w:szCs w:val="20"/>
                <w:color w:val="auto"/>
              </w:rPr>
            </w:pPr>
            <w:r>
              <w:rPr>
                <w:rFonts w:ascii="Arial" w:cs="Arial" w:eastAsia="Arial" w:hAnsi="Arial"/>
                <w:sz w:val="18"/>
                <w:szCs w:val="18"/>
                <w:color w:val="auto"/>
              </w:rPr>
              <w:t>Obligations under operating leases (undiscounted)</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8"/>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3"/>
        </w:trPr>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r>
      <w:tr>
        <w:trPr>
          <w:trHeight w:val="28"/>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6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2020 and assumes no change in our revolving credit borrowings prior to the maturity date of our credit facility. For additional information on debt obligations, see Note 11, Debt Obligations,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operating lease obligations, see Note 13, Leases, to the Consolidated Financial Statements.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$39.8 million as of December 31, 2020.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Accounting for income taxes</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4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assessing the recognition of deferred tax assets, we consider whether it is more likely than not that some portion or all of the deferred tax assets will be realized. As more fully described in Note 14, Income Taxes, to the Consolidated Financial Statements, gross deferred tax assets were $274.2 million as of December 31, 2020, partially offset by a valuation allowance of $77.6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2020.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w:t>
      </w:r>
      <w:r>
        <w:rPr>
          <w:rFonts w:ascii="Arial" w:cs="Arial" w:eastAsia="Arial" w:hAnsi="Arial"/>
          <w:sz w:val="16"/>
          <w:szCs w:val="16"/>
          <w:i w:val="1"/>
          <w:iCs w:val="1"/>
          <w:color w:val="auto"/>
        </w:rPr>
        <w:t>,</w:t>
      </w:r>
      <w:r>
        <w:rPr>
          <w:rFonts w:ascii="Arial" w:cs="Arial" w:eastAsia="Arial" w:hAnsi="Arial"/>
          <w:sz w:val="16"/>
          <w:szCs w:val="16"/>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and subsequent mitigation efforts, which included global business shutdowns, the closing of borders and the implementation of mandatory social distancing requirements, created an unprecedented disruption to our business beginning in the first half of 2020. These mitigation efforts coupled with the negative economic impacts to the tourism industry caused some of our reporting units to either have a temporary or sustained decline in revenues and earnings and necessitated changes to our forecasted outlook. We determined the totality of these events constituted a triggering event that required us to perform an interim goodwill impairment assessment as of June 1, 2020. We concluded a triggering event had occurred for six reporting units, resulting in quantitative impairment tests. Three reporting units are within the EFT segment, two reporting units are within the Money Transfer segment, and one reporting unit is within the epay segment.</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fair value of these reporting units were determined using weighted results from the discounted cash flow model ("DCF model") and guideline public company method ("Market Approach model"). A number of significant assumptions and estimates are involved in the application of the DCF model to forecast operating cash flows, including forecasted revenue, forecasted EBITDA margin, and discount rate. Significant assumptions and inputs in the Market Approach model are EBITDA, EBITDA market multiple, and the estimated control premium. The DCF Model and Market Approach Model utilize Level 3 inputs in the fair value hierarchy as they include unobservable inputs that require significant management assumptions.</w:t>
      </w:r>
    </w:p>
    <w:p>
      <w:pPr>
        <w:spacing w:after="0" w:line="13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results of the June 1, 2020 quantitative test were that three of the six reporting units’ fair value exceeded their respective carrying amounts. For the remaining three reporting units, the quantitative test indicated that the fair value of each of the reporting units was less than the respective carrying amounts. As a result, we recorded a non-cash goodwill impairment charge of $104.6 million with respect to the xe, Innova and Pure Commerce reporting units. A total of $21.9 million of the impairment charge was included within the EFT Segment, and $82.7 million of the impairment charge was included in the Money Transfer Segment.</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Subsequent to June 1, 2020 and through year-end, including the fourth quarter annual impairment test, management monitored whether there were events or changes in circumstances that had occurred, at a reporting unit level, to indicate that goodwill was impaired or further impaired. There were no indications of impairment and no additional non-cash goodwill impairment charges were recorded.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61" w:name="page62"/>
    <w:bookmarkEnd w:id="61"/>
    <w:p>
      <w:pPr>
        <w:jc w:val="both"/>
        <w:spacing w:after="0" w:line="237" w:lineRule="auto"/>
        <w:rPr>
          <w:sz w:val="20"/>
          <w:szCs w:val="20"/>
          <w:color w:val="auto"/>
        </w:rPr>
      </w:pPr>
      <w:r>
        <w:rPr>
          <w:rFonts w:ascii="Arial" w:cs="Arial" w:eastAsia="Arial" w:hAnsi="Arial"/>
          <w:sz w:val="17"/>
          <w:szCs w:val="17"/>
          <w:color w:val="auto"/>
        </w:rPr>
        <w:t>Acquired finite-lived intangible assets are amortized over their estimated useful lives. We evaluate the recoverability of our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5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of December 31, 2020, the Consolidated Balance Sheet includes goodwill of $665.8 million and acquired intangible assets, net of accumulated amortization, of $121.9 million. The Company recorded $104.6 million of non-cash goodwill impairment charges and $2.0 million of acquired intangible asset impairment charges for the year ended December 31, 2020. For more detail on the Company's impairment charges, see Note 9, Goodwill and Acquired Intangible Assets, Net, to the accompanying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3 - Summary of Significant Accounting Policies and Practices.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3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-70485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the COVID-19 pandemic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-78740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2" w:name="page63"/>
    <w:bookmarkEnd w:id="62"/>
    <w:p>
      <w:pPr>
        <w:jc w:val="both"/>
        <w:spacing w:after="0" w:line="233"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speed and effectiveness of rollouts for vaccines and treatments for COVID-19;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of December 31, 2020, our total debt outstanding, excluding unamortized debt issuance costs, was $1,456.3 million. Of this amount, $452.2 million, net of debt discounts, or 31%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December 31, 2020, the fair value of our fixed rate Convertible Notes was $667.4 million, compared to a carrying value of $452.2 million. Interest expense for the Convertible Notes, including accretion and amortization of deferred debt issuance costs, has a weighted average interest rate of 4.4% annually. Further, as of December 31, 2020, we had $270.4 million outstanding under our Credit Facility, or 19% of our total debt obligations. Additionally, $732.8 million, or 50% of our total debt obligations, relates to Senior Notes having a fixed coupon rate. Our €600 million outstanding principal amount of Senior Notes accrue cash interest at a rate of 1.375% of the principal per annum. Based on quoted market prices, as of December 31, 2020, the fair value of our fixed rate Senior Notes was $728.7 million, compared to a carrying value of $732.8 million. The remaining $0.9 million, or 0.1% of our total debt obligations, is related to borrowings by certain subsidiaries to fund, from time to time, working capital requirements. These arrangements generally are due within one year and accrue interest at variable rates.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Additionally, as of December 31, 2020, we had approximately $12.6 million of finance leases with fixed payment and interest terms that expire between the years of 2021 and 2025.</w:t>
      </w:r>
    </w:p>
    <w:p>
      <w:pPr>
        <w:spacing w:after="0" w:line="14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years ended December 31, 2020 and 2019, 71% and 74% of our revenues, respectively, were generated in non-U.S. dollar countries. We expect to continue generating a significant portion of our revenues in countries with currencies other than the U.S. dollar.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3" w:name="page64"/>
    <w:bookmarkEnd w:id="63"/>
    <w:p>
      <w:pPr>
        <w:jc w:val="both"/>
        <w:spacing w:after="0" w:line="22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2020, we estimate that a 10% fluctuation in these foreign currency exchange rates would have the combined annualized effect on reported net income and working capital of approximately $80 million to $85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$98 million to $103 million as a result of the change in value of these items during translation to the U.S. dollar. For the fluctuations described above, a strengthening U.S. dollar produces a financial loss, while a weakening U.S. dollar produces a financial gain.</w:t>
      </w:r>
    </w:p>
    <w:p>
      <w:pPr>
        <w:spacing w:after="0" w:line="14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December 31, 2020, we had foreign currency derivative contracts outstanding with a notional value of $246 million, primarily in Australian dollars, British pounds, Canadian dollars, euros and Mexican pesos, that were not designated as hedges and mature within a few days.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2020,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13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December 31, 2020, the Company had foreign currency forward contracts outstanding with a notional value of $454 million, primarily in euros.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See Note 12, Derivative Instruments and Hedging Activities to our Consolidated Financial Statements for additional information.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1"/>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32"/>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60" w:type="dxa"/>
            <w:vAlign w:val="bottom"/>
            <w:gridSpan w:val="2"/>
          </w:tcPr>
          <w:p>
            <w:pPr>
              <w:jc w:val="right"/>
              <w:ind w:right="131"/>
              <w:spacing w:after="0"/>
              <w:rPr>
                <w:sz w:val="20"/>
                <w:szCs w:val="20"/>
                <w:color w:val="auto"/>
              </w:rPr>
            </w:pPr>
            <w:r>
              <w:rPr>
                <w:rFonts w:ascii="Arial" w:cs="Arial" w:eastAsia="Arial" w:hAnsi="Arial"/>
                <w:sz w:val="18"/>
                <w:szCs w:val="18"/>
                <w:color w:val="auto"/>
                <w:w w:val="76"/>
              </w:rPr>
              <w:t>Page</w:t>
            </w:r>
          </w:p>
        </w:tc>
      </w:tr>
      <w:tr>
        <w:trPr>
          <w:trHeight w:val="260"/>
        </w:trPr>
        <w:tc>
          <w:tcPr>
            <w:tcW w:w="5340" w:type="dxa"/>
            <w:vAlign w:val="bottom"/>
            <w:gridSpan w:val="3"/>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Report of Independent Registered Public Accounting Firm</w:t>
              </w:r>
            </w:hyperlink>
          </w:p>
        </w:tc>
        <w:tc>
          <w:tcPr>
            <w:tcW w:w="53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64</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FINANCIAL STATEMENTS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BALANCE SHEETS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OPERATIONS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68</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w w:val="98"/>
              </w:rPr>
            </w:pPr>
            <w:hyperlink w:anchor="page71">
              <w:r>
                <w:rPr>
                  <w:rFonts w:ascii="Arial" w:cs="Arial" w:eastAsia="Arial" w:hAnsi="Arial"/>
                  <w:sz w:val="18"/>
                  <w:szCs w:val="18"/>
                  <w:u w:val="single" w:color="auto"/>
                  <w:color w:val="0000EE"/>
                  <w:w w:val="98"/>
                </w:rPr>
                <w:t>CONSOLIDATED STATEMENTS OF COMPREHENSIVE INCOME</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CHANGES IN EQUITY</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CASH FLOWS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255"/>
        </w:trPr>
        <w:tc>
          <w:tcPr>
            <w:tcW w:w="5340" w:type="dxa"/>
            <w:vAlign w:val="bottom"/>
            <w:gridSpan w:val="3"/>
          </w:tcPr>
          <w:p>
            <w:pPr>
              <w:ind w:left="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NOTES TO CONSOLIDATED FINANCIAL STATEMENTS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76">
              <w:r>
                <w:rPr>
                  <w:rFonts w:ascii="Arial" w:cs="Arial" w:eastAsia="Arial" w:hAnsi="Arial"/>
                  <w:sz w:val="18"/>
                  <w:szCs w:val="18"/>
                  <w:u w:val="single" w:color="auto"/>
                  <w:color w:val="0000EE"/>
                  <w:w w:val="99"/>
                </w:rPr>
                <w:t>(1)</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Organization</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76">
              <w:r>
                <w:rPr>
                  <w:rFonts w:ascii="Arial" w:cs="Arial" w:eastAsia="Arial" w:hAnsi="Arial"/>
                  <w:sz w:val="18"/>
                  <w:szCs w:val="18"/>
                  <w:u w:val="single" w:color="auto"/>
                  <w:color w:val="0000EE"/>
                  <w:w w:val="99"/>
                </w:rPr>
                <w:t>(2)</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Basis of Preparation</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77">
              <w:r>
                <w:rPr>
                  <w:rFonts w:ascii="Arial" w:cs="Arial" w:eastAsia="Arial" w:hAnsi="Arial"/>
                  <w:sz w:val="18"/>
                  <w:szCs w:val="18"/>
                  <w:u w:val="single" w:color="auto"/>
                  <w:color w:val="0000EE"/>
                  <w:w w:val="99"/>
                </w:rPr>
                <w:t>(3)</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Summary of Significant Accounting Policies and Practices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84">
              <w:r>
                <w:rPr>
                  <w:rFonts w:ascii="Arial" w:cs="Arial" w:eastAsia="Arial" w:hAnsi="Arial"/>
                  <w:sz w:val="18"/>
                  <w:szCs w:val="18"/>
                  <w:u w:val="single" w:color="auto"/>
                  <w:color w:val="0000EE"/>
                  <w:w w:val="99"/>
                </w:rPr>
                <w:t>(4)</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Settlement Assets and Obligations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85">
              <w:r>
                <w:rPr>
                  <w:rFonts w:ascii="Arial" w:cs="Arial" w:eastAsia="Arial" w:hAnsi="Arial"/>
                  <w:sz w:val="18"/>
                  <w:szCs w:val="18"/>
                  <w:u w:val="single" w:color="auto"/>
                  <w:color w:val="0000EE"/>
                  <w:w w:val="99"/>
                </w:rPr>
                <w:t>(5)</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Stockholders' Equity</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83</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87">
              <w:r>
                <w:rPr>
                  <w:rFonts w:ascii="Arial" w:cs="Arial" w:eastAsia="Arial" w:hAnsi="Arial"/>
                  <w:sz w:val="18"/>
                  <w:szCs w:val="18"/>
                  <w:u w:val="single" w:color="auto"/>
                  <w:color w:val="0000EE"/>
                  <w:w w:val="99"/>
                </w:rPr>
                <w:t>(6)</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Acquisitions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85</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88">
              <w:r>
                <w:rPr>
                  <w:rFonts w:ascii="Arial" w:cs="Arial" w:eastAsia="Arial" w:hAnsi="Arial"/>
                  <w:sz w:val="18"/>
                  <w:szCs w:val="18"/>
                  <w:u w:val="single" w:color="auto"/>
                  <w:color w:val="0000EE"/>
                  <w:w w:val="99"/>
                </w:rPr>
                <w:t>(7)</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Restricted Cash</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55"/>
        </w:trPr>
        <w:tc>
          <w:tcPr>
            <w:tcW w:w="5340" w:type="dxa"/>
            <w:vAlign w:val="bottom"/>
            <w:gridSpan w:val="3"/>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(8)Property and Equipment, Net</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55"/>
        </w:trPr>
        <w:tc>
          <w:tcPr>
            <w:tcW w:w="400" w:type="dxa"/>
            <w:vAlign w:val="bottom"/>
          </w:tcPr>
          <w:p>
            <w:pPr>
              <w:ind w:left="160"/>
              <w:spacing w:after="0"/>
              <w:rPr>
                <w:rFonts w:ascii="Arial" w:cs="Arial" w:eastAsia="Arial" w:hAnsi="Arial"/>
                <w:sz w:val="18"/>
                <w:szCs w:val="18"/>
                <w:u w:val="single" w:color="auto"/>
                <w:color w:val="0000EE"/>
                <w:w w:val="99"/>
              </w:rPr>
            </w:pPr>
            <w:hyperlink w:anchor="page89">
              <w:r>
                <w:rPr>
                  <w:rFonts w:ascii="Arial" w:cs="Arial" w:eastAsia="Arial" w:hAnsi="Arial"/>
                  <w:sz w:val="18"/>
                  <w:szCs w:val="18"/>
                  <w:u w:val="single" w:color="auto"/>
                  <w:color w:val="0000EE"/>
                  <w:w w:val="99"/>
                </w:rPr>
                <w:t>(9)</w:t>
              </w:r>
            </w:hyperlink>
          </w:p>
        </w:tc>
        <w:tc>
          <w:tcPr>
            <w:tcW w:w="4940" w:type="dxa"/>
            <w:vAlign w:val="bottom"/>
            <w:gridSpan w:val="2"/>
          </w:tcPr>
          <w:p>
            <w:pPr>
              <w:ind w:left="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Goodwill and Acquired Intangible Assets, Net</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87</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90">
              <w:r>
                <w:rPr>
                  <w:rFonts w:ascii="Arial" w:cs="Arial" w:eastAsia="Arial" w:hAnsi="Arial"/>
                  <w:sz w:val="18"/>
                  <w:szCs w:val="18"/>
                  <w:u w:val="single" w:color="auto"/>
                  <w:color w:val="0000EE"/>
                  <w:w w:val="93"/>
                </w:rPr>
                <w:t>(10)</w:t>
              </w:r>
            </w:hyperlink>
          </w:p>
        </w:tc>
        <w:tc>
          <w:tcPr>
            <w:tcW w:w="4860" w:type="dxa"/>
            <w:vAlign w:val="bottom"/>
          </w:tcPr>
          <w:p>
            <w:pPr>
              <w:ind w:left="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Accrued Expenses and Other Current Liabilities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88</w:t>
            </w:r>
          </w:p>
        </w:tc>
      </w:tr>
      <w:tr>
        <w:trPr>
          <w:trHeight w:val="255"/>
        </w:trPr>
        <w:tc>
          <w:tcPr>
            <w:tcW w:w="5340" w:type="dxa"/>
            <w:vAlign w:val="bottom"/>
            <w:gridSpan w:val="3"/>
          </w:tcPr>
          <w:p>
            <w:pPr>
              <w:ind w:left="16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(11) Debt Obligations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89</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94">
              <w:r>
                <w:rPr>
                  <w:rFonts w:ascii="Arial" w:cs="Arial" w:eastAsia="Arial" w:hAnsi="Arial"/>
                  <w:sz w:val="18"/>
                  <w:szCs w:val="18"/>
                  <w:u w:val="single" w:color="auto"/>
                  <w:color w:val="0000EE"/>
                  <w:w w:val="93"/>
                </w:rPr>
                <w:t>(12)</w:t>
              </w:r>
            </w:hyperlink>
          </w:p>
        </w:tc>
        <w:tc>
          <w:tcPr>
            <w:tcW w:w="4860" w:type="dxa"/>
            <w:vAlign w:val="bottom"/>
          </w:tcPr>
          <w:p>
            <w:pPr>
              <w:ind w:left="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Derivative Instruments and Hedging Activities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98">
              <w:r>
                <w:rPr>
                  <w:rFonts w:ascii="Arial" w:cs="Arial" w:eastAsia="Arial" w:hAnsi="Arial"/>
                  <w:sz w:val="18"/>
                  <w:szCs w:val="18"/>
                  <w:u w:val="single" w:color="auto"/>
                  <w:color w:val="0000EE"/>
                  <w:w w:val="93"/>
                </w:rPr>
                <w:t>(13)</w:t>
              </w:r>
            </w:hyperlink>
          </w:p>
        </w:tc>
        <w:tc>
          <w:tcPr>
            <w:tcW w:w="4860" w:type="dxa"/>
            <w:vAlign w:val="bottom"/>
          </w:tcPr>
          <w:p>
            <w:pPr>
              <w:ind w:left="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Leases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00">
              <w:r>
                <w:rPr>
                  <w:rFonts w:ascii="Arial" w:cs="Arial" w:eastAsia="Arial" w:hAnsi="Arial"/>
                  <w:sz w:val="18"/>
                  <w:szCs w:val="18"/>
                  <w:u w:val="single" w:color="auto"/>
                  <w:color w:val="0000EE"/>
                  <w:w w:val="93"/>
                </w:rPr>
                <w:t>(14)</w:t>
              </w:r>
            </w:hyperlink>
          </w:p>
        </w:tc>
        <w:tc>
          <w:tcPr>
            <w:tcW w:w="4860" w:type="dxa"/>
            <w:vAlign w:val="bottom"/>
          </w:tcPr>
          <w:p>
            <w:pPr>
              <w:ind w:left="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Income Taxes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04">
              <w:r>
                <w:rPr>
                  <w:rFonts w:ascii="Arial" w:cs="Arial" w:eastAsia="Arial" w:hAnsi="Arial"/>
                  <w:sz w:val="18"/>
                  <w:szCs w:val="18"/>
                  <w:u w:val="single" w:color="auto"/>
                  <w:color w:val="0000EE"/>
                  <w:w w:val="93"/>
                </w:rPr>
                <w:t>(15)</w:t>
              </w:r>
            </w:hyperlink>
          </w:p>
        </w:tc>
        <w:tc>
          <w:tcPr>
            <w:tcW w:w="4860" w:type="dxa"/>
            <w:vAlign w:val="bottom"/>
          </w:tcPr>
          <w:p>
            <w:pPr>
              <w:ind w:left="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Valuation and Qualifying Accounts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05">
              <w:r>
                <w:rPr>
                  <w:rFonts w:ascii="Arial" w:cs="Arial" w:eastAsia="Arial" w:hAnsi="Arial"/>
                  <w:sz w:val="18"/>
                  <w:szCs w:val="18"/>
                  <w:u w:val="single" w:color="auto"/>
                  <w:color w:val="0000EE"/>
                  <w:w w:val="93"/>
                </w:rPr>
                <w:t>(16)</w:t>
              </w:r>
            </w:hyperlink>
          </w:p>
        </w:tc>
        <w:tc>
          <w:tcPr>
            <w:tcW w:w="4860" w:type="dxa"/>
            <w:vAlign w:val="bottom"/>
          </w:tcPr>
          <w:p>
            <w:pPr>
              <w:ind w:left="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Stock Plans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102</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07">
              <w:r>
                <w:rPr>
                  <w:rFonts w:ascii="Arial" w:cs="Arial" w:eastAsia="Arial" w:hAnsi="Arial"/>
                  <w:sz w:val="18"/>
                  <w:szCs w:val="18"/>
                  <w:u w:val="single" w:color="auto"/>
                  <w:color w:val="0000EE"/>
                  <w:w w:val="93"/>
                </w:rPr>
                <w:t>(17)</w:t>
              </w:r>
            </w:hyperlink>
          </w:p>
        </w:tc>
        <w:tc>
          <w:tcPr>
            <w:tcW w:w="4860" w:type="dxa"/>
            <w:vAlign w:val="bottom"/>
          </w:tcPr>
          <w:p>
            <w:pPr>
              <w:ind w:left="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Business Segment Information</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104</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11">
              <w:r>
                <w:rPr>
                  <w:rFonts w:ascii="Arial" w:cs="Arial" w:eastAsia="Arial" w:hAnsi="Arial"/>
                  <w:sz w:val="18"/>
                  <w:szCs w:val="18"/>
                  <w:u w:val="single" w:color="auto"/>
                  <w:color w:val="0000EE"/>
                  <w:w w:val="93"/>
                </w:rPr>
                <w:t>(18)</w:t>
              </w:r>
            </w:hyperlink>
          </w:p>
        </w:tc>
        <w:tc>
          <w:tcPr>
            <w:tcW w:w="4860" w:type="dxa"/>
            <w:vAlign w:val="bottom"/>
          </w:tcPr>
          <w:p>
            <w:pPr>
              <w:ind w:left="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Financial Instruments and Fair Value Measurements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13">
              <w:r>
                <w:rPr>
                  <w:rFonts w:ascii="Arial" w:cs="Arial" w:eastAsia="Arial" w:hAnsi="Arial"/>
                  <w:sz w:val="18"/>
                  <w:szCs w:val="18"/>
                  <w:u w:val="single" w:color="auto"/>
                  <w:color w:val="0000EE"/>
                  <w:w w:val="93"/>
                </w:rPr>
                <w:t>(19)</w:t>
              </w:r>
            </w:hyperlink>
          </w:p>
        </w:tc>
        <w:tc>
          <w:tcPr>
            <w:tcW w:w="4860" w:type="dxa"/>
            <w:vAlign w:val="bottom"/>
          </w:tcPr>
          <w:p>
            <w:pPr>
              <w:ind w:left="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Litigation and Contingencies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110</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13">
              <w:r>
                <w:rPr>
                  <w:rFonts w:ascii="Arial" w:cs="Arial" w:eastAsia="Arial" w:hAnsi="Arial"/>
                  <w:sz w:val="18"/>
                  <w:szCs w:val="18"/>
                  <w:u w:val="single" w:color="auto"/>
                  <w:color w:val="0000EE"/>
                  <w:w w:val="93"/>
                </w:rPr>
                <w:t>(20)</w:t>
              </w:r>
            </w:hyperlink>
          </w:p>
        </w:tc>
        <w:tc>
          <w:tcPr>
            <w:tcW w:w="4860" w:type="dxa"/>
            <w:vAlign w:val="bottom"/>
          </w:tcPr>
          <w:p>
            <w:pPr>
              <w:ind w:left="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Commitments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110</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14">
              <w:r>
                <w:rPr>
                  <w:rFonts w:ascii="Arial" w:cs="Arial" w:eastAsia="Arial" w:hAnsi="Arial"/>
                  <w:sz w:val="18"/>
                  <w:szCs w:val="18"/>
                  <w:u w:val="single" w:color="auto"/>
                  <w:color w:val="0000EE"/>
                  <w:w w:val="93"/>
                </w:rPr>
                <w:t>(21)</w:t>
              </w:r>
            </w:hyperlink>
          </w:p>
        </w:tc>
        <w:tc>
          <w:tcPr>
            <w:tcW w:w="4860" w:type="dxa"/>
            <w:vAlign w:val="bottom"/>
          </w:tcPr>
          <w:p>
            <w:pPr>
              <w:ind w:left="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Related Party Transactions</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255"/>
        </w:trPr>
        <w:tc>
          <w:tcPr>
            <w:tcW w:w="480" w:type="dxa"/>
            <w:vAlign w:val="bottom"/>
            <w:gridSpan w:val="2"/>
          </w:tcPr>
          <w:p>
            <w:pPr>
              <w:ind w:left="160"/>
              <w:spacing w:after="0"/>
              <w:rPr>
                <w:rFonts w:ascii="Arial" w:cs="Arial" w:eastAsia="Arial" w:hAnsi="Arial"/>
                <w:sz w:val="18"/>
                <w:szCs w:val="18"/>
                <w:u w:val="single" w:color="auto"/>
                <w:color w:val="0000EE"/>
                <w:w w:val="93"/>
              </w:rPr>
            </w:pPr>
            <w:hyperlink w:anchor="page115">
              <w:r>
                <w:rPr>
                  <w:rFonts w:ascii="Arial" w:cs="Arial" w:eastAsia="Arial" w:hAnsi="Arial"/>
                  <w:sz w:val="18"/>
                  <w:szCs w:val="18"/>
                  <w:u w:val="single" w:color="auto"/>
                  <w:color w:val="0000EE"/>
                  <w:w w:val="93"/>
                </w:rPr>
                <w:t>(22)</w:t>
              </w:r>
            </w:hyperlink>
          </w:p>
        </w:tc>
        <w:tc>
          <w:tcPr>
            <w:tcW w:w="4860" w:type="dxa"/>
            <w:vAlign w:val="bottom"/>
          </w:tcPr>
          <w:p>
            <w:pPr>
              <w:ind w:left="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Selected Quarterly Data (Unaudited)</w:t>
              </w:r>
            </w:hyperlink>
          </w:p>
        </w:tc>
        <w:tc>
          <w:tcPr>
            <w:tcW w:w="5900" w:type="dxa"/>
            <w:vAlign w:val="bottom"/>
            <w:gridSpan w:val="3"/>
          </w:tcPr>
          <w:p>
            <w:pPr>
              <w:jc w:val="right"/>
              <w:spacing w:after="0"/>
              <w:rPr>
                <w:sz w:val="20"/>
                <w:szCs w:val="20"/>
                <w:color w:val="auto"/>
              </w:rPr>
            </w:pPr>
            <w:r>
              <w:rPr>
                <w:rFonts w:ascii="Arial" w:cs="Arial" w:eastAsia="Arial" w:hAnsi="Arial"/>
                <w:sz w:val="18"/>
                <w:szCs w:val="18"/>
                <w:color w:val="auto"/>
              </w:rPr>
              <w:t>112</w:t>
            </w:r>
          </w:p>
        </w:tc>
      </w:tr>
      <w:tr>
        <w:trPr>
          <w:trHeight w:val="496"/>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340" w:type="dxa"/>
            <w:vAlign w:val="bottom"/>
          </w:tcPr>
          <w:p>
            <w:pPr>
              <w:jc w:val="right"/>
              <w:ind w:right="4871"/>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60" w:type="dxa"/>
            <w:vAlign w:val="bottom"/>
            <w:tcBorders>
              <w:bottom w:val="single" w:sz="8" w:color="auto"/>
            </w:tcBorders>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2020 and 2019, the related consolidated statements of operations, comprehensive income, changes in equity, and cash flows for each of the years in the three-year period ended December 31, 2020, and the related notes (collectively,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4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As discussed in Note 13 to the consolidated financial statements, the Company has changed its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22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As discussed in Note 3 to the consolidated financial statements, the Company earned $2.48 billion of revenue in 2020. The Company earned revenue by payment and transaction processing and distribution solutions to financial institutions, retailers, service providers and individual consumers (collectively services). The services were provided to customers in approximately 175 countries through 66 different business offices in 43 countries within 3 different reportable operating segments.</w:t>
      </w:r>
    </w:p>
    <w:p>
      <w:pPr>
        <w:spacing w:after="0" w:line="18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4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spacing w:after="0" w:line="137" w:lineRule="exact"/>
        <w:rPr>
          <w:sz w:val="20"/>
          <w:szCs w:val="20"/>
          <w:color w:val="auto"/>
        </w:rPr>
      </w:pPr>
    </w:p>
    <w:p>
      <w:pPr>
        <w:ind w:left="540" w:right="20"/>
        <w:spacing w:after="0" w:line="226" w:lineRule="auto"/>
        <w:rPr>
          <w:sz w:val="20"/>
          <w:szCs w:val="20"/>
          <w:color w:val="auto"/>
        </w:rPr>
      </w:pPr>
      <w:r>
        <w:rPr>
          <w:rFonts w:ascii="Arial" w:cs="Arial" w:eastAsia="Arial" w:hAnsi="Arial"/>
          <w:sz w:val="18"/>
          <w:szCs w:val="18"/>
          <w:color w:val="auto"/>
        </w:rPr>
        <w:t>evaluated the design and tested the operating effectiveness of certain internal controls related to the Company’s revenue process, including controls over the accurate recording of revenue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-186690</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19" w:lineRule="auto"/>
        <w:rPr>
          <w:sz w:val="20"/>
          <w:szCs w:val="20"/>
          <w:color w:val="auto"/>
        </w:rPr>
      </w:pPr>
      <w:r>
        <w:rPr>
          <w:rFonts w:ascii="Arial" w:cs="Arial" w:eastAsia="Arial" w:hAnsi="Arial"/>
          <w:sz w:val="18"/>
          <w:szCs w:val="18"/>
          <w:color w:val="auto"/>
        </w:rPr>
        <w:t>assessed the training and experience of the auditors on our audit team that were in countries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-68580</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18"/>
          <w:szCs w:val="18"/>
          <w:color w:val="auto"/>
        </w:rPr>
        <w:t>tested a sample of individual revenue transactions by comparing amounts recognized by the Company to relevant contracts and or payment and transaction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-202565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2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evaluated the sufficiency of audit evidence obtained over revenue by assessing the results of procedures performed, including the appropriateness of such evidence.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Goodwill impairment analysis for one reporting unit in the Money Transfer segment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discussed in Note 3 and 9 to the consolidated financial statements, the Company performs goodwill impairment testing on an annual basis and whenever events or changes in circumstances indicate that it is more likely than not (more than 50%) that the fair value of a reporting unit is less than its carrying amount. The goodwill balance as of December 31, 2020 was $665.8 million. During the year ended December 31, 2020, the Company recognized an impairment charge of $104.6 million, including a charge of $82.7 million for one reporting unit in the Money Transfer segment. The fair value of this one reporting unit in the Money Transfer segment was determined using a weighting of a discounted cash flow model and market multiples valuation technique.</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identified the evaluation of the goodwill impairment analysis for this one reporting unit in the Money Transfer segment as a critical audit matter. Subjective auditor judgment was required in evaluating certain assumptions used to estimate the fair value of the reporting unit, including assumptions related to (1) forecasted revenue growth rates, (2) forecasted operating expense excluding depreciation, amortization, and impairment, (3) discount rate, and</w:t>
      </w:r>
    </w:p>
    <w:p>
      <w:pPr>
        <w:spacing w:after="0" w:line="2" w:lineRule="exact"/>
        <w:rPr>
          <w:sz w:val="20"/>
          <w:szCs w:val="20"/>
          <w:color w:val="auto"/>
        </w:rPr>
      </w:pPr>
    </w:p>
    <w:p>
      <w:pPr>
        <w:jc w:val="both"/>
        <w:ind w:firstLine="7"/>
        <w:spacing w:after="0" w:line="226" w:lineRule="auto"/>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market multiple. Changes to these assumptions could have a significant effect on the fair value determination and assessment of the carrying value of the goodwill. Specialized skills and knowledge were required in the assessment of the discount rate and EBITDA market multiple.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goodwill impairment assessment process, including controls related to the development of the significant assumptions. We evaluated the Company’s forecasted revenue growth rates and forecasted operating expense excluding depreciation, amortization and impairment assumptions by comparing them to external market and industry data. We compared the Company’s historical forecasted results to actual results to assess the Company’s ability to accurately forecast. We involved valuation professionals with specialized skills and knowledge, who assisted in evaluating (1) the Company’s discount rate by comparing it against a discount rate range that was independently developed using publicly available third-party market data for comparable entities, and (2) the Company’s EBITDA market multiple, by comparing it against a range of EBITDA multiples developed using publicly available third-party market data for comparable entities.</w:t>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December 31,</w:t>
            </w:r>
          </w:p>
        </w:tc>
      </w:tr>
      <w:tr>
        <w:trPr>
          <w:trHeight w:val="261"/>
        </w:trPr>
        <w:tc>
          <w:tcPr>
            <w:tcW w:w="8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1,420,255</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786,081</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ATM cash</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665,641</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34,301</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1,140,875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1,013,067</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Trade accounts receivable, net of credit loss allowance of $5,926 and $3,892</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117,517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201,935</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272,900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217,707</w:t>
            </w:r>
          </w:p>
        </w:tc>
      </w:tr>
      <w:tr>
        <w:trPr>
          <w:trHeight w:val="233"/>
        </w:trPr>
        <w:tc>
          <w:tcPr>
            <w:tcW w:w="89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3,365,935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2,918,732</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 of use lease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377,543</w:t>
            </w: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$490,429 and $410,243</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378,441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359,980</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743,823</w:t>
            </w: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Acquired intangible assets, net of accumulated amortization of $175,210 and $204,853</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121,883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141,847</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of accumulated amortization of $55,710 and $46,788</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232,557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115,741</w:t>
            </w:r>
          </w:p>
        </w:tc>
      </w:tr>
      <w:tr>
        <w:trPr>
          <w:trHeight w:val="295"/>
        </w:trPr>
        <w:tc>
          <w:tcPr>
            <w:tcW w:w="89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4,926,711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4,657,666</w:t>
            </w:r>
          </w:p>
        </w:tc>
      </w:tr>
      <w:tr>
        <w:trPr>
          <w:trHeight w:val="23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obligations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1,140,875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1,013,067</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147,593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81,743</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294,557</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Current portion of operating lease obligations</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127,353</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6,089</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36,359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52,583</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58,588</w:t>
            </w:r>
          </w:p>
        </w:tc>
      </w:tr>
      <w:tr>
        <w:trPr>
          <w:trHeight w:val="233"/>
        </w:trPr>
        <w:tc>
          <w:tcPr>
            <w:tcW w:w="89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1,855,441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1,633,980</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1,437,589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1,090,939</w:t>
            </w: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106,502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241,977</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56,067</w:t>
            </w:r>
          </w:p>
        </w:tc>
      </w:tr>
      <w:tr>
        <w:trPr>
          <w:trHeight w:val="240"/>
        </w:trPr>
        <w:tc>
          <w:tcPr>
            <w:tcW w:w="8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55,361</w:t>
            </w:r>
          </w:p>
        </w:tc>
      </w:tr>
      <w:tr>
        <w:trPr>
          <w:trHeight w:val="28"/>
        </w:trPr>
        <w:tc>
          <w:tcPr>
            <w:tcW w:w="8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2"/>
        </w:trPr>
        <w:tc>
          <w:tcPr>
            <w:tcW w:w="8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3,480,808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3,078,324</w:t>
            </w:r>
          </w:p>
        </w:tc>
      </w:tr>
      <w:tr>
        <w:trPr>
          <w:trHeight w:val="233"/>
        </w:trPr>
        <w:tc>
          <w:tcPr>
            <w:tcW w:w="8900" w:type="dxa"/>
            <w:vAlign w:val="bottom"/>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Euronet Worldwide,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shares issued 63,366,010 and 62,775,762</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1,228,446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1,190,058</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shares issued 10,631,961 and 8,554,908</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(463,704)</w:t>
            </w:r>
          </w:p>
        </w:tc>
      </w:tr>
      <w:tr>
        <w:trPr>
          <w:trHeight w:val="240"/>
        </w:trPr>
        <w:tc>
          <w:tcPr>
            <w:tcW w:w="8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1,013,155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1,016,554</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(164,890)</w:t>
            </w:r>
          </w:p>
        </w:tc>
      </w:tr>
      <w:tr>
        <w:trPr>
          <w:trHeight w:val="233"/>
        </w:trPr>
        <w:tc>
          <w:tcPr>
            <w:tcW w:w="89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1,445,622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1,579,274</w:t>
            </w:r>
          </w:p>
        </w:tc>
      </w:tr>
      <w:tr>
        <w:trPr>
          <w:trHeight w:val="28"/>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33"/>
        </w:trPr>
        <w:tc>
          <w:tcPr>
            <w:tcW w:w="89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1,445,903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1,579,342</w:t>
            </w:r>
          </w:p>
        </w:tc>
      </w:tr>
      <w:tr>
        <w:trPr>
          <w:trHeight w:val="28"/>
        </w:trPr>
        <w:tc>
          <w:tcPr>
            <w:tcW w:w="8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4,926,711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4,657,666</w:t>
            </w: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6" w:right="339" w:bottom="1440" w:gutter="0" w:footer="0" w:header="0"/>
        </w:sectPr>
      </w:pPr>
    </w:p>
    <w:p>
      <w:pPr>
        <w:jc w:val="center"/>
        <w:ind w:right="-19"/>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1"/>
              </w:rPr>
              <w:t>Year Ended December 31,</w:t>
            </w:r>
          </w:p>
        </w:tc>
        <w:tc>
          <w:tcPr>
            <w:tcW w:w="1120" w:type="dxa"/>
            <w:vAlign w:val="bottom"/>
            <w:tcBorders>
              <w:bottom w:val="single" w:sz="8" w:color="auto"/>
            </w:tcBorders>
          </w:tcPr>
          <w:p>
            <w:pPr>
              <w:spacing w:after="0"/>
              <w:rPr>
                <w:sz w:val="16"/>
                <w:szCs w:val="16"/>
                <w:color w:val="auto"/>
              </w:rPr>
            </w:pPr>
          </w:p>
        </w:tc>
      </w:tr>
      <w:tr>
        <w:trPr>
          <w:trHeight w:val="262"/>
        </w:trPr>
        <w:tc>
          <w:tcPr>
            <w:tcW w:w="69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67"/>
        </w:trPr>
        <w:tc>
          <w:tcPr>
            <w:tcW w:w="6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2,482,700</w:t>
            </w:r>
          </w:p>
        </w:tc>
        <w:tc>
          <w:tcPr>
            <w:tcW w:w="3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2,750,109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2,536,629</w:t>
            </w:r>
          </w:p>
        </w:tc>
      </w:tr>
      <w:tr>
        <w:trPr>
          <w:trHeight w:val="233"/>
        </w:trPr>
        <w:tc>
          <w:tcPr>
            <w:tcW w:w="6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8"/>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1,488,406</w:t>
            </w:r>
          </w:p>
        </w:tc>
      </w:tr>
      <w:tr>
        <w:trPr>
          <w:trHeight w:val="240"/>
        </w:trPr>
        <w:tc>
          <w:tcPr>
            <w:tcW w:w="696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404,142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394,744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360,432</w:t>
            </w:r>
          </w:p>
        </w:tc>
      </w:tr>
      <w:tr>
        <w:trPr>
          <w:trHeight w:val="28"/>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216,807</w:t>
            </w:r>
          </w:p>
        </w:tc>
      </w:tr>
      <w:tr>
        <w:trPr>
          <w:trHeight w:val="240"/>
        </w:trPr>
        <w:tc>
          <w:tcPr>
            <w:tcW w:w="6960" w:type="dxa"/>
            <w:vAlign w:val="bottom"/>
          </w:tcPr>
          <w:p>
            <w:pPr>
              <w:ind w:left="16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106,602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7,049</w:t>
            </w:r>
          </w:p>
        </w:tc>
      </w:tr>
      <w:tr>
        <w:trPr>
          <w:trHeight w:val="28"/>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106,021</w:t>
            </w:r>
          </w:p>
        </w:tc>
      </w:tr>
      <w:tr>
        <w:trPr>
          <w:trHeight w:val="233"/>
        </w:trPr>
        <w:tc>
          <w:tcPr>
            <w:tcW w:w="69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2,436,078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2,274,915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2,178,715</w:t>
            </w:r>
          </w:p>
        </w:tc>
      </w:tr>
      <w:tr>
        <w:trPr>
          <w:trHeight w:val="28"/>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357,914</w:t>
            </w:r>
          </w:p>
        </w:tc>
      </w:tr>
      <w:tr>
        <w:trPr>
          <w:trHeight w:val="233"/>
        </w:trPr>
        <w:tc>
          <w:tcPr>
            <w:tcW w:w="69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8"/>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1,320</w:t>
            </w:r>
          </w:p>
        </w:tc>
      </w:tr>
      <w:tr>
        <w:trPr>
          <w:trHeight w:val="240"/>
        </w:trPr>
        <w:tc>
          <w:tcPr>
            <w:tcW w:w="69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(37,573)</w:t>
            </w:r>
          </w:p>
        </w:tc>
      </w:tr>
      <w:tr>
        <w:trPr>
          <w:trHeight w:val="28"/>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61"/>
        </w:trPr>
        <w:tc>
          <w:tcPr>
            <w:tcW w:w="6960" w:type="dxa"/>
            <w:vAlign w:val="bottom"/>
          </w:tcPr>
          <w:p>
            <w:pPr>
              <w:ind w:left="160"/>
              <w:spacing w:after="0"/>
              <w:rPr>
                <w:sz w:val="20"/>
                <w:szCs w:val="20"/>
                <w:color w:val="auto"/>
              </w:rPr>
            </w:pPr>
            <w:r>
              <w:rPr>
                <w:rFonts w:ascii="Arial" w:cs="Arial" w:eastAsia="Arial" w:hAnsi="Arial"/>
                <w:sz w:val="18"/>
                <w:szCs w:val="18"/>
                <w:color w:val="auto"/>
              </w:rPr>
              <w:t>Foreign currency exchange (loss) gain, net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(26,655)</w:t>
            </w:r>
          </w:p>
        </w:tc>
      </w:tr>
      <w:tr>
        <w:trPr>
          <w:trHeight w:val="275"/>
        </w:trPr>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gains (losses), net</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r>
      <w:tr>
        <w:trPr>
          <w:trHeight w:val="234"/>
        </w:trPr>
        <w:tc>
          <w:tcPr>
            <w:tcW w:w="696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(62,998)</w:t>
            </w:r>
          </w:p>
        </w:tc>
      </w:tr>
      <w:tr>
        <w:trPr>
          <w:trHeight w:val="28"/>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2"/>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294,916</w:t>
            </w:r>
          </w:p>
        </w:tc>
      </w:tr>
      <w:tr>
        <w:trPr>
          <w:trHeight w:val="240"/>
        </w:trPr>
        <w:tc>
          <w:tcPr>
            <w:tcW w:w="6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(62,785)</w:t>
            </w:r>
          </w:p>
        </w:tc>
      </w:tr>
      <w:tr>
        <w:trPr>
          <w:trHeight w:val="28"/>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346,695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232,131</w:t>
            </w:r>
          </w:p>
        </w:tc>
      </w:tr>
      <w:tr>
        <w:trPr>
          <w:trHeight w:val="267"/>
        </w:trPr>
        <w:tc>
          <w:tcPr>
            <w:tcW w:w="69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720</w:t>
            </w:r>
          </w:p>
        </w:tc>
      </w:tr>
      <w:tr>
        <w:trPr>
          <w:trHeight w:val="262"/>
        </w:trPr>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 attributable to Euronet Worldwide, Inc.</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346,749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232,851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2"/>
        </w:trPr>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4.52</w:t>
            </w:r>
          </w:p>
        </w:tc>
      </w:tr>
      <w:tr>
        <w:trPr>
          <w:trHeight w:val="248"/>
        </w:trPr>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4.26</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6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2"/>
        </w:trPr>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52,659,551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53,449,834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51,487,557</w:t>
            </w:r>
          </w:p>
        </w:tc>
      </w:tr>
      <w:tr>
        <w:trPr>
          <w:trHeight w:val="248"/>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52,659,551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54,913,887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54,627,747</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r>
      <w:tr>
        <w:trPr>
          <w:trHeight w:val="262"/>
        </w:trPr>
        <w:tc>
          <w:tcPr>
            <w:tcW w:w="6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6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346,695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232,131</w:t>
            </w:r>
          </w:p>
        </w:tc>
      </w:tr>
      <w:tr>
        <w:trPr>
          <w:trHeight w:val="240"/>
        </w:trPr>
        <w:tc>
          <w:tcPr>
            <w:tcW w:w="69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(56,656)</w:t>
            </w:r>
          </w:p>
        </w:tc>
      </w:tr>
      <w:tr>
        <w:trPr>
          <w:trHeight w:val="233"/>
        </w:trPr>
        <w:tc>
          <w:tcPr>
            <w:tcW w:w="696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67,490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332,801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175,475</w:t>
            </w: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791</w:t>
            </w:r>
          </w:p>
        </w:tc>
      </w:tr>
      <w:tr>
        <w:trPr>
          <w:trHeight w:val="262"/>
        </w:trPr>
        <w:tc>
          <w:tcPr>
            <w:tcW w:w="6960" w:type="dxa"/>
            <w:vAlign w:val="bottom"/>
          </w:tcPr>
          <w:p>
            <w:pPr>
              <w:ind w:left="16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67,277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332,902</w:t>
            </w:r>
          </w:p>
        </w:tc>
        <w:tc>
          <w:tcPr>
            <w:tcW w:w="100" w:type="dxa"/>
            <w:vAlign w:val="bottom"/>
          </w:tcPr>
          <w:p>
            <w:pPr>
              <w:spacing w:after="0"/>
              <w:rPr>
                <w:sz w:val="22"/>
                <w:szCs w:val="22"/>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176,266</w:t>
            </w: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4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4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7"/>
        </w:trPr>
        <w:tc>
          <w:tcPr>
            <w:tcW w:w="584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(Common and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Treasury)</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47"/>
        </w:trPr>
        <w:tc>
          <w:tcPr>
            <w:tcW w:w="5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52,808,158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1,039,480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(2,032,599)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51,819,998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1,104,264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(493,010)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2,488,249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8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54,220,854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608,878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(2,095,683)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8"/>
        </w:trPr>
        <w:tc>
          <w:tcPr>
            <w:tcW w:w="58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52,734,049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1,228,446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2" w:name="page73"/>
    <w:bookmarkEnd w:id="72"/>
    <w:p>
      <w:pPr>
        <w:jc w:val="center"/>
        <w:spacing w:after="0" w:line="270" w:lineRule="auto"/>
        <w:rPr>
          <w:sz w:val="20"/>
          <w:szCs w:val="20"/>
          <w:color w:val="auto"/>
        </w:rPr>
      </w:pPr>
      <w:r>
        <w:rPr>
          <w:rFonts w:ascii="Arial" w:cs="Arial" w:eastAsia="Arial" w:hAnsi="Arial"/>
          <w:sz w:val="18"/>
          <w:szCs w:val="18"/>
          <w:b w:val="1"/>
          <w:bCs w:val="1"/>
          <w:color w:val="auto"/>
        </w:rPr>
        <w:t>EURONET WORLDWIDE, INC. AND SUBSIDIARIES CONSOLIDATED STATEMENT OF CHANGES IN EQUITY (CONTINUED)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Noncontrolling</w:t>
            </w:r>
          </w:p>
        </w:tc>
        <w:tc>
          <w:tcPr>
            <w:tcW w:w="360" w:type="dxa"/>
            <w:vAlign w:val="bottom"/>
          </w:tcPr>
          <w:p>
            <w:pPr>
              <w:spacing w:after="0"/>
              <w:rPr>
                <w:sz w:val="14"/>
                <w:szCs w:val="14"/>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Comprehensive Loss</w:t>
            </w:r>
          </w:p>
        </w:tc>
        <w:tc>
          <w:tcPr>
            <w:tcW w:w="20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Interests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436,954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1,199,478</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232,851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232,131</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3"/>
        </w:trPr>
        <w:tc>
          <w:tcPr>
            <w:tcW w:w="472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669,805</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(151,043)</w:t>
            </w: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346,749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346,695</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71,659</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Redemptions and conversions of convertible notes,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1,016,554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61"/>
        </w:trPr>
        <w:tc>
          <w:tcPr>
            <w:tcW w:w="47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70,676</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70,794</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(239,763)</w:t>
            </w:r>
          </w:p>
        </w:tc>
        <w:tc>
          <w:tcPr>
            <w:tcW w:w="0" w:type="dxa"/>
            <w:vAlign w:val="bottom"/>
          </w:tcPr>
          <w:p>
            <w:pPr>
              <w:spacing w:after="0"/>
              <w:rPr>
                <w:sz w:val="1"/>
                <w:szCs w:val="1"/>
                <w:color w:val="auto"/>
              </w:rPr>
            </w:pPr>
          </w:p>
        </w:tc>
      </w:tr>
      <w:tr>
        <w:trPr>
          <w:trHeight w:val="28"/>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1,013,155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(94,214)</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1,445,903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2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346,695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0" w:type="dxa"/>
            <w:vAlign w:val="bottom"/>
          </w:tcPr>
          <w:p>
            <w:pPr>
              <w:spacing w:after="0"/>
              <w:rPr>
                <w:sz w:val="1"/>
                <w:szCs w:val="1"/>
                <w:color w:val="auto"/>
              </w:rPr>
            </w:pPr>
          </w:p>
        </w:tc>
      </w:tr>
      <w:tr>
        <w:trPr>
          <w:trHeight w:val="240"/>
        </w:trPr>
        <w:tc>
          <w:tcPr>
            <w:tcW w:w="69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 (gain),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Non-cash impairment of goodwill and acquired intangible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Loss on early retirement of debt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17,088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9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(16,823)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69"/>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26,497</w:t>
            </w:r>
          </w:p>
        </w:tc>
        <w:tc>
          <w:tcPr>
            <w:tcW w:w="0" w:type="dxa"/>
            <w:vAlign w:val="bottom"/>
          </w:tcPr>
          <w:p>
            <w:pPr>
              <w:spacing w:after="0"/>
              <w:rPr>
                <w:sz w:val="1"/>
                <w:szCs w:val="1"/>
                <w:color w:val="auto"/>
              </w:rPr>
            </w:pPr>
          </w:p>
        </w:tc>
      </w:tr>
      <w:tr>
        <w:trPr>
          <w:trHeight w:val="267"/>
        </w:trPr>
        <w:tc>
          <w:tcPr>
            <w:tcW w:w="69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(168,256)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(68,945)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(29,066)</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45,562</w:t>
            </w:r>
          </w:p>
        </w:tc>
        <w:tc>
          <w:tcPr>
            <w:tcW w:w="0" w:type="dxa"/>
            <w:vAlign w:val="bottom"/>
          </w:tcPr>
          <w:p>
            <w:pPr>
              <w:spacing w:after="0"/>
              <w:rPr>
                <w:sz w:val="1"/>
                <w:szCs w:val="1"/>
                <w:color w:val="auto"/>
              </w:rPr>
            </w:pPr>
          </w:p>
        </w:tc>
      </w:tr>
      <w:tr>
        <w:trPr>
          <w:trHeight w:val="240"/>
        </w:trPr>
        <w:tc>
          <w:tcPr>
            <w:tcW w:w="69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98,459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0" w:type="dxa"/>
            <w:vAlign w:val="bottom"/>
          </w:tcPr>
          <w:p>
            <w:pPr>
              <w:spacing w:after="0"/>
              <w:rPr>
                <w:sz w:val="1"/>
                <w:szCs w:val="1"/>
                <w:color w:val="auto"/>
              </w:rPr>
            </w:pPr>
          </w:p>
        </w:tc>
      </w:tr>
      <w:tr>
        <w:trPr>
          <w:trHeight w:val="267"/>
        </w:trPr>
        <w:tc>
          <w:tcPr>
            <w:tcW w:w="6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(94,299)</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62"/>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253,505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504,488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397,233</w:t>
            </w:r>
          </w:p>
        </w:tc>
        <w:tc>
          <w:tcPr>
            <w:tcW w:w="0" w:type="dxa"/>
            <w:vAlign w:val="bottom"/>
          </w:tcPr>
          <w:p>
            <w:pPr>
              <w:spacing w:after="0"/>
              <w:rPr>
                <w:sz w:val="1"/>
                <w:szCs w:val="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(112,484)</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(105,531)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c>
          <w:tcPr>
            <w:tcW w:w="0" w:type="dxa"/>
            <w:vAlign w:val="bottom"/>
          </w:tcPr>
          <w:p>
            <w:pPr>
              <w:spacing w:after="0"/>
              <w:rPr>
                <w:sz w:val="1"/>
                <w:szCs w:val="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(177,855)</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3,113,800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2,498,298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5,773,294</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(2,843,400)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(2,714,203)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(5,560,089)</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(52,199)</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Net (repayments) borrowing from short-term debt obligations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1,194,900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9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33"/>
        </w:trPr>
        <w:tc>
          <w:tcPr>
            <w:tcW w:w="69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416,298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(36,540)</w:t>
            </w:r>
          </w:p>
        </w:tc>
        <w:tc>
          <w:tcPr>
            <w:tcW w:w="0" w:type="dxa"/>
            <w:vAlign w:val="bottom"/>
          </w:tcPr>
          <w:p>
            <w:pPr>
              <w:spacing w:after="0"/>
              <w:rPr>
                <w:sz w:val="1"/>
                <w:szCs w:val="1"/>
                <w:color w:val="auto"/>
              </w:rPr>
            </w:pPr>
          </w:p>
        </w:tc>
      </w:tr>
      <w:tr>
        <w:trPr>
          <w:trHeight w:val="233"/>
        </w:trPr>
        <w:tc>
          <w:tcPr>
            <w:tcW w:w="6980" w:type="dxa"/>
            <w:vAlign w:val="bottom"/>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282,129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686,427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230,434</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1,817,379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1,130,952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900,518</w:t>
            </w:r>
          </w:p>
        </w:tc>
        <w:tc>
          <w:tcPr>
            <w:tcW w:w="0" w:type="dxa"/>
            <w:vAlign w:val="bottom"/>
          </w:tcPr>
          <w:p>
            <w:pPr>
              <w:spacing w:after="0"/>
              <w:rPr>
                <w:sz w:val="1"/>
                <w:szCs w:val="1"/>
                <w:color w:val="auto"/>
              </w:rPr>
            </w:pPr>
          </w:p>
        </w:tc>
      </w:tr>
      <w:tr>
        <w:trPr>
          <w:trHeight w:val="255"/>
        </w:trPr>
        <w:tc>
          <w:tcPr>
            <w:tcW w:w="698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1,817,379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1,130,952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6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00"/>
          </w:cols>
          <w:pgMar w:left="360" w:top="5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Supplemental Cash Flow Disclosures:</w:t>
      </w:r>
    </w:p>
    <w:p>
      <w:pPr>
        <w:spacing w:after="0" w:line="113" w:lineRule="exact"/>
        <w:rPr>
          <w:sz w:val="20"/>
          <w:szCs w:val="20"/>
          <w:color w:val="auto"/>
        </w:rPr>
      </w:pPr>
    </w:p>
    <w:p>
      <w:pPr>
        <w:ind w:left="120" w:right="160"/>
        <w:spacing w:after="0" w:line="406" w:lineRule="auto"/>
        <w:rPr>
          <w:sz w:val="20"/>
          <w:szCs w:val="20"/>
          <w:color w:val="auto"/>
        </w:rPr>
      </w:pPr>
      <w:r>
        <w:rPr>
          <w:rFonts w:ascii="Arial" w:cs="Arial" w:eastAsia="Arial" w:hAnsi="Arial"/>
          <w:sz w:val="16"/>
          <w:szCs w:val="16"/>
          <w:color w:val="auto"/>
        </w:rPr>
        <w:t>Interest paid during the period Income taxes paid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22860</wp:posOffset>
            </wp:positionV>
            <wp:extent cx="27070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07005" cy="8255"/>
                    </a:xfrm>
                    <a:prstGeom prst="rect">
                      <a:avLst/>
                    </a:prstGeom>
                    <a:noFill/>
                  </pic:spPr>
                </pic:pic>
              </a:graphicData>
            </a:graphic>
          </wp:anchor>
        </w:drawing>
      </w:r>
    </w:p>
    <w:p>
      <w:pPr>
        <w:spacing w:after="0" w:line="101" w:lineRule="exact"/>
        <w:rPr>
          <w:sz w:val="20"/>
          <w:szCs w:val="20"/>
          <w:color w:val="auto"/>
        </w:rPr>
      </w:pPr>
    </w:p>
    <w:tbl>
      <w:tblPr>
        <w:tblLayout w:type="fixed"/>
        <w:tblInd w:w="374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r>
      <w:tr>
        <w:trPr>
          <w:trHeight w:val="239"/>
        </w:trPr>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17,319</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23,554</w:t>
            </w:r>
          </w:p>
        </w:tc>
      </w:tr>
      <w:tr>
        <w:trPr>
          <w:trHeight w:val="268"/>
        </w:trPr>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60,170</w:t>
            </w:r>
          </w:p>
        </w:tc>
        <w:tc>
          <w:tcPr>
            <w:tcW w:w="12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3"/>
                <w:szCs w:val="23"/>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84,382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-330200</wp:posOffset>
            </wp:positionV>
            <wp:extent cx="7133590" cy="1790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jc w:val="center"/>
        <w:ind w:right="3220"/>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8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90170</wp:posOffset>
            </wp:positionV>
            <wp:extent cx="71335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2860" w:space="340"/>
            <w:col w:w="8000"/>
          </w:cols>
          <w:pgMar w:left="360" w:top="550"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w:t>
        </w:r>
        <w:r>
          <w:rPr>
            <w:rFonts w:ascii="Arial" w:cs="Arial" w:eastAsia="Arial" w:hAnsi="Arial"/>
            <w:sz w:val="17"/>
            <w:szCs w:val="17"/>
            <w:b w:val="1"/>
            <w:bCs w:val="1"/>
            <w:color w:val="auto"/>
          </w:rPr>
          <w:t>1) Organization</w:t>
        </w:r>
      </w:hyperlink>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44"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 Basis of Preparation</w:t>
        </w:r>
      </w:hyperlink>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6" w:name="page77"/>
    <w:bookmarkEnd w:id="76"/>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(3) Summary of Significant Accounting Policies and Practices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cash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ATM cash represents cash within the ATM network either included within ATMs, within dedicated accounts, or in-transit to ATMs.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and obligations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See Note 4, Settlement Assets and Obligations, to the Consolidated Financial Statements for further discussion on settlement assets and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rates are generally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ATMs or ATM upgrades</w:t>
            </w:r>
          </w:p>
        </w:tc>
        <w:tc>
          <w:tcPr>
            <w:tcW w:w="7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93"/>
        </w:trPr>
        <w:tc>
          <w:tcPr>
            <w:tcW w:w="386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73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8"/>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302"/>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 terminals</w:t>
            </w:r>
          </w:p>
        </w:tc>
        <w:tc>
          <w:tcPr>
            <w:tcW w:w="7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93"/>
        </w:trPr>
        <w:tc>
          <w:tcPr>
            <w:tcW w:w="3860" w:type="dxa"/>
            <w:vAlign w:val="bottom"/>
          </w:tcPr>
          <w:p>
            <w:pPr>
              <w:ind w:left="40"/>
              <w:spacing w:after="0"/>
              <w:rPr>
                <w:sz w:val="20"/>
                <w:szCs w:val="20"/>
                <w:color w:val="auto"/>
              </w:rPr>
            </w:pPr>
            <w:r>
              <w:rPr>
                <w:rFonts w:ascii="Arial" w:cs="Arial" w:eastAsia="Arial" w:hAnsi="Arial"/>
                <w:sz w:val="18"/>
                <w:szCs w:val="18"/>
                <w:color w:val="auto"/>
              </w:rPr>
              <w:t>Vehicles and office equipment</w:t>
            </w:r>
          </w:p>
        </w:tc>
        <w:tc>
          <w:tcPr>
            <w:tcW w:w="73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8"/>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88"/>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454"/>
        </w:trPr>
        <w:tc>
          <w:tcPr>
            <w:tcW w:w="3860" w:type="dxa"/>
            <w:vAlign w:val="bottom"/>
          </w:tcPr>
          <w:p>
            <w:pPr>
              <w:spacing w:after="0"/>
              <w:rPr>
                <w:sz w:val="24"/>
                <w:szCs w:val="24"/>
                <w:color w:val="auto"/>
              </w:rPr>
            </w:pPr>
          </w:p>
        </w:tc>
        <w:tc>
          <w:tcPr>
            <w:tcW w:w="7380" w:type="dxa"/>
            <w:vAlign w:val="bottom"/>
          </w:tcPr>
          <w:p>
            <w:pPr>
              <w:jc w:val="right"/>
              <w:ind w:right="5431"/>
              <w:spacing w:after="0"/>
              <w:rPr>
                <w:sz w:val="20"/>
                <w:szCs w:val="20"/>
                <w:color w:val="auto"/>
              </w:rPr>
            </w:pPr>
            <w:r>
              <w:rPr>
                <w:rFonts w:ascii="Arial" w:cs="Arial" w:eastAsia="Arial" w:hAnsi="Arial"/>
                <w:sz w:val="18"/>
                <w:szCs w:val="18"/>
                <w:color w:val="auto"/>
              </w:rPr>
              <w:t>75</w:t>
            </w:r>
          </w:p>
        </w:tc>
      </w:tr>
      <w:tr>
        <w:trPr>
          <w:trHeight w:val="129"/>
        </w:trPr>
        <w:tc>
          <w:tcPr>
            <w:tcW w:w="3860" w:type="dxa"/>
            <w:vAlign w:val="bottom"/>
            <w:tcBorders>
              <w:bottom w:val="single" w:sz="8" w:color="auto"/>
            </w:tcBorders>
          </w:tcPr>
          <w:p>
            <w:pPr>
              <w:spacing w:after="0"/>
              <w:rPr>
                <w:sz w:val="11"/>
                <w:szCs w:val="11"/>
                <w:color w:val="auto"/>
              </w:rPr>
            </w:pPr>
          </w:p>
        </w:tc>
        <w:tc>
          <w:tcPr>
            <w:tcW w:w="73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xml:space="preserve"> - The Company accounts for goodwill and other intangible assets in accordance with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In accordance with the requirements of ASC 350 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8" w:name="page79"/>
    <w:bookmarkEnd w:id="78"/>
    <w:p>
      <w:pPr>
        <w:jc w:val="both"/>
        <w:ind w:right="20"/>
        <w:spacing w:after="0" w:line="272"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0"/>
        </w:trPr>
        <w:tc>
          <w:tcPr>
            <w:tcW w:w="624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50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8"/>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0"/>
        </w:trPr>
        <w:tc>
          <w:tcPr>
            <w:tcW w:w="62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0" w:type="dxa"/>
            <w:vAlign w:val="bottom"/>
          </w:tcPr>
          <w:p>
            <w:pPr>
              <w:jc w:val="right"/>
              <w:spacing w:after="0"/>
              <w:rPr>
                <w:sz w:val="20"/>
                <w:szCs w:val="20"/>
                <w:color w:val="auto"/>
              </w:rPr>
            </w:pPr>
            <w:r>
              <w:rPr>
                <w:rFonts w:ascii="Arial" w:cs="Arial" w:eastAsia="Arial" w:hAnsi="Arial"/>
                <w:sz w:val="18"/>
                <w:szCs w:val="18"/>
                <w:color w:val="auto"/>
              </w:rPr>
              <w:t>6 - 20 years</w:t>
            </w: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See Note 9, Goodwill and Acquired Intangible Assets, Net, to the Consolidated Financial Statements for additional information regarding the impairment of goodwill and other 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assets include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ASC Topic 340, </w:t>
      </w:r>
      <w:r>
        <w:rPr>
          <w:rFonts w:ascii="Arial" w:cs="Arial" w:eastAsia="Arial" w:hAnsi="Arial"/>
          <w:sz w:val="17"/>
          <w:szCs w:val="17"/>
          <w:i w:val="1"/>
          <w:iCs w:val="1"/>
          <w:color w:val="auto"/>
        </w:rPr>
        <w:t>Other Assets and Deferred Costs</w:t>
      </w:r>
      <w:r>
        <w:rPr>
          <w:rFonts w:ascii="Arial" w:cs="Arial" w:eastAsia="Arial" w:hAnsi="Arial"/>
          <w:sz w:val="17"/>
          <w:szCs w:val="17"/>
          <w:color w:val="auto"/>
        </w:rPr>
        <w:t xml:space="preserve"> ("ASC 340") requires the deferral of incremental costs to obtain customer contracts, known as contract assets, which are then amortized to expense as part of selling, general and administrative expense over the respective periods of expected benefit. Deferred contract costs are reported on our balance sheet within current or non-current other assets based on the expected life of the related contract. At December 31, 2020 and 2019, we had $143.5 million and $43.7 million, respectively, of deferred contract costs. For the years ended December 31, 2020, 2019 and 2018, we had $17.2 million, $6.9 million and $6.3 million of amortization related to these costs,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Company accounts for its convertible debt instruments that may be settled in cash upon conversion in accordance with ASC Topic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Income. See Note 14, Income Taxes, to the Consolidated Financial Statements for further discussion regarding these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18, Financial Instruments and Fair Value Measurements, to the Consolidated Financial Statements for the required fair value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12, Derivative Instruments and Hedging Activities, to the Consolidated Financial Statements for further discussion of 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16, Stock Plans, for further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recognizes revenue when control of the promised goods or services is transferred to our customers, in an amount that reflects the consideration the Company expects to be entitled to receive in exchange for those goods or services. Sales and usage-based taxes are excluded from revenues. A description of the major components of revenue by business segment is as follows: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1" w:name="page82"/>
    <w:bookmarkEnd w:id="81"/>
    <w:p>
      <w:pPr>
        <w:jc w:val="both"/>
        <w:spacing w:after="0" w:line="254" w:lineRule="auto"/>
        <w:rPr>
          <w:sz w:val="20"/>
          <w:szCs w:val="20"/>
          <w:color w:val="auto"/>
        </w:rPr>
      </w:pPr>
      <w:r>
        <w:rPr>
          <w:rFonts w:ascii="Arial" w:cs="Arial" w:eastAsia="Arial" w:hAnsi="Arial"/>
          <w:sz w:val="18"/>
          <w:szCs w:val="18"/>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 which is recorded as deferred revenue upon receipt.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Commissions are recognized as revenue during the period in which the Company provides the service. The portion of the commission that is paid to retailers is generally recorded as a direct operating cost. However, in circumstances where the Company is not the principle obligor in the distribution of the electronic payment products, those commissions are recorded as a reduction of revenue. In selling certain products, the Company is the principle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Deferred Revenues</w:t>
      </w:r>
      <w:r>
        <w:rPr>
          <w:rFonts w:ascii="Arial" w:cs="Arial" w:eastAsia="Arial" w:hAnsi="Arial"/>
          <w:sz w:val="18"/>
          <w:szCs w:val="18"/>
          <w:color w:val="auto"/>
        </w:rPr>
        <w:t xml:space="preserve"> - The Company records deferred revenues when cash payments are received or due in advance of its performance. The increase in the deferred revenue balance for the year ended December 31, 2020 is primarily driven by $56.4 million of cash payments received in the current year for which the Company has not yet satisfied the performance obligations, partially offset by $41.6 million of revenues recognized that were included in the deferred revenue balance as of December 31, 2019.</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Disaggregation of Revenues -</w:t>
      </w:r>
      <w:r>
        <w:rPr>
          <w:rFonts w:ascii="Arial" w:cs="Arial" w:eastAsia="Arial" w:hAnsi="Arial"/>
          <w:sz w:val="16"/>
          <w:szCs w:val="16"/>
          <w:color w:val="auto"/>
        </w:rPr>
        <w:t xml:space="preserve">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1"/>
        </w:trPr>
        <w:tc>
          <w:tcPr>
            <w:tcW w:w="5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gridSpan w:val="9"/>
          </w:tcPr>
          <w:p>
            <w:pPr>
              <w:jc w:val="right"/>
              <w:ind w:right="131"/>
              <w:spacing w:after="0"/>
              <w:rPr>
                <w:sz w:val="20"/>
                <w:szCs w:val="20"/>
                <w:color w:val="auto"/>
              </w:rPr>
            </w:pPr>
            <w:r>
              <w:rPr>
                <w:rFonts w:ascii="Arial" w:cs="Arial" w:eastAsia="Arial" w:hAnsi="Arial"/>
                <w:sz w:val="18"/>
                <w:szCs w:val="18"/>
                <w:b w:val="1"/>
                <w:bCs w:val="1"/>
                <w:color w:val="auto"/>
                <w:w w:val="90"/>
              </w:rPr>
              <w:t>For the Year Ended December 31, 2020</w:t>
            </w:r>
          </w:p>
        </w:tc>
        <w:tc>
          <w:tcPr>
            <w:tcW w:w="980" w:type="dxa"/>
            <w:vAlign w:val="bottom"/>
          </w:tcPr>
          <w:p>
            <w:pPr>
              <w:spacing w:after="0"/>
              <w:rPr>
                <w:sz w:val="20"/>
                <w:szCs w:val="20"/>
                <w:color w:val="auto"/>
              </w:rPr>
            </w:pPr>
          </w:p>
        </w:tc>
      </w:tr>
      <w:tr>
        <w:trPr>
          <w:trHeight w:val="28"/>
        </w:trPr>
        <w:tc>
          <w:tcPr>
            <w:tcW w:w="5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6"/>
        </w:trPr>
        <w:tc>
          <w:tcPr>
            <w:tcW w:w="5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Money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58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60" w:type="dxa"/>
            <w:vAlign w:val="bottom"/>
            <w:gridSpan w:val="5"/>
          </w:tcPr>
          <w:p>
            <w:pPr>
              <w:ind w:left="40"/>
              <w:spacing w:after="0"/>
              <w:rPr>
                <w:sz w:val="20"/>
                <w:szCs w:val="20"/>
                <w:color w:val="auto"/>
              </w:rPr>
            </w:pPr>
            <w:r>
              <w:rPr>
                <w:rFonts w:ascii="Arial" w:cs="Arial" w:eastAsia="Arial" w:hAnsi="Arial"/>
                <w:sz w:val="18"/>
                <w:szCs w:val="18"/>
                <w:b w:val="1"/>
                <w:bCs w:val="1"/>
                <w:color w:val="auto"/>
              </w:rPr>
              <w:t>EFT Processing</w:t>
            </w: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Transfer</w:t>
            </w:r>
          </w:p>
        </w:tc>
        <w:tc>
          <w:tcPr>
            <w:tcW w:w="280" w:type="dxa"/>
            <w:vAlign w:val="bottom"/>
          </w:tcPr>
          <w:p>
            <w:pPr>
              <w:spacing w:after="0"/>
              <w:rPr>
                <w:sz w:val="20"/>
                <w:szCs w:val="20"/>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Total</w:t>
            </w:r>
          </w:p>
        </w:tc>
      </w:tr>
      <w:tr>
        <w:trPr>
          <w:trHeight w:val="28"/>
        </w:trPr>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2"/>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313,953</w:t>
            </w:r>
          </w:p>
        </w:tc>
        <w:tc>
          <w:tcPr>
            <w:tcW w:w="48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449,299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1,324,766</w:t>
            </w: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144,613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577,845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778,905</w:t>
            </w:r>
          </w:p>
        </w:tc>
      </w:tr>
      <w:tr>
        <w:trPr>
          <w:trHeight w:val="28"/>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323,643</w:t>
            </w:r>
          </w:p>
        </w:tc>
      </w:tr>
      <w:tr>
        <w:trPr>
          <w:trHeight w:val="240"/>
        </w:trPr>
        <w:tc>
          <w:tcPr>
            <w:tcW w:w="58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32,292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60,778</w:t>
            </w:r>
          </w:p>
        </w:tc>
      </w:tr>
      <w:tr>
        <w:trPr>
          <w:trHeight w:val="28"/>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55"/>
        </w:trPr>
        <w:tc>
          <w:tcPr>
            <w:tcW w:w="584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468,726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835,517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1,183,849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2,482,700</w:t>
            </w: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0" w:type="dxa"/>
            <w:vAlign w:val="bottom"/>
            <w:gridSpan w:val="9"/>
          </w:tcPr>
          <w:p>
            <w:pPr>
              <w:jc w:val="right"/>
              <w:ind w:right="71"/>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020" w:type="dxa"/>
            <w:vAlign w:val="bottom"/>
          </w:tcPr>
          <w:p>
            <w:pPr>
              <w:spacing w:after="0"/>
              <w:rPr>
                <w:sz w:val="20"/>
                <w:szCs w:val="20"/>
                <w:color w:val="auto"/>
              </w:rPr>
            </w:pPr>
          </w:p>
        </w:tc>
      </w:tr>
      <w:tr>
        <w:trPr>
          <w:trHeight w:val="28"/>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b w:val="1"/>
                <w:bCs w:val="1"/>
                <w:color w:val="auto"/>
              </w:rPr>
              <w:t>EFT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Money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58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w w:val="86"/>
              </w:rPr>
              <w:t>Processing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Transfer</w:t>
            </w:r>
          </w:p>
        </w:tc>
        <w:tc>
          <w:tcPr>
            <w:tcW w:w="34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r>
      <w:tr>
        <w:trPr>
          <w:trHeight w:val="28"/>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2"/>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724,163</w:t>
            </w:r>
          </w:p>
        </w:tc>
        <w:tc>
          <w:tcPr>
            <w:tcW w:w="46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1,622,372</w:t>
            </w:r>
          </w:p>
        </w:tc>
      </w:tr>
      <w:tr>
        <w:trPr>
          <w:trHeight w:val="240"/>
        </w:trPr>
        <w:tc>
          <w:tcPr>
            <w:tcW w:w="58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151,016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573,016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759,493</w:t>
            </w:r>
          </w:p>
        </w:tc>
      </w:tr>
      <w:tr>
        <w:trPr>
          <w:trHeight w:val="28"/>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330,485</w:t>
            </w:r>
          </w:p>
        </w:tc>
      </w:tr>
      <w:tr>
        <w:trPr>
          <w:trHeight w:val="24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41,917</w:t>
            </w:r>
          </w:p>
        </w:tc>
      </w:tr>
      <w:tr>
        <w:trPr>
          <w:trHeight w:val="28"/>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r>
      <w:tr>
        <w:trPr>
          <w:trHeight w:val="255"/>
        </w:trPr>
        <w:tc>
          <w:tcPr>
            <w:tcW w:w="58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888,712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769,329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1,096,226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2,750,109</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0" w:type="dxa"/>
            <w:vAlign w:val="bottom"/>
            <w:gridSpan w:val="9"/>
          </w:tcPr>
          <w:p>
            <w:pPr>
              <w:jc w:val="right"/>
              <w:ind w:right="71"/>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020" w:type="dxa"/>
            <w:vAlign w:val="bottom"/>
          </w:tcPr>
          <w:p>
            <w:pPr>
              <w:spacing w:after="0"/>
              <w:rPr>
                <w:sz w:val="20"/>
                <w:szCs w:val="20"/>
                <w:color w:val="auto"/>
              </w:rPr>
            </w:pPr>
          </w:p>
        </w:tc>
      </w:tr>
      <w:tr>
        <w:trPr>
          <w:trHeight w:val="28"/>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b w:val="1"/>
                <w:bCs w:val="1"/>
                <w:color w:val="auto"/>
              </w:rPr>
              <w:t>EFT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Money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58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w w:val="86"/>
              </w:rPr>
              <w:t>Processing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30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28"/>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2"/>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608,993</w:t>
            </w:r>
          </w:p>
        </w:tc>
        <w:tc>
          <w:tcPr>
            <w:tcW w:w="44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491,282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328,592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1,428,867</w:t>
            </w:r>
          </w:p>
        </w:tc>
      </w:tr>
      <w:tr>
        <w:trPr>
          <w:trHeight w:val="240"/>
        </w:trPr>
        <w:tc>
          <w:tcPr>
            <w:tcW w:w="58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165,930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569,005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767,241</w:t>
            </w:r>
          </w:p>
        </w:tc>
      </w:tr>
      <w:tr>
        <w:trPr>
          <w:trHeight w:val="28"/>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310,593</w:t>
            </w:r>
          </w:p>
        </w:tc>
      </w:tr>
      <w:tr>
        <w:trPr>
          <w:trHeight w:val="24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18,308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33,696</w:t>
            </w:r>
          </w:p>
        </w:tc>
      </w:tr>
      <w:tr>
        <w:trPr>
          <w:trHeight w:val="28"/>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r>
      <w:tr>
        <w:trPr>
          <w:trHeight w:val="255"/>
        </w:trPr>
        <w:tc>
          <w:tcPr>
            <w:tcW w:w="58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753,651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743,784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1,042,962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2,536,629</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Early adoption is permitted. The Company is currently evaluating the impact the adoption of ASU 2020-06 will have on the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3" w:name="page84"/>
    <w:bookmarkEnd w:id="83"/>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which provides optional expedients and exceptions for contracts, hedging relationships, and other transactions affected by reference rate reform due to the anticipated cessation of LIBOR on or before December 31, 2021. This guidance is effective from March 12, 2020 through December 31, 2022 and could impact the accounting for LIBOR provisions in the Company’s unsecured credit agreement. The Company does not expect that the adoption of this guidance will have a significant impact on its Consolidated Financial Statements.</w:t>
      </w:r>
    </w:p>
    <w:p>
      <w:pPr>
        <w:spacing w:after="0" w:line="19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as of January 1, 2020, which requires entities to measure all expected credit losses for financial assets held at the reporting date based on historical experience, current conditions, and reasonable and supportable forecasts. This replaced the existing incurred loss model and is applicable to the measurement of credit losses on financial assets measured at amortized cost. The adoption of this standard did not have a significant impact on the Company's Consolidated Financial Statements and related disclosures.</w:t>
      </w:r>
    </w:p>
    <w:p>
      <w:pPr>
        <w:spacing w:after="0" w:line="128"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(4) Settlement Assets and Obligations</w:t>
        </w:r>
      </w:hyperlink>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amounts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and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As of December</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of December</w:t>
            </w:r>
          </w:p>
        </w:tc>
        <w:tc>
          <w:tcPr>
            <w:tcW w:w="0" w:type="dxa"/>
            <w:vAlign w:val="bottom"/>
          </w:tcPr>
          <w:p>
            <w:pPr>
              <w:spacing w:after="0"/>
              <w:rPr>
                <w:sz w:val="1"/>
                <w:szCs w:val="1"/>
                <w:color w:val="auto"/>
              </w:rPr>
            </w:pPr>
          </w:p>
        </w:tc>
      </w:tr>
      <w:tr>
        <w:trPr>
          <w:trHeight w:val="231"/>
        </w:trPr>
        <w:tc>
          <w:tcPr>
            <w:tcW w:w="54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b w:val="1"/>
                <w:bCs w:val="1"/>
                <w:color w:val="auto"/>
              </w:rPr>
              <w:t>31, 2020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4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480" w:type="dxa"/>
            <w:vAlign w:val="bottom"/>
          </w:tcPr>
          <w:p>
            <w:pPr>
              <w:ind w:left="40"/>
              <w:spacing w:after="0"/>
              <w:rPr>
                <w:sz w:val="20"/>
                <w:szCs w:val="20"/>
                <w:color w:val="auto"/>
              </w:rPr>
            </w:pPr>
            <w:r>
              <w:rPr>
                <w:rFonts w:ascii="Arial" w:cs="Arial" w:eastAsia="Arial" w:hAnsi="Arial"/>
                <w:sz w:val="18"/>
                <w:szCs w:val="18"/>
                <w:color w:val="auto"/>
              </w:rPr>
              <w:t>Settlement assets:</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cash and cash equivalents</w:t>
            </w:r>
          </w:p>
        </w:tc>
        <w:tc>
          <w:tcPr>
            <w:tcW w:w="334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282,188</w:t>
            </w:r>
          </w:p>
        </w:tc>
        <w:tc>
          <w:tcPr>
            <w:tcW w:w="0" w:type="dxa"/>
            <w:vAlign w:val="bottom"/>
          </w:tcPr>
          <w:p>
            <w:pPr>
              <w:spacing w:after="0"/>
              <w:rPr>
                <w:sz w:val="1"/>
                <w:szCs w:val="1"/>
                <w:color w:val="auto"/>
              </w:rPr>
            </w:pPr>
          </w:p>
        </w:tc>
      </w:tr>
      <w:tr>
        <w:trPr>
          <w:trHeight w:val="240"/>
        </w:trPr>
        <w:tc>
          <w:tcPr>
            <w:tcW w:w="5480" w:type="dxa"/>
            <w:vAlign w:val="bottom"/>
          </w:tcPr>
          <w:p>
            <w:pPr>
              <w:ind w:left="160"/>
              <w:spacing w:after="0"/>
              <w:rPr>
                <w:sz w:val="20"/>
                <w:szCs w:val="20"/>
                <w:color w:val="auto"/>
              </w:rPr>
            </w:pPr>
            <w:r>
              <w:rPr>
                <w:rFonts w:ascii="Arial" w:cs="Arial" w:eastAsia="Arial" w:hAnsi="Arial"/>
                <w:sz w:val="18"/>
                <w:szCs w:val="18"/>
                <w:color w:val="auto"/>
              </w:rPr>
              <w:t>Settlement restricted cash</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76,674</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49,168</w:t>
            </w: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Account receivables, net of credit loss allowance of $35,800 and $24,046</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641,955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574,410</w:t>
            </w:r>
          </w:p>
        </w:tc>
        <w:tc>
          <w:tcPr>
            <w:tcW w:w="0" w:type="dxa"/>
            <w:vAlign w:val="bottom"/>
          </w:tcPr>
          <w:p>
            <w:pPr>
              <w:spacing w:after="0"/>
              <w:rPr>
                <w:sz w:val="1"/>
                <w:szCs w:val="1"/>
                <w:color w:val="auto"/>
              </w:rPr>
            </w:pPr>
          </w:p>
        </w:tc>
      </w:tr>
      <w:tr>
        <w:trPr>
          <w:trHeight w:val="240"/>
        </w:trPr>
        <w:tc>
          <w:tcPr>
            <w:tcW w:w="54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234,055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107,301</w:t>
            </w:r>
          </w:p>
        </w:tc>
        <w:tc>
          <w:tcPr>
            <w:tcW w:w="0" w:type="dxa"/>
            <w:vAlign w:val="bottom"/>
          </w:tcPr>
          <w:p>
            <w:pPr>
              <w:spacing w:after="0"/>
              <w:rPr>
                <w:sz w:val="1"/>
                <w:szCs w:val="1"/>
                <w:color w:val="auto"/>
              </w:rPr>
            </w:pPr>
          </w:p>
        </w:tc>
      </w:tr>
      <w:tr>
        <w:trPr>
          <w:trHeight w:val="28"/>
        </w:trPr>
        <w:tc>
          <w:tcPr>
            <w:tcW w:w="54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assets</w:t>
            </w:r>
          </w:p>
        </w:tc>
        <w:tc>
          <w:tcPr>
            <w:tcW w:w="3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Settlement obligations:</w:t>
            </w:r>
          </w:p>
        </w:tc>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8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 payables</w:t>
            </w:r>
          </w:p>
        </w:tc>
        <w:tc>
          <w:tcPr>
            <w:tcW w:w="334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504,667</w:t>
            </w:r>
          </w:p>
        </w:tc>
        <w:tc>
          <w:tcPr>
            <w:tcW w:w="0" w:type="dxa"/>
            <w:vAlign w:val="bottom"/>
          </w:tcPr>
          <w:p>
            <w:pPr>
              <w:spacing w:after="0"/>
              <w:rPr>
                <w:sz w:val="1"/>
                <w:szCs w:val="1"/>
                <w:color w:val="auto"/>
              </w:rPr>
            </w:pPr>
          </w:p>
        </w:tc>
      </w:tr>
      <w:tr>
        <w:trPr>
          <w:trHeight w:val="240"/>
        </w:trPr>
        <w:tc>
          <w:tcPr>
            <w:tcW w:w="548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508,400</w:t>
            </w:r>
          </w:p>
        </w:tc>
        <w:tc>
          <w:tcPr>
            <w:tcW w:w="0" w:type="dxa"/>
            <w:vAlign w:val="bottom"/>
          </w:tcPr>
          <w:p>
            <w:pPr>
              <w:spacing w:after="0"/>
              <w:rPr>
                <w:sz w:val="1"/>
                <w:szCs w:val="1"/>
                <w:color w:val="auto"/>
              </w:rPr>
            </w:pPr>
          </w:p>
        </w:tc>
      </w:tr>
      <w:tr>
        <w:trPr>
          <w:trHeight w:val="28"/>
        </w:trPr>
        <w:tc>
          <w:tcPr>
            <w:tcW w:w="54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settlement obligations</w:t>
            </w:r>
          </w:p>
        </w:tc>
        <w:tc>
          <w:tcPr>
            <w:tcW w:w="3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771"/>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54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4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4" w:name="page85"/>
    <w:bookmarkEnd w:id="84"/>
    <w:p>
      <w:pPr>
        <w:jc w:val="both"/>
        <w:spacing w:after="0" w:line="272"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51"/>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tcPr>
          <w:p>
            <w:pPr>
              <w:ind w:left="100"/>
              <w:spacing w:after="0" w:line="151"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40" w:type="dxa"/>
            <w:vAlign w:val="bottom"/>
            <w:gridSpan w:val="3"/>
          </w:tcPr>
          <w:p>
            <w:pPr>
              <w:jc w:val="center"/>
              <w:ind w:right="300"/>
              <w:spacing w:after="0" w:line="151"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3"/>
                <w:szCs w:val="13"/>
                <w:color w:val="auto"/>
              </w:rPr>
            </w:pPr>
          </w:p>
        </w:tc>
        <w:tc>
          <w:tcPr>
            <w:tcW w:w="122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December 31,</w:t>
            </w:r>
          </w:p>
        </w:tc>
      </w:tr>
      <w:tr>
        <w:trPr>
          <w:trHeight w:val="191"/>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r>
      <w:tr>
        <w:trPr>
          <w:trHeight w:val="247"/>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786,081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385,031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34,301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31,237</w:t>
            </w:r>
          </w:p>
        </w:tc>
      </w:tr>
      <w:tr>
        <w:trPr>
          <w:trHeight w:val="28"/>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665,641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395,378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188,191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282,188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273,948</w:t>
            </w:r>
          </w:p>
        </w:tc>
        <w:tc>
          <w:tcPr>
            <w:tcW w:w="60" w:type="dxa"/>
            <w:vAlign w:val="bottom"/>
          </w:tcPr>
          <w:p>
            <w:pPr>
              <w:spacing w:after="0"/>
              <w:rPr>
                <w:sz w:val="20"/>
                <w:szCs w:val="20"/>
                <w:color w:val="auto"/>
              </w:rPr>
            </w:pPr>
          </w:p>
        </w:tc>
      </w:tr>
      <w:tr>
        <w:trPr>
          <w:trHeight w:val="28"/>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8"/>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45,358</w:t>
            </w:r>
          </w:p>
        </w:tc>
      </w:tr>
      <w:tr>
        <w:trPr>
          <w:trHeight w:val="56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1,130,952</w:t>
            </w:r>
          </w:p>
        </w:tc>
        <w:tc>
          <w:tcPr>
            <w:tcW w:w="60" w:type="dxa"/>
            <w:vAlign w:val="bottom"/>
          </w:tcPr>
          <w:p>
            <w:pPr>
              <w:spacing w:after="0"/>
              <w:rPr>
                <w:sz w:val="24"/>
                <w:szCs w:val="24"/>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(5) Stockholders' Equity</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4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33655</wp:posOffset>
            </wp:positionV>
            <wp:extent cx="24853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1260" w:type="dxa"/>
            <w:vAlign w:val="bottom"/>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r>
      <w:tr>
        <w:trPr>
          <w:trHeight w:val="28"/>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0"/>
        </w:trPr>
        <w:tc>
          <w:tcPr>
            <w:tcW w:w="732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52,659,551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53,449,834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51,487,557</w:t>
            </w:r>
          </w:p>
        </w:tc>
      </w:tr>
      <w:tr>
        <w:trPr>
          <w:trHeight w:val="28"/>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8"/>
        </w:trPr>
        <w:tc>
          <w:tcPr>
            <w:tcW w:w="7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Incremental shares from assumed exercise of stock options and vesting of restricted stock</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1,464,053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1,499,713</w:t>
            </w:r>
          </w:p>
        </w:tc>
      </w:tr>
      <w:tr>
        <w:trPr>
          <w:trHeight w:val="240"/>
        </w:trPr>
        <w:tc>
          <w:tcPr>
            <w:tcW w:w="7320" w:type="dxa"/>
            <w:vAlign w:val="bottom"/>
          </w:tcPr>
          <w:p>
            <w:pPr>
              <w:ind w:left="16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1,640,477</w:t>
            </w:r>
          </w:p>
        </w:tc>
      </w:tr>
      <w:tr>
        <w:trPr>
          <w:trHeight w:val="28"/>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52,659,551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54,913,887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54,627,747</w:t>
            </w: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2020, 2019 and 2018 of approximately 2,073,000, 380,000 and 458,000,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5" w:name="page86"/>
    <w:bookmarkEnd w:id="85"/>
    <w:p>
      <w:pPr>
        <w:jc w:val="both"/>
        <w:spacing w:after="0" w:line="284" w:lineRule="auto"/>
        <w:rPr>
          <w:sz w:val="20"/>
          <w:szCs w:val="20"/>
          <w:color w:val="auto"/>
        </w:rPr>
      </w:pPr>
      <w:r>
        <w:rPr>
          <w:rFonts w:ascii="Arial" w:cs="Arial" w:eastAsia="Arial" w:hAnsi="Arial"/>
          <w:sz w:val="16"/>
          <w:szCs w:val="16"/>
          <w:color w:val="auto"/>
        </w:rPr>
        <w:t xml:space="preserve">The Company issued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Retired Convertible Notes had a dilutive effect for the year ended December 31, 2018 as the $102.38 market price per share of Common Stock as of December 13, 2018 exceeded the $72.18 conversion price per share. The Convertible Notes would only have a dilutive effect if the market price per share of common stock exceeds the conversion price of $188.73 per share. Therefore, according to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xml:space="preserve"> there was no dilutive effect of the assumed conversion of the debentures as of December 31, 2020 and December 31, 2019, whereas the dilutive effect was 1,640,477 shares for the year ended December 31, 2018. See Note 11, Debt Obligations, to the Consolidated Financial Statements for more information about the Convertible Notes and Retired Convertible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Board of Directors had authorized a stock repurchase program allowing Euronet to repurchase up to $375 million in value or 10.0 million shares of common stock through March 31, 2020. On March 11, 2019, in connection with the issuance of the Convertible Notes, the Board of Directors authorized an additional repurchase program of $120 million in value of the Company's common stock through March 11, 2021. On February 26, 2020, the Company put a repurchase program in place to repurchase up to $250 million in value, but not more than 5.0 million shares of common stock through February 28, 2022. Repurchases under either program may take place in the open market or in privately negotiated transactions, including derivative transactions, and may be made under a Rule 10b5-1 plan. For the years ended December 31, 2020, 2019 and 2018 the Company repurchased $239.8 million, $70.9 million, and $175.0 million, respectively, in value of Euronet common stock under the repurchase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and 2019, accumulated other comprehensive loss consists entirely of foreign currency translation adjustments. The Company recorded a foreign currency translation gain of $70.8 million, a loss of $13.9 million and a loss of $56.7 million for the years ended December 31, 2020, 2019, and 2018, respectively. There were no reclassifications of foreign currency translation into the Consolidated Statements of Income for the years ended December 31, 2020,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paid on any class of the Company's stock during 2020, 2019, and 2018.</w:t>
      </w:r>
    </w:p>
    <w:p>
      <w:pPr>
        <w:spacing w:after="0" w:line="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6" w:name="page87"/>
    <w:bookmarkEnd w:id="86"/>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(6) Acquisitions</w:t>
        </w:r>
      </w:hyperlink>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2019, the Company completed the acquisition of a North American based ATM operator with approximately 1,800 ATMs.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purchase price was $92.5 million in cash. The purchase price was allocated to the assets acquired and liabilities assumed, including identifiable intangible assets, based on their respective fair values at the date of acquisition. The acquisition has been accounted for as business combinations in accordance with U.S. GAAP and the results of operations have been included from the date of acquisition in the EFT Processing Segment. The historical revenue and earnings were not significant for the purpose of presenting pro forma information for the pre-acquisition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920" w:type="dxa"/>
            <w:vAlign w:val="bottom"/>
            <w:gridSpan w:val="2"/>
          </w:tcPr>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9"/>
        </w:trPr>
        <w:tc>
          <w:tcPr>
            <w:tcW w:w="9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391"/>
              <w:spacing w:after="0"/>
              <w:rPr>
                <w:sz w:val="20"/>
                <w:szCs w:val="20"/>
                <w:color w:val="auto"/>
              </w:rPr>
            </w:pPr>
            <w:r>
              <w:rPr>
                <w:rFonts w:ascii="Arial" w:cs="Arial" w:eastAsia="Arial" w:hAnsi="Arial"/>
                <w:sz w:val="18"/>
                <w:szCs w:val="18"/>
                <w:b w:val="1"/>
                <w:bCs w:val="1"/>
                <w:color w:val="auto"/>
              </w:rPr>
              <w:t>As of</w:t>
            </w:r>
          </w:p>
        </w:tc>
      </w:tr>
      <w:tr>
        <w:trPr>
          <w:trHeight w:val="214"/>
        </w:trPr>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November 30,</w:t>
            </w:r>
          </w:p>
        </w:tc>
      </w:tr>
      <w:tr>
        <w:trPr>
          <w:trHeight w:val="231"/>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20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r>
      <w:tr>
        <w:trPr>
          <w:trHeight w:val="28"/>
        </w:trPr>
        <w:tc>
          <w:tcPr>
            <w:tcW w:w="9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2"/>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0"/>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Trade accounts receivable</w:t>
            </w:r>
          </w:p>
        </w:tc>
        <w:tc>
          <w:tcPr>
            <w:tcW w:w="1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2,167</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r>
      <w:tr>
        <w:trPr>
          <w:trHeight w:val="240"/>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16,542</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39,000</w:t>
            </w:r>
          </w:p>
        </w:tc>
      </w:tr>
      <w:tr>
        <w:trPr>
          <w:trHeight w:val="23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63,832</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9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0"/>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(6,790)</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(6,870)</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9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0"/>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35,540</w:t>
            </w:r>
          </w:p>
        </w:tc>
      </w:tr>
      <w:tr>
        <w:trPr>
          <w:trHeight w:val="28"/>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9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55"/>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92,502</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acquired customer relationship intangible assets with a fair value of $39.0 million, which are being amortized on a straight-line basis over 20 years.</w:t>
      </w:r>
    </w:p>
    <w:p>
      <w:pPr>
        <w:spacing w:after="0" w:line="174" w:lineRule="exact"/>
        <w:rPr>
          <w:sz w:val="20"/>
          <w:szCs w:val="20"/>
          <w:color w:val="auto"/>
        </w:rPr>
      </w:pPr>
    </w:p>
    <w:p>
      <w:pPr>
        <w:jc w:val="both"/>
        <w:ind w:right="20"/>
        <w:spacing w:after="0" w:line="302" w:lineRule="auto"/>
        <w:rPr>
          <w:sz w:val="20"/>
          <w:szCs w:val="20"/>
          <w:color w:val="auto"/>
        </w:rPr>
      </w:pPr>
      <w:r>
        <w:rPr>
          <w:rFonts w:ascii="Arial" w:cs="Arial" w:eastAsia="Arial" w:hAnsi="Arial"/>
          <w:sz w:val="17"/>
          <w:szCs w:val="17"/>
          <w:color w:val="auto"/>
        </w:rPr>
        <w:t>Goodwill, with a value of $35.5 million, arising from the acquisition was included in the EFT Processing Segment and was attributable to expected growth opportunities in the United States. Goodwill and intangible assets associated with this acquisition are deductible for tax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7"/>
        </w:trPr>
        <w:tc>
          <w:tcPr>
            <w:tcW w:w="850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42"/>
        </w:trPr>
        <w:tc>
          <w:tcPr>
            <w:tcW w:w="8500" w:type="dxa"/>
            <w:vAlign w:val="bottom"/>
            <w:gridSpan w:val="2"/>
          </w:tcPr>
          <w:p>
            <w:pPr>
              <w:spacing w:after="0"/>
              <w:rPr>
                <w:sz w:val="20"/>
                <w:szCs w:val="20"/>
                <w:color w:val="auto"/>
              </w:rPr>
            </w:pPr>
            <w:r>
              <w:rPr>
                <w:rFonts w:ascii="Arial" w:cs="Arial" w:eastAsia="Arial" w:hAnsi="Arial"/>
                <w:sz w:val="18"/>
                <w:szCs w:val="18"/>
                <w:color w:val="auto"/>
              </w:rPr>
              <w:t>The Company completed three additional acquisitions in 2019 for immaterial amounts.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2"/>
        </w:trPr>
        <w:tc>
          <w:tcPr>
            <w:tcW w:w="850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(7) Restricted Cash</w:t>
              </w:r>
            </w:hyperlink>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9"/>
        </w:trPr>
        <w:tc>
          <w:tcPr>
            <w:tcW w:w="8500" w:type="dxa"/>
            <w:vAlign w:val="bottom"/>
            <w:gridSpan w:val="2"/>
          </w:tcPr>
          <w:p>
            <w:pPr>
              <w:spacing w:after="0"/>
              <w:rPr>
                <w:sz w:val="20"/>
                <w:szCs w:val="20"/>
                <w:color w:val="auto"/>
              </w:rPr>
            </w:pPr>
            <w:r>
              <w:rPr>
                <w:rFonts w:ascii="Arial" w:cs="Arial" w:eastAsia="Arial" w:hAnsi="Arial"/>
                <w:sz w:val="18"/>
                <w:szCs w:val="18"/>
                <w:color w:val="auto"/>
              </w:rPr>
              <w:t>The restricted cash balances as of December 31, 2020 and 2019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6"/>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531"/>
              <w:spacing w:after="0"/>
              <w:rPr>
                <w:sz w:val="20"/>
                <w:szCs w:val="20"/>
                <w:color w:val="auto"/>
              </w:rPr>
            </w:pPr>
            <w:r>
              <w:rPr>
                <w:rFonts w:ascii="Arial" w:cs="Arial" w:eastAsia="Arial" w:hAnsi="Arial"/>
                <w:sz w:val="18"/>
                <w:szCs w:val="18"/>
                <w:b w:val="1"/>
                <w:bCs w:val="1"/>
                <w:color w:val="auto"/>
              </w:rPr>
              <w:t>As of December 31,</w:t>
            </w:r>
          </w:p>
        </w:tc>
      </w:tr>
      <w:tr>
        <w:trPr>
          <w:trHeight w:val="28"/>
        </w:trPr>
        <w:tc>
          <w:tcPr>
            <w:tcW w:w="85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85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2019</w:t>
            </w:r>
          </w:p>
        </w:tc>
      </w:tr>
      <w:tr>
        <w:trPr>
          <w:trHeight w:val="28"/>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2"/>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34,301</w:t>
            </w:r>
          </w:p>
        </w:tc>
      </w:tr>
      <w:tr>
        <w:trPr>
          <w:trHeight w:val="233"/>
        </w:trPr>
        <w:tc>
          <w:tcPr>
            <w:tcW w:w="85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3,334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34,301</w:t>
            </w:r>
          </w:p>
        </w:tc>
      </w:tr>
      <w:tr>
        <w:trPr>
          <w:trHeight w:val="28"/>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0"/>
        </w:trPr>
        <w:tc>
          <w:tcPr>
            <w:tcW w:w="8500" w:type="dxa"/>
            <w:vAlign w:val="bottom"/>
            <w:gridSpan w:val="2"/>
          </w:tcPr>
          <w:p>
            <w:pPr>
              <w:ind w:left="4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64,489</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44,366</w:t>
            </w:r>
          </w:p>
        </w:tc>
      </w:tr>
      <w:tr>
        <w:trPr>
          <w:trHeight w:val="28"/>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r>
      <w:tr>
        <w:trPr>
          <w:trHeight w:val="233"/>
        </w:trPr>
        <w:tc>
          <w:tcPr>
            <w:tcW w:w="85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Restricted cash included within settlement assets</w:t>
            </w: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76,674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49,168</w:t>
            </w:r>
          </w:p>
        </w:tc>
      </w:tr>
      <w:tr>
        <w:trPr>
          <w:trHeight w:val="28"/>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5"/>
        </w:trPr>
        <w:tc>
          <w:tcPr>
            <w:tcW w:w="85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Restricted Cash</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80,008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83,469</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85"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(8) Property and Equipment, Net</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2020 and 2019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As of December 31,</w:t>
            </w:r>
          </w:p>
        </w:tc>
      </w:tr>
      <w:tr>
        <w:trPr>
          <w:trHeight w:val="28"/>
        </w:trPr>
        <w:tc>
          <w:tcPr>
            <w:tcW w:w="84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r>
      <w:tr>
        <w:trPr>
          <w:trHeight w:val="28"/>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2"/>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554,508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474,611</w:t>
            </w:r>
          </w:p>
        </w:tc>
      </w:tr>
      <w:tr>
        <w:trPr>
          <w:trHeight w:val="24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33,258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38,235</w:t>
            </w:r>
          </w:p>
        </w:tc>
      </w:tr>
      <w:tr>
        <w:trPr>
          <w:trHeight w:val="28"/>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8"/>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64,970</w:t>
            </w:r>
          </w:p>
        </w:tc>
      </w:tr>
      <w:tr>
        <w:trPr>
          <w:trHeight w:val="24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203,883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191,172</w:t>
            </w:r>
          </w:p>
        </w:tc>
      </w:tr>
      <w:tr>
        <w:trPr>
          <w:trHeight w:val="28"/>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33"/>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868,870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770,223</w:t>
            </w:r>
          </w:p>
        </w:tc>
      </w:tr>
      <w:tr>
        <w:trPr>
          <w:trHeight w:val="28"/>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8"/>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(410,243)</w:t>
            </w:r>
          </w:p>
        </w:tc>
      </w:tr>
      <w:tr>
        <w:trPr>
          <w:trHeight w:val="255"/>
        </w:trPr>
        <w:tc>
          <w:tcPr>
            <w:tcW w:w="8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378,441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359,980</w:t>
            </w: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finance leases, for the years ended December 31, 2020, 2019 and 2018 was $96.1 million, $83.5 million and $75.1 million,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1"/>
        </w:trPr>
        <w:tc>
          <w:tcPr>
            <w:tcW w:w="582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(9) Goodwill and Acquired Intangible Assets, Net</w:t>
              </w:r>
            </w:hyperlink>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29"/>
        </w:trPr>
        <w:tc>
          <w:tcPr>
            <w:tcW w:w="6140" w:type="dxa"/>
            <w:vAlign w:val="bottom"/>
            <w:gridSpan w:val="3"/>
          </w:tcPr>
          <w:p>
            <w:pPr>
              <w:spacing w:after="0"/>
              <w:rPr>
                <w:sz w:val="20"/>
                <w:szCs w:val="20"/>
                <w:color w:val="auto"/>
              </w:rPr>
            </w:pPr>
            <w:r>
              <w:rPr>
                <w:rFonts w:ascii="Arial" w:cs="Arial" w:eastAsia="Arial" w:hAnsi="Arial"/>
                <w:sz w:val="18"/>
                <w:szCs w:val="18"/>
                <w:color w:val="auto"/>
                <w:w w:val="89"/>
              </w:rPr>
              <w:t>The following table summarizes intangible assets as of December 31, 2020 and 2019:</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6"/>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ind w:left="8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Pr>
          <w:p>
            <w:pPr>
              <w:spacing w:after="0"/>
              <w:rPr>
                <w:sz w:val="24"/>
                <w:szCs w:val="24"/>
                <w:color w:val="auto"/>
              </w:rPr>
            </w:pPr>
          </w:p>
        </w:tc>
        <w:tc>
          <w:tcPr>
            <w:tcW w:w="23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As of December 31, 2019</w:t>
            </w:r>
          </w:p>
        </w:tc>
      </w:tr>
      <w:tr>
        <w:trPr>
          <w:trHeight w:val="28"/>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0"/>
        </w:trPr>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Gross Carrying</w:t>
            </w:r>
          </w:p>
        </w:tc>
        <w:tc>
          <w:tcPr>
            <w:tcW w:w="14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Gross Carrying</w:t>
            </w: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w w:val="90"/>
              </w:rPr>
              <w:t>Accumulated</w:t>
            </w:r>
          </w:p>
        </w:tc>
      </w:tr>
      <w:tr>
        <w:trPr>
          <w:trHeight w:val="22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9"/>
                <w:szCs w:val="19"/>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w w:val="93"/>
              </w:rPr>
              <w:t>Amortization</w:t>
            </w:r>
          </w:p>
        </w:tc>
      </w:tr>
      <w:tr>
        <w:trPr>
          <w:trHeight w:val="28"/>
        </w:trPr>
        <w:tc>
          <w:tcPr>
            <w:tcW w:w="5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2"/>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186,749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(139,319)</w:t>
            </w:r>
          </w:p>
        </w:tc>
      </w:tr>
      <w:tr>
        <w:trPr>
          <w:trHeight w:val="24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46,762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45,347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(28,123)</w:t>
            </w:r>
          </w:p>
        </w:tc>
      </w:tr>
      <w:tr>
        <w:trPr>
          <w:trHeight w:val="28"/>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8"/>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61,602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(35,362)</w:t>
            </w:r>
          </w:p>
        </w:tc>
      </w:tr>
      <w:tr>
        <w:trPr>
          <w:trHeight w:val="24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8"/>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297,093</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346,700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(204,853)</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gridSpan w:val="2"/>
          </w:tcPr>
          <w:p>
            <w:pPr>
              <w:ind w:left="100"/>
              <w:spacing w:after="0"/>
              <w:rPr>
                <w:sz w:val="20"/>
                <w:szCs w:val="20"/>
                <w:color w:val="auto"/>
              </w:rPr>
            </w:pPr>
            <w:r>
              <w:rPr>
                <w:rFonts w:ascii="Arial" w:cs="Arial" w:eastAsia="Arial" w:hAnsi="Arial"/>
                <w:sz w:val="18"/>
                <w:szCs w:val="18"/>
                <w:color w:val="auto"/>
              </w:rPr>
              <w:t>(in thousands)</w:t>
            </w:r>
          </w:p>
        </w:tc>
        <w:tc>
          <w:tcPr>
            <w:tcW w:w="23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Acquired Intangible Assets</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Goodwill</w:t>
            </w:r>
          </w:p>
        </w:tc>
        <w:tc>
          <w:tcPr>
            <w:tcW w:w="19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3"/>
              </w:rPr>
              <w:t>Total Intangible Assets</w:t>
            </w:r>
          </w:p>
        </w:tc>
      </w:tr>
      <w:tr>
        <w:trPr>
          <w:trHeight w:val="28"/>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114,485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704,197</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818,682</w:t>
            </w:r>
          </w:p>
        </w:tc>
      </w:tr>
      <w:tr>
        <w:trPr>
          <w:trHeight w:val="24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Acquisitions (see footnote 6)</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46,246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35,305</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81,551</w:t>
            </w:r>
          </w:p>
        </w:tc>
      </w:tr>
      <w:tr>
        <w:trPr>
          <w:trHeight w:val="240"/>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0"/>
                <w:szCs w:val="20"/>
                <w:color w:val="auto"/>
              </w:rPr>
            </w:pPr>
          </w:p>
        </w:tc>
        <w:tc>
          <w:tcPr>
            <w:tcW w:w="2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8"/>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(20,374)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(20,374)</w:t>
            </w:r>
          </w:p>
        </w:tc>
      </w:tr>
      <w:tr>
        <w:trPr>
          <w:trHeight w:val="240"/>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Other (primarily changes in foreign currency exchange rates)</w:t>
            </w:r>
          </w:p>
        </w:tc>
        <w:tc>
          <w:tcPr>
            <w:tcW w:w="160" w:type="dxa"/>
            <w:vAlign w:val="bottom"/>
          </w:tcPr>
          <w:p>
            <w:pPr>
              <w:spacing w:after="0"/>
              <w:rPr>
                <w:sz w:val="20"/>
                <w:szCs w:val="20"/>
                <w:color w:val="auto"/>
              </w:rPr>
            </w:pPr>
          </w:p>
        </w:tc>
        <w:tc>
          <w:tcPr>
            <w:tcW w:w="2000" w:type="dxa"/>
            <w:vAlign w:val="bottom"/>
          </w:tcPr>
          <w:p>
            <w:pPr>
              <w:jc w:val="right"/>
              <w:ind w:right="151"/>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4,321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5,811</w:t>
            </w:r>
          </w:p>
        </w:tc>
      </w:tr>
      <w:tr>
        <w:trPr>
          <w:trHeight w:val="28"/>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141,847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743,823</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885,670</w:t>
            </w:r>
          </w:p>
        </w:tc>
      </w:tr>
      <w:tr>
        <w:trPr>
          <w:trHeight w:val="240"/>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1,310</w:t>
            </w:r>
          </w:p>
        </w:tc>
      </w:tr>
      <w:tr>
        <w:trPr>
          <w:trHeight w:val="261"/>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2"/>
                <w:szCs w:val="22"/>
                <w:color w:val="auto"/>
              </w:rPr>
            </w:pPr>
          </w:p>
        </w:tc>
        <w:tc>
          <w:tcPr>
            <w:tcW w:w="2000" w:type="dxa"/>
            <w:vAlign w:val="bottom"/>
          </w:tcPr>
          <w:p>
            <w:pPr>
              <w:jc w:val="right"/>
              <w:ind w:right="91"/>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(104,554)</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(106,602)</w:t>
            </w:r>
          </w:p>
        </w:tc>
      </w:tr>
      <w:tr>
        <w:trPr>
          <w:trHeight w:val="256"/>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(22,867)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(22,867)</w:t>
            </w:r>
          </w:p>
        </w:tc>
      </w:tr>
      <w:tr>
        <w:trPr>
          <w:trHeight w:val="240"/>
        </w:trPr>
        <w:tc>
          <w:tcPr>
            <w:tcW w:w="5340" w:type="dxa"/>
            <w:vAlign w:val="bottom"/>
            <w:gridSpan w:val="2"/>
          </w:tcPr>
          <w:p>
            <w:pPr>
              <w:ind w:left="160"/>
              <w:spacing w:after="0"/>
              <w:rPr>
                <w:sz w:val="20"/>
                <w:szCs w:val="20"/>
                <w:color w:val="auto"/>
              </w:rPr>
            </w:pPr>
            <w:r>
              <w:rPr>
                <w:rFonts w:ascii="Arial" w:cs="Arial" w:eastAsia="Arial" w:hAnsi="Arial"/>
                <w:sz w:val="18"/>
                <w:szCs w:val="18"/>
                <w:color w:val="auto"/>
              </w:rPr>
              <w:t>Other (primarily changes in foreign currency exchange rates)</w:t>
            </w:r>
          </w:p>
        </w:tc>
        <w:tc>
          <w:tcPr>
            <w:tcW w:w="160" w:type="dxa"/>
            <w:vAlign w:val="bottom"/>
          </w:tcPr>
          <w:p>
            <w:pPr>
              <w:spacing w:after="0"/>
              <w:rPr>
                <w:sz w:val="20"/>
                <w:szCs w:val="20"/>
                <w:color w:val="auto"/>
              </w:rPr>
            </w:pPr>
          </w:p>
        </w:tc>
        <w:tc>
          <w:tcPr>
            <w:tcW w:w="2000" w:type="dxa"/>
            <w:vAlign w:val="bottom"/>
          </w:tcPr>
          <w:p>
            <w:pPr>
              <w:jc w:val="right"/>
              <w:ind w:right="151"/>
              <w:spacing w:after="0"/>
              <w:rPr>
                <w:sz w:val="20"/>
                <w:szCs w:val="20"/>
                <w:color w:val="auto"/>
              </w:rPr>
            </w:pPr>
            <w:r>
              <w:rPr>
                <w:rFonts w:ascii="Arial" w:cs="Arial" w:eastAsia="Arial" w:hAnsi="Arial"/>
                <w:sz w:val="18"/>
                <w:szCs w:val="18"/>
                <w:color w:val="auto"/>
              </w:rPr>
              <w:t>3,376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26,817</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30,193</w:t>
            </w:r>
          </w:p>
        </w:tc>
      </w:tr>
      <w:tr>
        <w:trPr>
          <w:trHeight w:val="28"/>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121,883</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665,821</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787,704</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1"/>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jc w:val="right"/>
              <w:ind w:right="1691"/>
              <w:spacing w:after="0"/>
              <w:rPr>
                <w:sz w:val="20"/>
                <w:szCs w:val="20"/>
                <w:color w:val="auto"/>
              </w:rPr>
            </w:pPr>
            <w:r>
              <w:rPr>
                <w:rFonts w:ascii="Arial" w:cs="Arial" w:eastAsia="Arial" w:hAnsi="Arial"/>
                <w:sz w:val="18"/>
                <w:szCs w:val="18"/>
                <w:color w:val="auto"/>
                <w:w w:val="99"/>
              </w:rPr>
              <w:t>87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9"/>
        </w:trPr>
        <w:tc>
          <w:tcPr>
            <w:tcW w:w="5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Impairment Charges</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COVID-19 pandemic and subsequent mitigation efforts, which include global business shutdowns, the closing of borders and the implementation of mandatory social distancing requirements, has created an unprecedented disruption to our business beginning in the first half of 2020. These mitigation efforts coupled with the negative economic impacts to the tourism industry caused a decline in revenues, earnings, and necessitated changes to our forecasted outlook. The Company determined the totality of these events constituted a triggering event that required us to perform an interim goodwill impairment assessment as of June 1, 2020. The Company concluded a triggering event had occurred for six reporting units, resulting in quantitative impairment tests. Three reporting units were within the EFT segment, two reporting units were within the Money Transfer segment, and one reporting unit was within the epay segment. As a result, the Company recorded a non-cash goodwill impairment charge of $104.6 million with respect to the xe, Innova and Pure Commerce reporting units. $21.9 million of the impairment charge was included within the EFT Segment, and $82.7 million of the impairment charge was included in the Money Transfer Segment.</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second half of 2020, the Company recorded a $2.0 million non-cash impairment charge for acquired intangible assets, specifically related to customer lists in the xe reporting unit.</w:t>
      </w:r>
    </w:p>
    <w:p>
      <w:pPr>
        <w:spacing w:after="0" w:line="147"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During 2018, the Company recorded a non-cash acquired intangible asset impairment charge of $7.0 million related to certain trade names as a result of combining HiFX into xe in order to operate the business under one brand name, xe.</w:t>
      </w:r>
    </w:p>
    <w:p>
      <w:pPr>
        <w:spacing w:after="0" w:line="14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the total goodwill balance of $665.8 million as of December 31, 2020, $403.7 million relates to the Money Transfer Segment, $136.5 million relates to the epay Segment and the remaining $125.6 million relates to the EFT Processing Segment. Amortization expense for intangible assets with finite lives was $22.9 million, $20.4 million and $22.6 million for the years ended December 31, 2020, 2019 and 2018, respectively. Estimated annual amortization expense, before income taxes, on intangible assets with finite lives as of December 31, 2020, is expected to total $22.9 million for 2021, $21.8 million for 2022, $16.8 million for 2023, $9.9 million for 2024, and $6.5 million for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2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(10) Accrued Expenses and Other Current Liabilities</w:t>
              </w:r>
            </w:hyperlink>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5120" w:type="dxa"/>
            <w:vAlign w:val="bottom"/>
          </w:tcPr>
          <w:p>
            <w:pPr>
              <w:spacing w:after="0"/>
              <w:rPr>
                <w:sz w:val="20"/>
                <w:szCs w:val="20"/>
                <w:color w:val="auto"/>
              </w:rPr>
            </w:pPr>
            <w:r>
              <w:rPr>
                <w:rFonts w:ascii="Arial" w:cs="Arial" w:eastAsia="Arial" w:hAnsi="Arial"/>
                <w:sz w:val="18"/>
                <w:szCs w:val="18"/>
                <w:color w:val="auto"/>
                <w:w w:val="96"/>
              </w:rPr>
              <w:t>The balances as of December 31, 2020 and 2019 were as follows: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5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331,713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246,699</w:t>
            </w:r>
          </w:p>
        </w:tc>
        <w:tc>
          <w:tcPr>
            <w:tcW w:w="0" w:type="dxa"/>
            <w:vAlign w:val="bottom"/>
          </w:tcPr>
          <w:p>
            <w:pPr>
              <w:spacing w:after="0"/>
              <w:rPr>
                <w:sz w:val="1"/>
                <w:szCs w:val="1"/>
                <w:color w:val="auto"/>
              </w:rPr>
            </w:pPr>
          </w:p>
        </w:tc>
      </w:tr>
      <w:tr>
        <w:trPr>
          <w:trHeight w:val="240"/>
        </w:trPr>
        <w:tc>
          <w:tcPr>
            <w:tcW w:w="51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65,905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40"/>
        </w:trPr>
        <w:tc>
          <w:tcPr>
            <w:tcW w:w="5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5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404,021</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294,557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411"/>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1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1"/>
        </w:trPr>
        <w:tc>
          <w:tcPr>
            <w:tcW w:w="842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(11) Debt Obligations</w:t>
              </w:r>
            </w:hyperlink>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5"/>
        </w:trPr>
        <w:tc>
          <w:tcPr>
            <w:tcW w:w="8420" w:type="dxa"/>
            <w:vAlign w:val="bottom"/>
            <w:gridSpan w:val="2"/>
          </w:tcPr>
          <w:p>
            <w:pPr>
              <w:spacing w:after="0"/>
              <w:rPr>
                <w:sz w:val="20"/>
                <w:szCs w:val="20"/>
                <w:color w:val="auto"/>
              </w:rPr>
            </w:pPr>
            <w:r>
              <w:rPr>
                <w:rFonts w:ascii="Arial" w:cs="Arial" w:eastAsia="Arial" w:hAnsi="Arial"/>
                <w:sz w:val="18"/>
                <w:szCs w:val="18"/>
                <w:color w:val="auto"/>
              </w:rPr>
              <w:t>Debt obligations consist of the following as of December 31, 2020 and 2019: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6"/>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As of December 31,</w:t>
            </w:r>
          </w:p>
        </w:tc>
      </w:tr>
      <w:tr>
        <w:trPr>
          <w:trHeight w:val="28"/>
        </w:trPr>
        <w:tc>
          <w:tcPr>
            <w:tcW w:w="84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r>
      <w:tr>
        <w:trPr>
          <w:trHeight w:val="28"/>
        </w:trPr>
        <w:tc>
          <w:tcPr>
            <w:tcW w:w="8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2"/>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8420" w:type="dxa"/>
            <w:vAlign w:val="bottom"/>
            <w:gridSpan w:val="2"/>
          </w:tcPr>
          <w:p>
            <w:pPr>
              <w:ind w:left="160"/>
              <w:spacing w:after="0"/>
              <w:rPr>
                <w:sz w:val="20"/>
                <w:szCs w:val="20"/>
                <w:color w:val="auto"/>
              </w:rPr>
            </w:pPr>
            <w:r>
              <w:rPr>
                <w:rFonts w:ascii="Arial" w:cs="Arial" w:eastAsia="Arial" w:hAnsi="Arial"/>
                <w:sz w:val="18"/>
                <w:szCs w:val="18"/>
                <w:color w:val="auto"/>
              </w:rPr>
              <w:t>Revolving credit agreement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270,400</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8420" w:type="dxa"/>
            <w:vAlign w:val="bottom"/>
            <w:gridSpan w:val="2"/>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452,228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436,965</w:t>
            </w:r>
          </w:p>
        </w:tc>
      </w:tr>
      <w:tr>
        <w:trPr>
          <w:trHeight w:val="28"/>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8"/>
        </w:trPr>
        <w:tc>
          <w:tcPr>
            <w:tcW w:w="8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0"/>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732,840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673,440</w:t>
            </w:r>
          </w:p>
        </w:tc>
      </w:tr>
      <w:tr>
        <w:trPr>
          <w:trHeight w:val="28"/>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8"/>
        </w:trPr>
        <w:tc>
          <w:tcPr>
            <w:tcW w:w="8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0"/>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6,215</w:t>
            </w:r>
          </w:p>
        </w:tc>
      </w:tr>
      <w:tr>
        <w:trPr>
          <w:trHeight w:val="28"/>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8"/>
        </w:trPr>
        <w:tc>
          <w:tcPr>
            <w:tcW w:w="8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r>
      <w:tr>
        <w:trPr>
          <w:trHeight w:val="295"/>
        </w:trPr>
        <w:tc>
          <w:tcPr>
            <w:tcW w:w="8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1,456,318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1,116,620</w:t>
            </w:r>
          </w:p>
        </w:tc>
      </w:tr>
      <w:tr>
        <w:trPr>
          <w:trHeight w:val="255"/>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(19,592)</w:t>
            </w:r>
          </w:p>
        </w:tc>
      </w:tr>
      <w:tr>
        <w:trPr>
          <w:trHeight w:val="295"/>
        </w:trPr>
        <w:tc>
          <w:tcPr>
            <w:tcW w:w="8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1,438,386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1,097,028</w:t>
            </w:r>
          </w:p>
        </w:tc>
      </w:tr>
      <w:tr>
        <w:trPr>
          <w:trHeight w:val="255"/>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(6,089)</w:t>
            </w:r>
          </w:p>
        </w:tc>
      </w:tr>
      <w:tr>
        <w:trPr>
          <w:trHeight w:val="255"/>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1,437,589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1,090,939</w:t>
            </w:r>
          </w:p>
        </w:tc>
      </w:tr>
      <w:tr>
        <w:trPr>
          <w:trHeight w:val="20"/>
        </w:trPr>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of December 31, 2020, aggregate annual maturities of long-term debt are $0.8 million in 2021, $0.1 million due in 2022, $270.4 million due in 2023, no maturities in 2024, and $1.2 billion thereafter. This maturity schedule reflects the revolving credit facility maturing in 2023 and the Convertible Notes maturing in 2025, coinciding with the terms of the initial put option by holders of the Convertible Notes. It also reflects the maturing of the 1.375% Senior Note of €600 million ($732.8 million) due in 2026.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October 17, 2018, the Company entered into an unsecured revolving credit agreement (the "Credit Facility") for $1.0 billion that expires on October 17, 2023. Fees and interest on borrowings are based upon the Company's corporate credit rating 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of the Company's borrowings under the Credit Facility was 1.2% as of December 31, 2020.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1" w:name="page92"/>
    <w:bookmarkEnd w:id="91"/>
    <w:p>
      <w:pPr>
        <w:jc w:val="both"/>
        <w:spacing w:after="0" w:line="276" w:lineRule="auto"/>
        <w:rPr>
          <w:sz w:val="20"/>
          <w:szCs w:val="20"/>
          <w:color w:val="auto"/>
        </w:rPr>
      </w:pPr>
      <w:r>
        <w:rPr>
          <w:rFonts w:ascii="Arial" w:cs="Arial" w:eastAsia="Arial" w:hAnsi="Arial"/>
          <w:sz w:val="17"/>
          <w:szCs w:val="17"/>
          <w:color w:val="auto"/>
        </w:rPr>
        <w:t>As of December 31, 2020 and 2019, the Company had stand-by letters of credit/bank guarantees outstanding under the Credit Facility of $60.8 million and $53.0 million, respectively. Stand-by letters of credit/bank guarantees reduce the Company's borrowing capacity under the Credit Facility and are generally used to secure trade credit and performance obligations. As of December 31, 2020 and 2019, the stand-by letters of credit interest charges were each 1.1% per annum, respectively. Borrowing capacity under the Credit Facility as of December 31, 2020 was $668.8 million.</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Credit Facility contains customary affirmative and negative covenants, events of default and financial covenants, including: (i) as of the end of each fiscal quarter ended on March 31, September 30 and December 31, a Consolidated Total Leverage Ratio not to be greater than 3.5 to 1.0; (ii) as of the end of each fiscal quarter ended on June 30, a Consolidated Total Leverage Ratio not to be greater than 4.0 to 1.0; provided that, not more than two times prior to the expiration date, that a Material Acquisition has been consummated, for any period of four consecutive fiscal quarters following such Material Acquisition, the Consolidated Total Leverage Ratio will be not greater than 4.0 to 1.0 for fiscal quarters ended on March 31, September 30 and December 31 and not greater than 4.5 to 1.0 for fiscal quarters ended on June 30; provided, further, that following such four consecutive fiscal quarters for which the maximum Consolidated Total Leverage Ratio is increased, the maximum Consolidated Total Leverage Ratio shall revert to the levels set forth in clauses (i) and (ii) above for not fewer than two fiscal quarters before a subsequent Increase Notice is delivered to the syndicate of financial institutions; and (iii) a Consolidated Interest Coverage Ratio not less than 4.0 to 1.0. Subject to meeting certain leverage ratio and liquidity requirements as contained in the unsecured credit agreement, the Company is permitted to pay dividends, repurchase common stock and repurchase subordinated debt. On September 17, 2020, the Company and certain of its subsidiaries entered into an amendment (the "Amendment") to the Credit Facility. Under the Amendment, the Consolidated Total Leverage Ratio, as defined in the Credit Facility, was modified to reduce the amount of consolidated funded debt by the amount of cash and cash equivalents on the Company's consolidated balance sheet and the Consolidated Interest Coverage Ratio now includes a one-time option to reduce the ratio to 3.5 to 1.0 from 4.0 to 1.0 for a period of up to three consecutive quarters. The Company was in compliance with all debt covenants as of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September 4, 2019, the Company entered into an Uncommitted Loan Agreement with Bank of America which provided Euronet up 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92" w:name="page93"/>
    <w:bookmarkEnd w:id="92"/>
    <w:p>
      <w:pPr>
        <w:jc w:val="both"/>
        <w:spacing w:after="0" w:line="267" w:lineRule="auto"/>
        <w:rPr>
          <w:sz w:val="20"/>
          <w:szCs w:val="20"/>
          <w:color w:val="auto"/>
        </w:rPr>
      </w:pPr>
      <w:r>
        <w:rPr>
          <w:rFonts w:ascii="Arial" w:cs="Arial" w:eastAsia="Arial" w:hAnsi="Arial"/>
          <w:sz w:val="17"/>
          <w:szCs w:val="17"/>
          <w:color w:val="auto"/>
        </w:rPr>
        <w:t>The Company may not redeem the Convertible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2020 the conversion threshold was not met.</w:t>
      </w:r>
    </w:p>
    <w:p>
      <w:pPr>
        <w:spacing w:after="0" w:line="14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Company used $94.2 million of the net proceeds from the issuance of the Convertible Notes to repurchase $49.0 million aggregate principal amount of the Company's 1.5% Convertible Senior Notes due 2044 (the "Retired Convertible Notes") from a limited number of holders in privately negotiated transactions.</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March 18, 2019, the Company provided a notice of redemption to the trustee of the indenture governing the Retired Convertible Notes (the "Existing Indenture"),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 The issuance of the Convertible Notes and the conversion of the Retired Convertible Notes, resulted in a $25.6 million recognition and a $34.2 million reversal of deferred tax liabilities within the additional paid-in capital as of December 31, 2019, respectively.</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Prior to the Redemption Date, approximately $352.4 million principal amount of the Retired Convertible Notes were submitted for conversion. The Company elected to settle the conversion of such Retired Convertible Notes through a combination of cash and stock. The Company paid cash equal to $1,000 for each $1,000 principal amount of Retired Convertible Notes submitted for conversion and satisfied the remainder of the conversion obligation by issuing shares of the Company's Common Stock valued at $147.24 per share. As a result, the Company paid cash of $352.4 million and issued approximately 2.5 million shares of its Common Stock. In accordance with ASC 470, the Company recognized a loss of $9.8 million on the conversion and redemption for the year ended December 31, 2019, representing the difference between the fair value of the Retired Convertible Notes converted and the carrying value of the bonds at the time of conversion. The Company is using the remainder of the net proceeds from the issuance of the Convertible Notes to finance the further growth of the business.</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Contractual interest expense for the Retired Convertible Notes $1.5 million for the year ended December 31, 2019 and accretion expense was $4.6 million for the year ended December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93" w:name="page94"/>
    <w:bookmarkEnd w:id="93"/>
    <w:p>
      <w:pPr>
        <w:jc w:val="both"/>
        <w:spacing w:after="0" w:line="273" w:lineRule="auto"/>
        <w:rPr>
          <w:sz w:val="20"/>
          <w:szCs w:val="20"/>
          <w:color w:val="auto"/>
        </w:rPr>
      </w:pPr>
      <w:r>
        <w:rPr>
          <w:rFonts w:ascii="Arial" w:cs="Arial" w:eastAsia="Arial" w:hAnsi="Arial"/>
          <w:sz w:val="16"/>
          <w:szCs w:val="16"/>
          <w:color w:val="auto"/>
        </w:rPr>
        <w:t>Contractual interest expense for the Convertible Notes was $3.9 million and $3.1 million for the years ended December 31, 2020 and 2019, respectively. Accretion expense was $15.3 million and $11.6 million for the years ended December 31, 2020 and 2019, respectively. The effective interest rate was 4.4% for the year ended December 31, 2020. As of December 31, 2020, the unamortized discount was $72.8 million and will be amortized through March 2025.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 Senior Notes due 2026</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mature on May 2026 (the "Senior Notes"). The Senior Notes accrue interest at a rate of 1.375% per year, payable annually in arrears commencing May 22, 2020, until maturity or earlier redemption. As of December 31, 2020, the Company has outstanding €600 million ($732.8 million) principal amount of the Senior Notes. In addition, the Company may redeem some or all of these notes on or after February 22, 2026 at their principal amount plus any accrued and unpaid interest. As of December 31, 2020, the Company had $6.6 million of unamortized debt issuance costs related to the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2020 and 2019, borrowings under these arrangements were $0.9 million and $6.2 million, respectively. As of December 31, 2020, there was $0.8 million due in 2021 under these other obligation arrangements.</w:t>
      </w:r>
    </w:p>
    <w:p>
      <w:pPr>
        <w:spacing w:after="0" w:line="178"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(12) Derivative Instruments and Hedging Activities</w:t>
        </w:r>
      </w:hyperlink>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2020 and 2019, the Company had foreign currency forward contracts outstanding in the U.S. with a notional value of $246.0 million and $159.0 million, respectively. The foreign currency forward contracts consist primarily in Australian dollars, Canadian dollars, British pounds, euros and Mexican pesos.</w:t>
      </w:r>
    </w:p>
    <w:p>
      <w:pPr>
        <w:sectPr>
          <w:pgSz w:w="11900" w:h="16838" w:orient="portrait"/>
          <w:cols w:equalWidth="0" w:num="1">
            <w:col w:w="11240"/>
          </w:cols>
          <w:pgMar w:left="320" w:top="51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104775</wp:posOffset>
            </wp:positionV>
            <wp:extent cx="713359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95" w:name="page96"/>
    <w:bookmarkEnd w:id="95"/>
    <w:p>
      <w:pPr>
        <w:jc w:val="both"/>
        <w:spacing w:after="0" w:line="282" w:lineRule="auto"/>
        <w:rPr>
          <w:sz w:val="20"/>
          <w:szCs w:val="20"/>
          <w:color w:val="auto"/>
        </w:rPr>
      </w:pPr>
      <w:r>
        <w:rPr>
          <w:rFonts w:ascii="Arial" w:cs="Arial" w:eastAsia="Arial" w:hAnsi="Arial"/>
          <w:sz w:val="17"/>
          <w:szCs w:val="17"/>
          <w:color w:val="auto"/>
        </w:rPr>
        <w:t>In addition, the Company uses forward contracts, typically with maturities from a few days to less than one year, to offset foreign exchange rate fluctuations on certain short-term borrowings that are payable in currencies other than the U.S dollar. As of December 31, 2020 and 2019, the Company had foreign currency forward contracts outstanding with a notional value of $454.3 million and $42.9 million, respectively, primarily in euros.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$68.2 million, $71.1 million and $69.2 million for the years ended December 31, 2020, 2019 and 2018,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xe operations as of December 31, 2020 and 2019, was approximately $1.3 billion and $1.2 billion, respectively. The significant majority of customer contracts are written in major currencies such as the euro, U.S. dollar, British pound, Australian dollar and New Zealand dollar.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Asset Derivatives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gridSpan w:val="5"/>
          </w:tcPr>
          <w:p>
            <w:pPr>
              <w:jc w:val="right"/>
              <w:ind w:right="191"/>
              <w:spacing w:after="0"/>
              <w:rPr>
                <w:sz w:val="20"/>
                <w:szCs w:val="20"/>
                <w:color w:val="auto"/>
              </w:rPr>
            </w:pPr>
            <w:r>
              <w:rPr>
                <w:rFonts w:ascii="Arial" w:cs="Arial" w:eastAsia="Arial" w:hAnsi="Arial"/>
                <w:sz w:val="18"/>
                <w:szCs w:val="18"/>
                <w:b w:val="1"/>
                <w:bCs w:val="1"/>
                <w:color w:val="auto"/>
                <w:w w:val="94"/>
              </w:rPr>
              <w:t>Liability Derivatives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ind w:left="880"/>
              <w:spacing w:after="0"/>
              <w:rPr>
                <w:sz w:val="20"/>
                <w:szCs w:val="20"/>
                <w:color w:val="auto"/>
              </w:rPr>
            </w:pPr>
            <w:r>
              <w:rPr>
                <w:rFonts w:ascii="Arial" w:cs="Arial" w:eastAsia="Arial" w:hAnsi="Arial"/>
                <w:sz w:val="18"/>
                <w:szCs w:val="18"/>
                <w:b w:val="1"/>
                <w:bCs w:val="1"/>
                <w:color w:val="auto"/>
              </w:rPr>
              <w:t>Fair Value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Balance Sheet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1"/>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Location</w:t>
            </w:r>
          </w:p>
        </w:tc>
        <w:tc>
          <w:tcPr>
            <w:tcW w:w="140" w:type="dxa"/>
            <w:vAlign w:val="bottom"/>
          </w:tcPr>
          <w:p>
            <w:pPr>
              <w:spacing w:after="0"/>
              <w:rPr>
                <w:sz w:val="20"/>
                <w:szCs w:val="20"/>
                <w:color w:val="auto"/>
              </w:rPr>
            </w:pPr>
          </w:p>
        </w:tc>
        <w:tc>
          <w:tcPr>
            <w:tcW w:w="1260" w:type="dxa"/>
            <w:vAlign w:val="bottom"/>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Derivatives not designated as hedging</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Other current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gridSpan w:val="2"/>
          </w:tcPr>
          <w:p>
            <w:pPr>
              <w:ind w:left="160"/>
              <w:spacing w:after="0"/>
              <w:rPr>
                <w:sz w:val="20"/>
                <w:szCs w:val="20"/>
                <w:color w:val="auto"/>
              </w:rPr>
            </w:pPr>
            <w:r>
              <w:rPr>
                <w:rFonts w:ascii="Arial" w:cs="Arial" w:eastAsia="Arial" w:hAnsi="Arial"/>
                <w:sz w:val="18"/>
                <w:szCs w:val="18"/>
                <w:color w:val="auto"/>
              </w:rPr>
              <w:t>Foreign currency exchange contracts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0"/>
              </w:rPr>
              <w:t>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54,765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(65,905)</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2020 and 2019 (in thousands):</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7"/>
        </w:trPr>
        <w:tc>
          <w:tcPr>
            <w:tcW w:w="286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9"/>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8"/>
          </w:tcPr>
          <w:p>
            <w:pPr>
              <w:jc w:val="right"/>
              <w:ind w:right="80"/>
              <w:spacing w:after="0"/>
              <w:rPr>
                <w:sz w:val="20"/>
                <w:szCs w:val="20"/>
                <w:color w:val="auto"/>
              </w:rPr>
            </w:pPr>
            <w:r>
              <w:rPr>
                <w:rFonts w:ascii="Arial" w:cs="Arial" w:eastAsia="Arial" w:hAnsi="Arial"/>
                <w:sz w:val="18"/>
                <w:szCs w:val="18"/>
                <w:b w:val="1"/>
                <w:bCs w:val="1"/>
                <w:color w:val="auto"/>
                <w:w w:val="92"/>
              </w:rPr>
              <w:t>Gross Amounts Not Offset in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1"/>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7"/>
          </w:tcPr>
          <w:p>
            <w:pPr>
              <w:ind w:left="140"/>
              <w:spacing w:after="0"/>
              <w:rPr>
                <w:sz w:val="20"/>
                <w:szCs w:val="20"/>
                <w:color w:val="auto"/>
              </w:rPr>
            </w:pPr>
            <w:r>
              <w:rPr>
                <w:rFonts w:ascii="Arial" w:cs="Arial" w:eastAsia="Arial" w:hAnsi="Arial"/>
                <w:sz w:val="18"/>
                <w:szCs w:val="18"/>
                <w:b w:val="1"/>
                <w:bCs w:val="1"/>
                <w:color w:val="auto"/>
                <w:w w:val="98"/>
              </w:rPr>
              <w:t>Consolidated 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
        </w:trPr>
        <w:tc>
          <w:tcPr>
            <w:tcW w:w="2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Net Amounts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Gross Amounts</w:t>
            </w: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Presented in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Gross Amounts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Offset in the</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of Recognized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Cash Collateral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Balance Sheet</w:t>
            </w:r>
          </w:p>
        </w:tc>
        <w:tc>
          <w:tcPr>
            <w:tcW w:w="13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Received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w w:val="87"/>
              </w:rPr>
              <w:t>Net Amounts</w:t>
            </w:r>
          </w:p>
        </w:tc>
      </w:tr>
      <w:tr>
        <w:trPr>
          <w:trHeight w:val="28"/>
        </w:trPr>
        <w:tc>
          <w:tcPr>
            <w:tcW w:w="2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451"/>
              <w:spacing w:after="0"/>
              <w:rPr>
                <w:sz w:val="20"/>
                <w:szCs w:val="20"/>
                <w:color w:val="auto"/>
              </w:rPr>
            </w:pPr>
            <w:r>
              <w:rPr>
                <w:rFonts w:ascii="Arial" w:cs="Arial" w:eastAsia="Arial" w:hAnsi="Arial"/>
                <w:sz w:val="18"/>
                <w:szCs w:val="18"/>
                <w:color w:val="auto"/>
                <w:w w:val="90"/>
              </w:rPr>
              <w:t>80,879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391"/>
              <w:spacing w:after="0"/>
              <w:rPr>
                <w:sz w:val="20"/>
                <w:szCs w:val="20"/>
                <w:color w:val="auto"/>
              </w:rPr>
            </w:pPr>
            <w:r>
              <w:rPr>
                <w:rFonts w:ascii="Arial" w:cs="Arial" w:eastAsia="Arial" w:hAnsi="Arial"/>
                <w:sz w:val="18"/>
                <w:szCs w:val="18"/>
                <w:color w:val="auto"/>
                <w:w w:val="92"/>
              </w:rPr>
              <w:t>(44,893)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(2,778)</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33,208</w:t>
            </w:r>
          </w:p>
        </w:tc>
      </w:tr>
      <w:tr>
        <w:trPr>
          <w:trHeight w:val="508"/>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
        </w:trPr>
        <w:tc>
          <w:tcPr>
            <w:tcW w:w="2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451"/>
              <w:spacing w:after="0"/>
              <w:rPr>
                <w:sz w:val="20"/>
                <w:szCs w:val="20"/>
                <w:color w:val="auto"/>
              </w:rPr>
            </w:pPr>
            <w:r>
              <w:rPr>
                <w:rFonts w:ascii="Arial" w:cs="Arial" w:eastAsia="Arial" w:hAnsi="Arial"/>
                <w:sz w:val="18"/>
                <w:szCs w:val="18"/>
                <w:color w:val="auto"/>
                <w:w w:val="90"/>
              </w:rPr>
              <w:t>54,765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391"/>
              <w:spacing w:after="0"/>
              <w:rPr>
                <w:sz w:val="20"/>
                <w:szCs w:val="20"/>
                <w:color w:val="auto"/>
              </w:rPr>
            </w:pPr>
            <w:r>
              <w:rPr>
                <w:rFonts w:ascii="Arial" w:cs="Arial" w:eastAsia="Arial" w:hAnsi="Arial"/>
                <w:sz w:val="18"/>
                <w:szCs w:val="18"/>
                <w:color w:val="auto"/>
                <w:w w:val="92"/>
              </w:rPr>
              <w:t>(34,935)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12,468</w:t>
            </w:r>
          </w:p>
        </w:tc>
      </w:tr>
      <w:tr>
        <w:trPr>
          <w:trHeight w:val="427"/>
        </w:trPr>
        <w:tc>
          <w:tcPr>
            <w:tcW w:w="286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9"/>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91"/>
              </w:rPr>
              <w:t>Gross Amounts Not Offset in the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1"/>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7"/>
          </w:tcPr>
          <w:p>
            <w:pPr>
              <w:ind w:left="140"/>
              <w:spacing w:after="0"/>
              <w:rPr>
                <w:sz w:val="20"/>
                <w:szCs w:val="20"/>
                <w:color w:val="auto"/>
              </w:rPr>
            </w:pPr>
            <w:r>
              <w:rPr>
                <w:rFonts w:ascii="Arial" w:cs="Arial" w:eastAsia="Arial" w:hAnsi="Arial"/>
                <w:sz w:val="18"/>
                <w:szCs w:val="18"/>
                <w:b w:val="1"/>
                <w:bCs w:val="1"/>
                <w:color w:val="auto"/>
                <w:w w:val="98"/>
              </w:rPr>
              <w:t>Consolidated Balance Sheet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
        </w:trPr>
        <w:tc>
          <w:tcPr>
            <w:tcW w:w="2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Gross Amounts</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Net Amounts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Gross Amounts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Offset in the</w:t>
            </w:r>
          </w:p>
        </w:tc>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Presented in 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Recognized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2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Consolidated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Cash Collateral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Balance Sheet</w:t>
            </w:r>
          </w:p>
        </w:tc>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6"/>
              </w:rPr>
              <w:t>Net Amounts</w:t>
            </w:r>
          </w:p>
        </w:tc>
      </w:tr>
      <w:tr>
        <w:trPr>
          <w:trHeight w:val="28"/>
        </w:trPr>
        <w:tc>
          <w:tcPr>
            <w:tcW w:w="2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center"/>
              <w:ind w:left="431"/>
              <w:spacing w:after="0"/>
              <w:rPr>
                <w:sz w:val="20"/>
                <w:szCs w:val="20"/>
                <w:color w:val="auto"/>
              </w:rPr>
            </w:pPr>
            <w:r>
              <w:rPr>
                <w:rFonts w:ascii="Arial" w:cs="Arial" w:eastAsia="Arial" w:hAnsi="Arial"/>
                <w:sz w:val="18"/>
                <w:szCs w:val="18"/>
                <w:color w:val="auto"/>
                <w:w w:val="89"/>
              </w:rPr>
              <w:t>(65,905)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8"/>
                <w:szCs w:val="18"/>
                <w:color w:val="auto"/>
                <w:w w:val="90"/>
              </w:rPr>
              <w:t>44,893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12,272</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r>
      <w:tr>
        <w:trPr>
          <w:trHeight w:val="508"/>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
        </w:trPr>
        <w:tc>
          <w:tcPr>
            <w:tcW w:w="2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 subject to a master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netting arrangement or similar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center"/>
              <w:ind w:left="431"/>
              <w:spacing w:after="0"/>
              <w:rPr>
                <w:sz w:val="20"/>
                <w:szCs w:val="20"/>
                <w:color w:val="auto"/>
              </w:rPr>
            </w:pPr>
            <w:r>
              <w:rPr>
                <w:rFonts w:ascii="Arial" w:cs="Arial" w:eastAsia="Arial" w:hAnsi="Arial"/>
                <w:sz w:val="18"/>
                <w:szCs w:val="18"/>
                <w:color w:val="auto"/>
                <w:w w:val="89"/>
              </w:rPr>
              <w:t>(41,935)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8"/>
                <w:szCs w:val="18"/>
                <w:color w:val="auto"/>
                <w:w w:val="90"/>
              </w:rPr>
              <w:t>34,935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40"/>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ind w:left="110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Income for the years ended December 31, 2020, 2019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7"/>
          </w:tcPr>
          <w:p>
            <w:pPr>
              <w:jc w:val="center"/>
              <w:ind w:right="51"/>
              <w:spacing w:after="0"/>
              <w:rPr>
                <w:sz w:val="20"/>
                <w:szCs w:val="20"/>
                <w:color w:val="auto"/>
              </w:rPr>
            </w:pPr>
            <w:r>
              <w:rPr>
                <w:rFonts w:ascii="Arial" w:cs="Arial" w:eastAsia="Arial" w:hAnsi="Arial"/>
                <w:sz w:val="18"/>
                <w:szCs w:val="18"/>
                <w:b w:val="1"/>
                <w:bCs w:val="1"/>
                <w:color w:val="auto"/>
                <w:w w:val="88"/>
              </w:rPr>
              <w:t>Amount of (Loss) Gain Recognized in Income on</w:t>
            </w:r>
          </w:p>
        </w:tc>
        <w:tc>
          <w:tcPr>
            <w:tcW w:w="0" w:type="dxa"/>
            <w:vAlign w:val="bottom"/>
          </w:tcPr>
          <w:p>
            <w:pPr>
              <w:spacing w:after="0"/>
              <w:rPr>
                <w:sz w:val="1"/>
                <w:szCs w:val="1"/>
                <w:color w:val="auto"/>
              </w:rPr>
            </w:pPr>
          </w:p>
        </w:tc>
      </w:tr>
      <w:tr>
        <w:trPr>
          <w:trHeight w:val="231"/>
        </w:trPr>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6"/>
          </w:tcPr>
          <w:p>
            <w:pPr>
              <w:jc w:val="center"/>
              <w:ind w:left="711"/>
              <w:spacing w:after="0"/>
              <w:rPr>
                <w:sz w:val="20"/>
                <w:szCs w:val="20"/>
                <w:color w:val="auto"/>
              </w:rPr>
            </w:pPr>
            <w:r>
              <w:rPr>
                <w:rFonts w:ascii="Arial" w:cs="Arial" w:eastAsia="Arial" w:hAnsi="Arial"/>
                <w:sz w:val="18"/>
                <w:szCs w:val="18"/>
                <w:b w:val="1"/>
                <w:bCs w:val="1"/>
                <w:color w:val="auto"/>
                <w:w w:val="92"/>
              </w:rPr>
              <w:t>Derivative Contracts (a)</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Location of (Loss) Gain Recognized in Income</w:t>
            </w:r>
          </w:p>
        </w:tc>
        <w:tc>
          <w:tcPr>
            <w:tcW w:w="160" w:type="dxa"/>
            <w:vAlign w:val="bottom"/>
          </w:tcPr>
          <w:p>
            <w:pPr>
              <w:spacing w:after="0"/>
              <w:rPr>
                <w:sz w:val="20"/>
                <w:szCs w:val="20"/>
                <w:color w:val="auto"/>
              </w:rPr>
            </w:pPr>
          </w:p>
        </w:tc>
        <w:tc>
          <w:tcPr>
            <w:tcW w:w="3020" w:type="dxa"/>
            <w:vAlign w:val="bottom"/>
            <w:gridSpan w:val="6"/>
          </w:tcPr>
          <w:p>
            <w:pPr>
              <w:jc w:val="center"/>
              <w:ind w:left="711"/>
              <w:spacing w:after="0"/>
              <w:rPr>
                <w:sz w:val="20"/>
                <w:szCs w:val="20"/>
                <w:color w:val="auto"/>
              </w:rPr>
            </w:pPr>
            <w:r>
              <w:rPr>
                <w:rFonts w:ascii="Arial" w:cs="Arial" w:eastAsia="Arial" w:hAnsi="Arial"/>
                <w:sz w:val="18"/>
                <w:szCs w:val="18"/>
                <w:b w:val="1"/>
                <w:bCs w:val="1"/>
                <w:color w:val="auto"/>
                <w:w w:val="89"/>
              </w:rPr>
              <w:t>Year Ended 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3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on Derivative Contracts</w:t>
            </w:r>
          </w:p>
        </w:tc>
        <w:tc>
          <w:tcPr>
            <w:tcW w:w="16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8"/>
        </w:trPr>
        <w:tc>
          <w:tcPr>
            <w:tcW w:w="3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Foreign currency exchange contracts - Ria</w:t>
            </w:r>
          </w:p>
        </w:tc>
        <w:tc>
          <w:tcPr>
            <w:tcW w:w="12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 gain,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
        </w:trPr>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7"/>
        <w:spacing w:after="0" w:line="260"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See Note 18, Financial Instruments and Fair Value Measurements, for the determination of the fair values of derivatives.</w:t>
      </w:r>
    </w:p>
    <w:p>
      <w:pPr>
        <w:spacing w:after="0" w:line="164"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(13) Leases</w:t>
        </w:r>
      </w:hyperlink>
    </w:p>
    <w:p>
      <w:pPr>
        <w:spacing w:after="0" w:line="17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 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8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The Company evaluated the likelihood of exercising the renewal and termination options beginning with the adoption of the new accounting lease standard on January 1, 2019, concluding: the options were not reasonably certain to be exercised and thus were not considered in determining the lease terms, and associated payment impacts were excluded from lease payments; and termination options were reasonably certain not to be exercised and therefore the stated lease payment schedule of the lease was used to determine the lease term.</w:t>
      </w:r>
    </w:p>
    <w:p>
      <w:pPr>
        <w:spacing w:after="0" w:line="9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During the second quarter of 2020, the impact of the COVID-19 pandemic was a significant event that caused a significant change in circumstances and business plans to manage our portfolio of ATM leases. Specifically the Company downsized, through the exercise of termination clauses and the reduction of monthly costs by renegotiating payment terms of its ATM leases. The Company's execution of the business plan to renegotiate terms and downsize the portfolio of ATM leases constituted a reassessment event during the second quarter of 2020. The reassessment event required the Company to reevaluate the accounting for the portfolio of ATM leases, including lease terms. Due to the recent increased frequency of ATM site lease terminations, modifications, and greater unpredictability whether or not future lease terminations will be exercised, the Company is no longer able to conclude that termination options are reasonably certain not to be exercised. This reassessment conclusion impacts the lease term evaluation, instead of determining the lease term based on the stated lease payment schedule of the lease, now the lease term will be evaluated when the Company has the contractual ability to terminate the lease (most leases allow for a termination upon advance notice of between 30 and 90 days). As a result of the lease term reassessment, $211.9 million of right of use assets and $211.9 million lease liabilities were reassessed to have a term shorter than 12 months, thus were subject to the short-term lease exemption and removed from the balance sheet beginning June 30, 2020. New, amended, and modified ATM site leases with termination options exercisable within 12 months will be excluded from the right of use lease asset and lease liability balances.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18"/>
          <w:szCs w:val="18"/>
          <w:color w:val="auto"/>
        </w:rPr>
        <w:t>Payments for ATM site leases with termination options subject to the short-term lease exemption are expensed in the period incurred. The short-term lease expense for 2020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Future minimum lease payments under the operating leases (with initial lease terms in excess of one year) as of </w:t>
      </w:r>
      <w:r>
        <w:rPr>
          <w:rFonts w:ascii="Arial" w:cs="Arial" w:eastAsia="Arial" w:hAnsi="Arial"/>
          <w:sz w:val="21"/>
          <w:szCs w:val="21"/>
          <w:color w:val="auto"/>
        </w:rPr>
        <w:t>December 31, 2020</w:t>
      </w:r>
      <w:r>
        <w:rPr>
          <w:rFonts w:ascii="Arial" w:cs="Arial" w:eastAsia="Arial" w:hAnsi="Arial"/>
          <w:sz w:val="18"/>
          <w:szCs w:val="18"/>
          <w:color w:val="auto"/>
        </w:rPr>
        <w:t xml:space="preserve"> 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9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of December</w:t>
            </w:r>
          </w:p>
        </w:tc>
      </w:tr>
      <w:tr>
        <w:trPr>
          <w:trHeight w:val="231"/>
        </w:trPr>
        <w:tc>
          <w:tcPr>
            <w:tcW w:w="9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31, 2020</w:t>
            </w:r>
          </w:p>
        </w:tc>
      </w:tr>
      <w:tr>
        <w:trPr>
          <w:trHeight w:val="28"/>
        </w:trPr>
        <w:tc>
          <w:tcPr>
            <w:tcW w:w="9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9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Operating</w:t>
            </w:r>
          </w:p>
        </w:tc>
      </w:tr>
      <w:tr>
        <w:trPr>
          <w:trHeight w:val="231"/>
        </w:trPr>
        <w:tc>
          <w:tcPr>
            <w:tcW w:w="990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(in thousands)</w:t>
            </w:r>
          </w:p>
        </w:tc>
        <w:tc>
          <w:tcPr>
            <w:tcW w:w="200" w:type="dxa"/>
            <w:vAlign w:val="bottom"/>
          </w:tcPr>
          <w:p>
            <w:pPr>
              <w:spacing w:after="0"/>
              <w:rPr>
                <w:sz w:val="20"/>
                <w:szCs w:val="20"/>
                <w:color w:val="auto"/>
              </w:rPr>
            </w:pPr>
          </w:p>
        </w:tc>
        <w:tc>
          <w:tcPr>
            <w:tcW w:w="1140" w:type="dxa"/>
            <w:vAlign w:val="bottom"/>
          </w:tcPr>
          <w:p>
            <w:pPr>
              <w:jc w:val="center"/>
              <w:ind w:right="91"/>
              <w:spacing w:after="0"/>
              <w:rPr>
                <w:sz w:val="20"/>
                <w:szCs w:val="20"/>
                <w:color w:val="auto"/>
              </w:rPr>
            </w:pPr>
            <w:r>
              <w:rPr>
                <w:rFonts w:ascii="Arial" w:cs="Arial" w:eastAsia="Arial" w:hAnsi="Arial"/>
                <w:sz w:val="18"/>
                <w:szCs w:val="18"/>
                <w:b w:val="1"/>
                <w:bCs w:val="1"/>
                <w:color w:val="auto"/>
                <w:w w:val="86"/>
              </w:rPr>
              <w:t>Leases (1)</w:t>
            </w:r>
          </w:p>
        </w:tc>
      </w:tr>
      <w:tr>
        <w:trPr>
          <w:trHeight w:val="28"/>
        </w:trPr>
        <w:tc>
          <w:tcPr>
            <w:tcW w:w="9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48,622</w:t>
            </w:r>
          </w:p>
        </w:tc>
      </w:tr>
      <w:tr>
        <w:trPr>
          <w:trHeight w:val="240"/>
        </w:trPr>
        <w:tc>
          <w:tcPr>
            <w:tcW w:w="990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35,640</w:t>
            </w:r>
          </w:p>
        </w:tc>
      </w:tr>
      <w:tr>
        <w:trPr>
          <w:trHeight w:val="28"/>
        </w:trPr>
        <w:tc>
          <w:tcPr>
            <w:tcW w:w="9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25,182</w:t>
            </w:r>
          </w:p>
        </w:tc>
      </w:tr>
      <w:tr>
        <w:trPr>
          <w:trHeight w:val="240"/>
        </w:trPr>
        <w:tc>
          <w:tcPr>
            <w:tcW w:w="990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16,801</w:t>
            </w:r>
          </w:p>
        </w:tc>
      </w:tr>
      <w:tr>
        <w:trPr>
          <w:trHeight w:val="28"/>
        </w:trPr>
        <w:tc>
          <w:tcPr>
            <w:tcW w:w="9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10,531</w:t>
            </w:r>
          </w:p>
        </w:tc>
      </w:tr>
      <w:tr>
        <w:trPr>
          <w:trHeight w:val="240"/>
        </w:trPr>
        <w:tc>
          <w:tcPr>
            <w:tcW w:w="9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26,976</w:t>
            </w:r>
          </w:p>
        </w:tc>
      </w:tr>
      <w:tr>
        <w:trPr>
          <w:trHeight w:val="28"/>
        </w:trPr>
        <w:tc>
          <w:tcPr>
            <w:tcW w:w="9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163,752</w:t>
            </w:r>
          </w:p>
        </w:tc>
      </w:tr>
      <w:tr>
        <w:trPr>
          <w:trHeight w:val="240"/>
        </w:trPr>
        <w:tc>
          <w:tcPr>
            <w:tcW w:w="99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8"/>
        </w:trPr>
        <w:tc>
          <w:tcPr>
            <w:tcW w:w="9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158,938</w:t>
            </w:r>
          </w:p>
        </w:tc>
      </w:tr>
      <w:tr>
        <w:trPr>
          <w:trHeight w:val="20"/>
        </w:trPr>
        <w:tc>
          <w:tcPr>
            <w:tcW w:w="9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jc w:val="both"/>
        <w:ind w:firstLine="7"/>
        <w:spacing w:after="0" w:line="274"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Year ended</w:t>
            </w:r>
          </w:p>
        </w:tc>
      </w:tr>
      <w:tr>
        <w:trPr>
          <w:trHeight w:val="214"/>
        </w:trPr>
        <w:tc>
          <w:tcPr>
            <w:tcW w:w="38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Year ended December 31,</w:t>
            </w:r>
          </w:p>
        </w:tc>
        <w:tc>
          <w:tcPr>
            <w:tcW w:w="18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Lease Expense (in thousands)</w:t>
            </w:r>
          </w:p>
        </w:tc>
        <w:tc>
          <w:tcPr>
            <w:tcW w:w="3960" w:type="dxa"/>
            <w:vAlign w:val="bottom"/>
          </w:tcPr>
          <w:p>
            <w:pPr>
              <w:ind w:left="1300"/>
              <w:spacing w:after="0"/>
              <w:rPr>
                <w:sz w:val="20"/>
                <w:szCs w:val="20"/>
                <w:color w:val="auto"/>
              </w:rPr>
            </w:pPr>
            <w:r>
              <w:rPr>
                <w:rFonts w:ascii="Arial" w:cs="Arial" w:eastAsia="Arial" w:hAnsi="Arial"/>
                <w:sz w:val="18"/>
                <w:szCs w:val="18"/>
                <w:b w:val="1"/>
                <w:bCs w:val="1"/>
                <w:color w:val="auto"/>
                <w:w w:val="95"/>
              </w:rPr>
              <w:t>Income Statement Classification</w:t>
            </w:r>
          </w:p>
        </w:tc>
        <w:tc>
          <w:tcPr>
            <w:tcW w:w="520" w:type="dxa"/>
            <w:vAlign w:val="bottom"/>
          </w:tcPr>
          <w:p>
            <w:pPr>
              <w:spacing w:after="0"/>
              <w:rPr>
                <w:sz w:val="20"/>
                <w:szCs w:val="20"/>
                <w:color w:val="auto"/>
              </w:rPr>
            </w:pPr>
          </w:p>
        </w:tc>
        <w:tc>
          <w:tcPr>
            <w:tcW w:w="1600" w:type="dxa"/>
            <w:vAlign w:val="bottom"/>
          </w:tcPr>
          <w:p>
            <w:pPr>
              <w:jc w:val="right"/>
              <w:ind w:right="79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r>
      <w:tr>
        <w:trPr>
          <w:trHeight w:val="28"/>
        </w:trPr>
        <w:tc>
          <w:tcPr>
            <w:tcW w:w="38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0"/>
        </w:trPr>
        <w:tc>
          <w:tcPr>
            <w:tcW w:w="3820" w:type="dxa"/>
            <w:vAlign w:val="bottom"/>
          </w:tcPr>
          <w:p>
            <w:pPr>
              <w:spacing w:after="0"/>
              <w:rPr>
                <w:sz w:val="19"/>
                <w:szCs w:val="19"/>
                <w:color w:val="auto"/>
              </w:rPr>
            </w:pPr>
          </w:p>
        </w:tc>
        <w:tc>
          <w:tcPr>
            <w:tcW w:w="3960" w:type="dxa"/>
            <w:vAlign w:val="bottom"/>
          </w:tcPr>
          <w:p>
            <w:pPr>
              <w:ind w:left="1080"/>
              <w:spacing w:after="0"/>
              <w:rPr>
                <w:sz w:val="20"/>
                <w:szCs w:val="20"/>
                <w:color w:val="auto"/>
              </w:rPr>
            </w:pPr>
            <w:r>
              <w:rPr>
                <w:rFonts w:ascii="Arial" w:cs="Arial" w:eastAsia="Arial" w:hAnsi="Arial"/>
                <w:sz w:val="18"/>
                <w:szCs w:val="18"/>
                <w:color w:val="auto"/>
                <w:w w:val="92"/>
              </w:rPr>
              <w:t>Selling, general and administrative and</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382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3960" w:type="dxa"/>
            <w:vAlign w:val="bottom"/>
          </w:tcPr>
          <w:p>
            <w:pPr>
              <w:ind w:left="1080"/>
              <w:spacing w:after="0"/>
              <w:rPr>
                <w:sz w:val="20"/>
                <w:szCs w:val="20"/>
                <w:color w:val="auto"/>
              </w:rPr>
            </w:pPr>
            <w:r>
              <w:rPr>
                <w:rFonts w:ascii="Arial" w:cs="Arial" w:eastAsia="Arial" w:hAnsi="Arial"/>
                <w:sz w:val="18"/>
                <w:szCs w:val="18"/>
                <w:color w:val="auto"/>
              </w:rPr>
              <w:t>Direct operating costs</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83,102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130,487</w:t>
            </w:r>
          </w:p>
        </w:tc>
      </w:tr>
      <w:tr>
        <w:trPr>
          <w:trHeight w:val="28"/>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7"/>
        </w:trPr>
        <w:tc>
          <w:tcPr>
            <w:tcW w:w="3820" w:type="dxa"/>
            <w:vAlign w:val="bottom"/>
            <w:shd w:val="clear" w:color="auto" w:fill="CCEEFF"/>
          </w:tcPr>
          <w:p>
            <w:pPr>
              <w:spacing w:after="0"/>
              <w:rPr>
                <w:sz w:val="19"/>
                <w:szCs w:val="19"/>
                <w:color w:val="auto"/>
              </w:rPr>
            </w:pPr>
          </w:p>
        </w:tc>
        <w:tc>
          <w:tcPr>
            <w:tcW w:w="39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2"/>
              </w:rPr>
              <w:t>Selling, general and administrative and</w:t>
            </w: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6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and variable lease expense</w:t>
            </w:r>
          </w:p>
        </w:tc>
        <w:tc>
          <w:tcPr>
            <w:tcW w:w="3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Direct operating costs</w:t>
            </w:r>
          </w:p>
        </w:tc>
        <w:tc>
          <w:tcPr>
            <w:tcW w:w="5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69,711</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43,907</w:t>
            </w:r>
          </w:p>
        </w:tc>
      </w:tr>
      <w:tr>
        <w:trPr>
          <w:trHeight w:val="23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3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174,394</w:t>
            </w:r>
          </w:p>
        </w:tc>
      </w:tr>
      <w:tr>
        <w:trPr>
          <w:trHeight w:val="28"/>
        </w:trPr>
        <w:tc>
          <w:tcPr>
            <w:tcW w:w="38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448"/>
        </w:trPr>
        <w:tc>
          <w:tcPr>
            <w:tcW w:w="3820" w:type="dxa"/>
            <w:vAlign w:val="bottom"/>
          </w:tcPr>
          <w:p>
            <w:pPr>
              <w:spacing w:after="0"/>
              <w:rPr>
                <w:sz w:val="24"/>
                <w:szCs w:val="24"/>
                <w:color w:val="auto"/>
              </w:rPr>
            </w:pPr>
          </w:p>
        </w:tc>
        <w:tc>
          <w:tcPr>
            <w:tcW w:w="3960" w:type="dxa"/>
            <w:vAlign w:val="bottom"/>
          </w:tcPr>
          <w:p>
            <w:pPr>
              <w:ind w:left="1720"/>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6"/>
        </w:trPr>
        <w:tc>
          <w:tcPr>
            <w:tcW w:w="38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7"/>
        </w:trPr>
        <w:tc>
          <w:tcPr>
            <w:tcW w:w="8980" w:type="dxa"/>
            <w:vAlign w:val="bottom"/>
            <w:gridSpan w:val="2"/>
          </w:tcPr>
          <w:p>
            <w:pPr>
              <w:spacing w:after="0"/>
              <w:rPr>
                <w:sz w:val="20"/>
                <w:szCs w:val="20"/>
                <w:color w:val="auto"/>
              </w:rPr>
            </w:pPr>
            <w:r>
              <w:rPr>
                <w:rFonts w:ascii="Arial" w:cs="Arial" w:eastAsia="Arial" w:hAnsi="Arial"/>
                <w:sz w:val="18"/>
                <w:szCs w:val="18"/>
                <w:color w:val="auto"/>
                <w:w w:val="95"/>
              </w:rPr>
              <w:t>Other information about lease amounts recognized in the consolidated financial statements is summarized as follows: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9"/>
        </w:trPr>
        <w:tc>
          <w:tcPr>
            <w:tcW w:w="4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of December</w:t>
            </w:r>
          </w:p>
        </w:tc>
      </w:tr>
      <w:tr>
        <w:trPr>
          <w:trHeight w:val="231"/>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tc>
        <w:tc>
          <w:tcPr>
            <w:tcW w:w="4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31, 2020</w:t>
            </w:r>
          </w:p>
        </w:tc>
      </w:tr>
      <w:tr>
        <w:trPr>
          <w:trHeight w:val="28"/>
        </w:trPr>
        <w:tc>
          <w:tcPr>
            <w:tcW w:w="48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488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4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5.1</w:t>
            </w:r>
          </w:p>
        </w:tc>
      </w:tr>
      <w:tr>
        <w:trPr>
          <w:trHeight w:val="28"/>
        </w:trPr>
        <w:tc>
          <w:tcPr>
            <w:tcW w:w="48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4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2"/>
              </w:rPr>
              <w:t>2.2%</w:t>
            </w:r>
          </w:p>
        </w:tc>
      </w:tr>
      <w:tr>
        <w:trPr>
          <w:trHeight w:val="427"/>
        </w:trPr>
        <w:tc>
          <w:tcPr>
            <w:tcW w:w="8980" w:type="dxa"/>
            <w:vAlign w:val="bottom"/>
            <w:gridSpan w:val="2"/>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9"/>
        </w:trPr>
        <w:tc>
          <w:tcPr>
            <w:tcW w:w="4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11"/>
              <w:spacing w:after="0"/>
              <w:rPr>
                <w:sz w:val="20"/>
                <w:szCs w:val="20"/>
                <w:color w:val="auto"/>
              </w:rPr>
            </w:pPr>
            <w:r>
              <w:rPr>
                <w:rFonts w:ascii="Arial" w:cs="Arial" w:eastAsia="Arial" w:hAnsi="Arial"/>
                <w:sz w:val="18"/>
                <w:szCs w:val="18"/>
                <w:b w:val="1"/>
                <w:bCs w:val="1"/>
                <w:color w:val="auto"/>
                <w:w w:val="88"/>
              </w:rPr>
              <w:t>Year ended</w:t>
            </w:r>
          </w:p>
        </w:tc>
      </w:tr>
      <w:tr>
        <w:trPr>
          <w:trHeight w:val="214"/>
        </w:trPr>
        <w:tc>
          <w:tcPr>
            <w:tcW w:w="48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Other Information (in thousands)</w:t>
            </w:r>
          </w:p>
        </w:tc>
        <w:tc>
          <w:tcPr>
            <w:tcW w:w="4100" w:type="dxa"/>
            <w:vAlign w:val="bottom"/>
          </w:tcPr>
          <w:p>
            <w:pPr>
              <w:jc w:val="right"/>
              <w:ind w:right="271"/>
              <w:spacing w:after="0"/>
              <w:rPr>
                <w:sz w:val="20"/>
                <w:szCs w:val="20"/>
                <w:color w:val="auto"/>
              </w:rPr>
            </w:pPr>
            <w:r>
              <w:rPr>
                <w:rFonts w:ascii="Arial" w:cs="Arial" w:eastAsia="Arial" w:hAnsi="Arial"/>
                <w:sz w:val="18"/>
                <w:szCs w:val="18"/>
                <w:b w:val="1"/>
                <w:bCs w:val="1"/>
                <w:color w:val="auto"/>
              </w:rPr>
              <w:t>Year ended December 31, 2020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r>
      <w:tr>
        <w:trPr>
          <w:trHeight w:val="28"/>
        </w:trPr>
        <w:tc>
          <w:tcPr>
            <w:tcW w:w="48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0"/>
        </w:trPr>
        <w:tc>
          <w:tcPr>
            <w:tcW w:w="4880" w:type="dxa"/>
            <w:vAlign w:val="bottom"/>
          </w:tcPr>
          <w:p>
            <w:pPr>
              <w:ind w:left="40"/>
              <w:spacing w:after="0"/>
              <w:rPr>
                <w:sz w:val="20"/>
                <w:szCs w:val="20"/>
                <w:color w:val="auto"/>
              </w:rPr>
            </w:pPr>
            <w:r>
              <w:rPr>
                <w:rFonts w:ascii="Arial" w:cs="Arial" w:eastAsia="Arial" w:hAnsi="Arial"/>
                <w:sz w:val="18"/>
                <w:szCs w:val="18"/>
                <w:color w:val="auto"/>
                <w:w w:val="99"/>
              </w:rPr>
              <w:t>Cash paid for amounts included in the measurement of lease</w:t>
            </w:r>
          </w:p>
        </w:tc>
        <w:tc>
          <w:tcPr>
            <w:tcW w:w="4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880" w:type="dxa"/>
            <w:vAlign w:val="bottom"/>
          </w:tcPr>
          <w:p>
            <w:pPr>
              <w:ind w:left="40"/>
              <w:spacing w:after="0"/>
              <w:rPr>
                <w:sz w:val="20"/>
                <w:szCs w:val="20"/>
                <w:color w:val="auto"/>
              </w:rPr>
            </w:pPr>
            <w:r>
              <w:rPr>
                <w:rFonts w:ascii="Arial" w:cs="Arial" w:eastAsia="Arial" w:hAnsi="Arial"/>
                <w:sz w:val="18"/>
                <w:szCs w:val="18"/>
                <w:color w:val="auto"/>
              </w:rPr>
              <w:t>liabilities (a)</w:t>
            </w:r>
          </w:p>
        </w:tc>
        <w:tc>
          <w:tcPr>
            <w:tcW w:w="4100" w:type="dxa"/>
            <w:vAlign w:val="bottom"/>
          </w:tcPr>
          <w:p>
            <w:pPr>
              <w:jc w:val="right"/>
              <w:ind w:right="34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79,447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129,609</w:t>
            </w:r>
          </w:p>
        </w:tc>
      </w:tr>
      <w:tr>
        <w:trPr>
          <w:trHeight w:val="28"/>
        </w:trPr>
        <w:tc>
          <w:tcPr>
            <w:tcW w:w="48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Supplemental non-cash information on lease liabilities arising</w:t>
            </w:r>
          </w:p>
        </w:tc>
        <w:tc>
          <w:tcPr>
            <w:tcW w:w="4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obtaining ROU assets:</w:t>
            </w:r>
          </w:p>
        </w:tc>
        <w:tc>
          <w:tcPr>
            <w:tcW w:w="4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7"/>
        </w:trPr>
        <w:tc>
          <w:tcPr>
            <w:tcW w:w="4880" w:type="dxa"/>
            <w:vAlign w:val="bottom"/>
          </w:tcPr>
          <w:p>
            <w:pPr>
              <w:ind w:left="280"/>
              <w:spacing w:after="0"/>
              <w:rPr>
                <w:sz w:val="20"/>
                <w:szCs w:val="20"/>
                <w:color w:val="auto"/>
              </w:rPr>
            </w:pPr>
            <w:r>
              <w:rPr>
                <w:rFonts w:ascii="Arial" w:cs="Arial" w:eastAsia="Arial" w:hAnsi="Arial"/>
                <w:sz w:val="18"/>
                <w:szCs w:val="18"/>
                <w:color w:val="auto"/>
                <w:w w:val="98"/>
              </w:rPr>
              <w:t>ROU assets obtained in exchange for new operating lease</w:t>
            </w:r>
          </w:p>
        </w:tc>
        <w:tc>
          <w:tcPr>
            <w:tcW w:w="4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8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4100" w:type="dxa"/>
            <w:vAlign w:val="bottom"/>
          </w:tcPr>
          <w:p>
            <w:pPr>
              <w:jc w:val="right"/>
              <w:ind w:right="34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229,107</w:t>
            </w:r>
          </w:p>
        </w:tc>
      </w:tr>
    </w:tbl>
    <w:p>
      <w:pPr>
        <w:ind w:left="260" w:hanging="253"/>
        <w:spacing w:after="0" w:line="236" w:lineRule="auto"/>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Net cash provided by operating activities on the Company's Consolidated Statements of Cash Flows.</w:t>
      </w: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(14) Income Taxes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1335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2020, 2019 and 2018 are presented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8"/>
        </w:trPr>
        <w:tc>
          <w:tcPr>
            <w:tcW w:w="4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40,323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44,290</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35,467</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389,517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259,449</w:t>
            </w:r>
          </w:p>
        </w:tc>
        <w:tc>
          <w:tcPr>
            <w:tcW w:w="0" w:type="dxa"/>
            <w:vAlign w:val="bottom"/>
          </w:tcPr>
          <w:p>
            <w:pPr>
              <w:spacing w:after="0"/>
              <w:rPr>
                <w:sz w:val="1"/>
                <w:szCs w:val="1"/>
                <w:color w:val="auto"/>
              </w:rPr>
            </w:pPr>
          </w:p>
        </w:tc>
      </w:tr>
      <w:tr>
        <w:trPr>
          <w:trHeight w:val="262"/>
        </w:trPr>
        <w:tc>
          <w:tcPr>
            <w:tcW w:w="4120" w:type="dxa"/>
            <w:vAlign w:val="bottom"/>
          </w:tcPr>
          <w:p>
            <w:pPr>
              <w:ind w:left="280"/>
              <w:spacing w:after="0"/>
              <w:rPr>
                <w:sz w:val="20"/>
                <w:szCs w:val="20"/>
                <w:color w:val="auto"/>
              </w:rPr>
            </w:pPr>
            <w:r>
              <w:rPr>
                <w:rFonts w:ascii="Arial" w:cs="Arial" w:eastAsia="Arial" w:hAnsi="Arial"/>
                <w:sz w:val="18"/>
                <w:szCs w:val="18"/>
                <w:color w:val="auto"/>
              </w:rPr>
              <w:t>Total income before income taxes</w:t>
            </w:r>
          </w:p>
        </w:tc>
        <w:tc>
          <w:tcPr>
            <w:tcW w:w="3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2"/>
                <w:szCs w:val="22"/>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433,807</w:t>
            </w:r>
          </w:p>
        </w:tc>
        <w:tc>
          <w:tcPr>
            <w:tcW w:w="100" w:type="dxa"/>
            <w:vAlign w:val="bottom"/>
          </w:tcPr>
          <w:p>
            <w:pPr>
              <w:spacing w:after="0"/>
              <w:rPr>
                <w:sz w:val="22"/>
                <w:szCs w:val="22"/>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294,916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960" w:type="dxa"/>
            <w:vAlign w:val="bottom"/>
            <w:vMerge w:val="restart"/>
          </w:tcPr>
          <w:p>
            <w:pPr>
              <w:jc w:val="right"/>
              <w:ind w:right="127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Company's income tax expense for the years ended December 31, 2020, 2019 and 2018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jc w:val="right"/>
              <w:ind w:right="31"/>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8"/>
        </w:trPr>
        <w:tc>
          <w:tcPr>
            <w:tcW w:w="71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r>
      <w:tr>
        <w:trPr>
          <w:trHeight w:val="28"/>
        </w:trPr>
        <w:tc>
          <w:tcPr>
            <w:tcW w:w="7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2"/>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0"/>
        </w:trPr>
        <w:tc>
          <w:tcPr>
            <w:tcW w:w="71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(8,711)</w:t>
            </w:r>
          </w:p>
        </w:tc>
      </w:tr>
      <w:tr>
        <w:trPr>
          <w:trHeight w:val="28"/>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8"/>
        </w:trPr>
        <w:tc>
          <w:tcPr>
            <w:tcW w:w="7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70,244</w:t>
            </w:r>
          </w:p>
        </w:tc>
      </w:tr>
      <w:tr>
        <w:trPr>
          <w:trHeight w:val="233"/>
        </w:trPr>
        <w:tc>
          <w:tcPr>
            <w:tcW w:w="716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61,533</w:t>
            </w:r>
          </w:p>
        </w:tc>
      </w:tr>
      <w:tr>
        <w:trPr>
          <w:trHeight w:val="28"/>
        </w:trPr>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2"/>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0"/>
        </w:trPr>
        <w:tc>
          <w:tcPr>
            <w:tcW w:w="71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6,871</w:t>
            </w:r>
          </w:p>
        </w:tc>
      </w:tr>
      <w:tr>
        <w:trPr>
          <w:trHeight w:val="28"/>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8"/>
        </w:trPr>
        <w:tc>
          <w:tcPr>
            <w:tcW w:w="7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r>
      <w:tr>
        <w:trPr>
          <w:trHeight w:val="233"/>
        </w:trPr>
        <w:tc>
          <w:tcPr>
            <w:tcW w:w="716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8"/>
        </w:trPr>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7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62,785</w:t>
            </w: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following is a reconciliation of the federal statutory income tax rates of 21% to the effective income tax rate for the years ended December 31, 2020, 2019 and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71"/>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r>
      <w:tr>
        <w:trPr>
          <w:trHeight w:val="28"/>
        </w:trPr>
        <w:tc>
          <w:tcPr>
            <w:tcW w:w="6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(dollar amounts in thousands)</w:t>
            </w: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b w:val="1"/>
                <w:bCs w:val="1"/>
                <w:color w:val="auto"/>
              </w:rPr>
              <w:t>2018</w:t>
            </w:r>
          </w:p>
        </w:tc>
      </w:tr>
      <w:tr>
        <w:trPr>
          <w:trHeight w:val="28"/>
        </w:trPr>
        <w:tc>
          <w:tcPr>
            <w:tcW w:w="6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2"/>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1,716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61,932</w:t>
            </w:r>
          </w:p>
        </w:tc>
      </w:tr>
      <w:tr>
        <w:trPr>
          <w:trHeight w:val="240"/>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Tax effect of:</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 income tax expense (benefit) at statutory rates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1,680</w:t>
            </w:r>
          </w:p>
        </w:tc>
      </w:tr>
      <w:tr>
        <w:trPr>
          <w:trHeight w:val="240"/>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3,457</w:t>
            </w:r>
          </w:p>
        </w:tc>
      </w:tr>
      <w:tr>
        <w:trPr>
          <w:trHeight w:val="28"/>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(6,446)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(13,750)</w:t>
            </w:r>
          </w:p>
        </w:tc>
      </w:tr>
      <w:tr>
        <w:trPr>
          <w:trHeight w:val="240"/>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Other permanent differences</w:t>
            </w:r>
          </w:p>
        </w:tc>
        <w:tc>
          <w:tcPr>
            <w:tcW w:w="32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(6,141)</w:t>
            </w:r>
          </w:p>
        </w:tc>
      </w:tr>
      <w:tr>
        <w:trPr>
          <w:trHeight w:val="28"/>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Difference between U.S. federal and foreign tax rates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7,002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9,843</w:t>
            </w:r>
          </w:p>
        </w:tc>
      </w:tr>
      <w:tr>
        <w:trPr>
          <w:trHeight w:val="267"/>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Provision in excess of statutory rates</w:t>
            </w:r>
          </w:p>
        </w:tc>
        <w:tc>
          <w:tcPr>
            <w:tcW w:w="32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(6,491)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3,737</w:t>
            </w:r>
          </w:p>
        </w:tc>
      </w:tr>
      <w:tr>
        <w:trPr>
          <w:trHeight w:val="269"/>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federal and foreign valuation allowance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(4,238)</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3,075</w:t>
            </w:r>
          </w:p>
        </w:tc>
      </w:tr>
      <w:tr>
        <w:trPr>
          <w:trHeight w:val="240"/>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Impairment of goodwill and acquired intangibles assets</w:t>
            </w:r>
          </w:p>
        </w:tc>
        <w:tc>
          <w:tcPr>
            <w:tcW w:w="32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22,053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83</w:t>
            </w:r>
          </w:p>
        </w:tc>
      </w:tr>
      <w:tr>
        <w:trPr>
          <w:trHeight w:val="28"/>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GILTI, net of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14,111</w:t>
            </w:r>
          </w:p>
        </w:tc>
      </w:tr>
      <w:tr>
        <w:trPr>
          <w:trHeight w:val="240"/>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U.S. Tax Reform - transition tax and rate change</w:t>
            </w:r>
          </w:p>
        </w:tc>
        <w:tc>
          <w:tcPr>
            <w:tcW w:w="3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(12,262)</w:t>
            </w:r>
          </w:p>
        </w:tc>
      </w:tr>
      <w:tr>
        <w:trPr>
          <w:trHeight w:val="28"/>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(3,518)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0"/>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(2,980)</w:t>
            </w:r>
          </w:p>
        </w:tc>
      </w:tr>
      <w:tr>
        <w:trPr>
          <w:trHeight w:val="28"/>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6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11,475</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62,785</w:t>
            </w:r>
          </w:p>
        </w:tc>
      </w:tr>
      <w:tr>
        <w:trPr>
          <w:trHeight w:val="20"/>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6"/>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21.3%</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calculate our provision for federal, state and international income taxes based on current tax law. In the fourth quarter of 2018, the Company adjusted its accounting for the tax effects of U.S. Tax Reform. The net provisional tax expense was decreased in that period by approximately $12.3 million to $29.3 million largely due to changes in the transition tax calculations. In the fourth quarter of 2019 after additional regulatory guidance was issued by applicable taxing authorities, the Company elected to claim U.S. foreign tax credits, which reduced the net tax expense by $25.7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335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As of December 31,</w:t>
            </w:r>
          </w:p>
        </w:tc>
      </w:tr>
      <w:tr>
        <w:trPr>
          <w:trHeight w:val="28"/>
        </w:trPr>
        <w:tc>
          <w:tcPr>
            <w:tcW w:w="84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r>
      <w:tr>
        <w:trPr>
          <w:trHeight w:val="28"/>
        </w:trPr>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2"/>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45,609</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34,357</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7,366</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19,048</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8,602</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8,143</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5,591</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34,663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24,721</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65,063</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Lease accounting</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89,965</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3,394</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12,371</w:t>
            </w:r>
          </w:p>
        </w:tc>
      </w:tr>
      <w:tr>
        <w:trPr>
          <w:trHeight w:val="28"/>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2"/>
        </w:trPr>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278,621</w:t>
            </w:r>
          </w:p>
        </w:tc>
      </w:tr>
      <w:tr>
        <w:trPr>
          <w:trHeight w:val="240"/>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(83,184)</w:t>
            </w:r>
          </w:p>
        </w:tc>
      </w:tr>
      <w:tr>
        <w:trPr>
          <w:trHeight w:val="28"/>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2"/>
        </w:trPr>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195,437</w:t>
            </w:r>
          </w:p>
        </w:tc>
      </w:tr>
      <w:tr>
        <w:trPr>
          <w:trHeight w:val="233"/>
        </w:trPr>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Intangible assets related to purchase accounting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(16,379)</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(20,806)</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(29,084)</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Intercompany notes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(8,733)</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(27,902)</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(6,048)</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(15,467)</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(4,727)</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8"/>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accounting</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(89,965)</w:t>
            </w:r>
          </w:p>
        </w:tc>
      </w:tr>
      <w:tr>
        <w:trPr>
          <w:trHeight w:val="240"/>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(4,156)</w:t>
            </w:r>
          </w:p>
        </w:tc>
      </w:tr>
      <w:tr>
        <w:trPr>
          <w:trHeight w:val="28"/>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8"/>
        </w:trPr>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(6,606)</w:t>
            </w:r>
          </w:p>
        </w:tc>
      </w:tr>
      <w:tr>
        <w:trPr>
          <w:trHeight w:val="233"/>
        </w:trPr>
        <w:tc>
          <w:tcPr>
            <w:tcW w:w="8400" w:type="dxa"/>
            <w:vAlign w:val="bottom"/>
            <w:gridSpan w:val="2"/>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(229,873)</w:t>
            </w:r>
          </w:p>
        </w:tc>
      </w:tr>
      <w:tr>
        <w:trPr>
          <w:trHeight w:val="28"/>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(34,436)</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2020 are expected to be allocated to income taxes in the Consolidated Statements of Income.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and 2019, the Company's foreign tax loss carryforwards were $197.4 million and $119.1 million, respectively, and U.S. state tax loss carryforwards were $95.8 million and $97.6 million, respectively. As of December 31, 2020, the Company had U.S. foreign tax credit carryforwards of $61.3 million which are largely not expected to be utilized in future periods.</w:t>
      </w: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foreign tax net operating loss carryforwards of $197.4 million, which will expire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w w:val="89"/>
              </w:rPr>
              <w:t>Tax Effected</w:t>
            </w:r>
          </w:p>
        </w:tc>
      </w:tr>
      <w:tr>
        <w:trPr>
          <w:trHeight w:val="28"/>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0"/>
        </w:trPr>
        <w:tc>
          <w:tcPr>
            <w:tcW w:w="8460" w:type="dxa"/>
            <w:vAlign w:val="bottom"/>
          </w:tcPr>
          <w:p>
            <w:pPr>
              <w:ind w:left="1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8"/>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40"/>
        </w:trPr>
        <w:tc>
          <w:tcPr>
            <w:tcW w:w="8460" w:type="dxa"/>
            <w:vAlign w:val="bottom"/>
          </w:tcPr>
          <w:p>
            <w:pPr>
              <w:ind w:left="1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8"/>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40"/>
        </w:trPr>
        <w:tc>
          <w:tcPr>
            <w:tcW w:w="8460" w:type="dxa"/>
            <w:vAlign w:val="bottom"/>
          </w:tcPr>
          <w:p>
            <w:pPr>
              <w:ind w:left="16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4,588</w:t>
            </w:r>
          </w:p>
        </w:tc>
      </w:tr>
      <w:tr>
        <w:trPr>
          <w:trHeight w:val="28"/>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8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r>
      <w:tr>
        <w:trPr>
          <w:trHeight w:val="240"/>
        </w:trPr>
        <w:tc>
          <w:tcPr>
            <w:tcW w:w="8560" w:type="dxa"/>
            <w:vAlign w:val="bottom"/>
            <w:gridSpan w:val="2"/>
          </w:tcPr>
          <w:p>
            <w:pPr>
              <w:ind w:left="160"/>
              <w:spacing w:after="0"/>
              <w:rPr>
                <w:sz w:val="20"/>
                <w:szCs w:val="20"/>
                <w:color w:val="auto"/>
              </w:rPr>
            </w:pPr>
            <w:r>
              <w:rPr>
                <w:rFonts w:ascii="Arial" w:cs="Arial" w:eastAsia="Arial" w:hAnsi="Arial"/>
                <w:sz w:val="18"/>
                <w:szCs w:val="18"/>
                <w:color w:val="auto"/>
              </w:rPr>
              <w:t>Unlimited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30,895</w:t>
            </w:r>
          </w:p>
        </w:tc>
      </w:tr>
      <w:tr>
        <w:trPr>
          <w:trHeight w:val="28"/>
        </w:trPr>
        <w:tc>
          <w:tcPr>
            <w:tcW w:w="8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46,813</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the Company's state tax net operating loss carryforwards of $95.8 million will expire periodically from 2021 through 2040, U.S. foreign tax credit carryforwards of $61.3 million that will expire periodically from 2021 through 2028 and U.S. federal research and expenditure credit carryforwards of $3.3 million that will expire periodically from 2034 through 2038.</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U.S. tax expense has been recognized as a result of the transition tax and GILTI provisions of U.S. Tax Reform, 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$1,710.1 million as of December 31,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2020 and 2019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right"/>
              <w:ind w:right="291"/>
              <w:spacing w:after="0"/>
              <w:rPr>
                <w:sz w:val="20"/>
                <w:szCs w:val="20"/>
                <w:color w:val="auto"/>
              </w:rPr>
            </w:pPr>
            <w:r>
              <w:rPr>
                <w:rFonts w:ascii="Arial" w:cs="Arial" w:eastAsia="Arial" w:hAnsi="Arial"/>
                <w:sz w:val="18"/>
                <w:szCs w:val="18"/>
                <w:b w:val="1"/>
                <w:bCs w:val="1"/>
                <w:color w:val="auto"/>
                <w:w w:val="95"/>
              </w:rPr>
              <w:t>Year Ended December 31,</w:t>
            </w:r>
          </w:p>
        </w:tc>
      </w:tr>
      <w:tr>
        <w:trPr>
          <w:trHeight w:val="28"/>
        </w:trPr>
        <w:tc>
          <w:tcPr>
            <w:tcW w:w="84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r>
      <w:tr>
        <w:trPr>
          <w:trHeight w:val="28"/>
        </w:trPr>
        <w:tc>
          <w:tcPr>
            <w:tcW w:w="8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2"/>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30,915</w:t>
            </w:r>
          </w:p>
        </w:tc>
      </w:tr>
      <w:tr>
        <w:trPr>
          <w:trHeight w:val="24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15,569</w:t>
            </w:r>
          </w:p>
        </w:tc>
      </w:tr>
      <w:tr>
        <w:trPr>
          <w:trHeight w:val="28"/>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(1,703)</w:t>
            </w:r>
          </w:p>
        </w:tc>
      </w:tr>
      <w:tr>
        <w:trPr>
          <w:trHeight w:val="28"/>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8"/>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8"/>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39,785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and 2019, approximately $31.8 million and $42.7 million, respectively, of the unrecognized tax benefits would impact the Company's provision for income taxes and effective income tax rate, if recognized. Total estimated accrued interest and penalties related to the underpayment of income taxes was $6.2 million and $5.2 million as of December 31, 2020 and 2019, respectively. The following income tax years remain open in the Company's major jurisdictions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880" w:type="dxa"/>
            <w:vAlign w:val="bottom"/>
          </w:tcPr>
          <w:p>
            <w:pPr>
              <w:ind w:left="2300"/>
              <w:spacing w:after="0"/>
              <w:rPr>
                <w:sz w:val="20"/>
                <w:szCs w:val="20"/>
                <w:color w:val="auto"/>
              </w:rPr>
            </w:pPr>
            <w:r>
              <w:rPr>
                <w:rFonts w:ascii="Arial" w:cs="Arial" w:eastAsia="Arial" w:hAnsi="Arial"/>
                <w:sz w:val="18"/>
                <w:szCs w:val="18"/>
                <w:b w:val="1"/>
                <w:bCs w:val="1"/>
                <w:color w:val="auto"/>
              </w:rPr>
              <w:t>Periods</w:t>
            </w:r>
          </w:p>
        </w:tc>
      </w:tr>
      <w:tr>
        <w:trPr>
          <w:trHeight w:val="28"/>
        </w:trPr>
        <w:tc>
          <w:tcPr>
            <w:tcW w:w="3360" w:type="dxa"/>
            <w:vAlign w:val="bottom"/>
            <w:tcBorders>
              <w:bottom w:val="single" w:sz="8" w:color="auto"/>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2"/>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2014 through 2020</w:t>
            </w:r>
          </w:p>
        </w:tc>
      </w:tr>
      <w:tr>
        <w:trPr>
          <w:trHeight w:val="240"/>
        </w:trPr>
        <w:tc>
          <w:tcPr>
            <w:tcW w:w="3360" w:type="dxa"/>
            <w:vAlign w:val="bottom"/>
          </w:tcPr>
          <w:p>
            <w:pPr>
              <w:ind w:left="40"/>
              <w:spacing w:after="0"/>
              <w:rPr>
                <w:sz w:val="20"/>
                <w:szCs w:val="20"/>
                <w:color w:val="auto"/>
              </w:rPr>
            </w:pPr>
            <w:r>
              <w:rPr>
                <w:rFonts w:ascii="Arial" w:cs="Arial" w:eastAsia="Arial" w:hAnsi="Arial"/>
                <w:sz w:val="18"/>
                <w:szCs w:val="18"/>
                <w:color w:val="auto"/>
              </w:rPr>
              <w:t>Germany</w:t>
            </w:r>
          </w:p>
        </w:tc>
        <w:tc>
          <w:tcPr>
            <w:tcW w:w="7880" w:type="dxa"/>
            <w:vAlign w:val="bottom"/>
          </w:tcPr>
          <w:p>
            <w:pPr>
              <w:ind w:left="2300"/>
              <w:spacing w:after="0"/>
              <w:rPr>
                <w:sz w:val="20"/>
                <w:szCs w:val="20"/>
                <w:color w:val="auto"/>
              </w:rPr>
            </w:pPr>
            <w:r>
              <w:rPr>
                <w:rFonts w:ascii="Arial" w:cs="Arial" w:eastAsia="Arial" w:hAnsi="Arial"/>
                <w:sz w:val="18"/>
                <w:szCs w:val="18"/>
                <w:color w:val="auto"/>
              </w:rPr>
              <w:t>2016 through 2020</w:t>
            </w:r>
          </w:p>
        </w:tc>
      </w:tr>
      <w:tr>
        <w:trPr>
          <w:trHeight w:val="28"/>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8"/>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2014 through 2020</w:t>
            </w:r>
          </w:p>
        </w:tc>
      </w:tr>
      <w:tr>
        <w:trPr>
          <w:trHeight w:val="240"/>
        </w:trPr>
        <w:tc>
          <w:tcPr>
            <w:tcW w:w="3360" w:type="dxa"/>
            <w:vAlign w:val="bottom"/>
          </w:tcPr>
          <w:p>
            <w:pPr>
              <w:ind w:left="40"/>
              <w:spacing w:after="0"/>
              <w:rPr>
                <w:sz w:val="20"/>
                <w:szCs w:val="20"/>
                <w:color w:val="auto"/>
              </w:rPr>
            </w:pPr>
            <w:r>
              <w:rPr>
                <w:rFonts w:ascii="Arial" w:cs="Arial" w:eastAsia="Arial" w:hAnsi="Arial"/>
                <w:sz w:val="18"/>
                <w:szCs w:val="18"/>
                <w:color w:val="auto"/>
              </w:rPr>
              <w:t>Spain</w:t>
            </w:r>
          </w:p>
        </w:tc>
        <w:tc>
          <w:tcPr>
            <w:tcW w:w="7880" w:type="dxa"/>
            <w:vAlign w:val="bottom"/>
          </w:tcPr>
          <w:p>
            <w:pPr>
              <w:ind w:left="2300"/>
              <w:spacing w:after="0"/>
              <w:rPr>
                <w:sz w:val="20"/>
                <w:szCs w:val="20"/>
                <w:color w:val="auto"/>
              </w:rPr>
            </w:pPr>
            <w:r>
              <w:rPr>
                <w:rFonts w:ascii="Arial" w:cs="Arial" w:eastAsia="Arial" w:hAnsi="Arial"/>
                <w:sz w:val="18"/>
                <w:szCs w:val="18"/>
                <w:color w:val="auto"/>
              </w:rPr>
              <w:t>2015 through 2020</w:t>
            </w:r>
          </w:p>
        </w:tc>
      </w:tr>
      <w:tr>
        <w:trPr>
          <w:trHeight w:val="28"/>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788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2018 through 2020</w:t>
            </w:r>
          </w:p>
        </w:tc>
      </w:tr>
      <w:tr>
        <w:trPr>
          <w:trHeight w:val="28"/>
        </w:trPr>
        <w:tc>
          <w:tcPr>
            <w:tcW w:w="33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154"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(15) Valuation and Qualifying Accounts</w:t>
        </w:r>
      </w:hyperlink>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Trade accounts receivable and accounts receivable balances included within the settlement assets are stated net of credit losses. Historically, the Company has not experienced significant write-offs. The Company records credit losses when it is probable that the accounts receivable balance will not be collected.</w:t>
      </w: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following table provides a summary of the credit loss balances and activity for the years ended December 31, 2020, 2019 and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31"/>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r>
      <w:tr>
        <w:trPr>
          <w:trHeight w:val="28"/>
        </w:trPr>
        <w:tc>
          <w:tcPr>
            <w:tcW w:w="70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Arial" w:cs="Arial" w:eastAsia="Arial" w:hAnsi="Arial"/>
                <w:sz w:val="18"/>
                <w:szCs w:val="18"/>
                <w:b w:val="1"/>
                <w:bCs w:val="1"/>
                <w:color w:val="auto"/>
              </w:rPr>
              <w:t>2018</w:t>
            </w:r>
          </w:p>
        </w:tc>
      </w:tr>
      <w:tr>
        <w:trPr>
          <w:trHeight w:val="28"/>
        </w:trPr>
        <w:tc>
          <w:tcPr>
            <w:tcW w:w="6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2"/>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balance-credit losses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20,958</w:t>
            </w:r>
          </w:p>
        </w:tc>
      </w:tr>
      <w:tr>
        <w:trPr>
          <w:trHeight w:val="24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8,653</w:t>
            </w:r>
          </w:p>
        </w:tc>
      </w:tr>
      <w:tr>
        <w:trPr>
          <w:trHeight w:val="28"/>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4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(1,245)</w:t>
            </w:r>
          </w:p>
        </w:tc>
      </w:tr>
      <w:tr>
        <w:trPr>
          <w:trHeight w:val="28"/>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balance-credit losses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24,287</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(16) Stock Plans</w:t>
        </w:r>
      </w:hyperlink>
    </w:p>
    <w:p>
      <w:pPr>
        <w:spacing w:after="0" w:line="226"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Stock options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2020, the Company has approximately 0.5 million in total shares remaining available for issuance under the SCP.</w:t>
      </w:r>
    </w:p>
    <w:p>
      <w:pPr>
        <w:spacing w:after="0" w:line="18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Share-based compensation expense was $22.0 million, $21.4 million and $16.8 million for the years ended December 31, 2020, 2019 and 2018, respectively, and was recorded in salaries and benefits expense in the accompanying Consolidated Statements of Operations. The Company recorded a tax benefit of $2.1 million, $4.9 million and $2.7 million during the years ended December 31, 2020, 2019 and 2018, respectively, for the portion of this expense that relates to foreign tax jurisdictions in which an income tax benefit is expected to be derived.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5020" w:type="dxa"/>
            <w:vAlign w:val="bottom"/>
          </w:tcPr>
          <w:p>
            <w:pPr>
              <w:spacing w:after="0"/>
              <w:rPr>
                <w:sz w:val="20"/>
                <w:szCs w:val="20"/>
                <w:color w:val="auto"/>
              </w:rPr>
            </w:pPr>
            <w:r>
              <w:rPr>
                <w:rFonts w:ascii="Arial" w:cs="Arial" w:eastAsia="Arial" w:hAnsi="Arial"/>
                <w:sz w:val="18"/>
                <w:szCs w:val="18"/>
                <w:color w:val="auto"/>
                <w:w w:val="99"/>
              </w:rPr>
              <w:t>Summary stock options activity is presented in the table below:</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Weighted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Average Exercise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31"/>
        </w:trPr>
        <w:tc>
          <w:tcPr>
            <w:tcW w:w="5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Price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(thousands)</w:t>
            </w:r>
          </w:p>
        </w:tc>
        <w:tc>
          <w:tcPr>
            <w:tcW w:w="0" w:type="dxa"/>
            <w:vAlign w:val="bottom"/>
          </w:tcPr>
          <w:p>
            <w:pPr>
              <w:spacing w:after="0"/>
              <w:rPr>
                <w:sz w:val="1"/>
                <w:szCs w:val="1"/>
                <w:color w:val="auto"/>
              </w:rPr>
            </w:pPr>
          </w:p>
        </w:tc>
      </w:tr>
      <w:tr>
        <w:trPr>
          <w:trHeight w:val="28"/>
        </w:trPr>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2019 (1,653,340 shares exercisable)</w:t>
            </w:r>
          </w:p>
        </w:tc>
        <w:tc>
          <w:tcPr>
            <w:tcW w:w="222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3,015,775</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ind w:right="31"/>
              <w:spacing w:after="0"/>
              <w:rPr>
                <w:sz w:val="20"/>
                <w:szCs w:val="20"/>
                <w:color w:val="auto"/>
              </w:rPr>
            </w:pPr>
            <w:r>
              <w:rPr>
                <w:rFonts w:ascii="Arial" w:cs="Arial" w:eastAsia="Arial" w:hAnsi="Arial"/>
                <w:sz w:val="18"/>
                <w:szCs w:val="18"/>
                <w:color w:val="auto"/>
              </w:rPr>
              <w:t>1,574,228</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103.30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(460,688)</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20" w:type="dxa"/>
            <w:vAlign w:val="bottom"/>
          </w:tcPr>
          <w:p>
            <w:pPr>
              <w:ind w:left="160"/>
              <w:spacing w:after="0"/>
              <w:rPr>
                <w:sz w:val="20"/>
                <w:szCs w:val="20"/>
                <w:color w:val="auto"/>
              </w:rPr>
            </w:pPr>
            <w:r>
              <w:rPr>
                <w:rFonts w:ascii="Arial" w:cs="Arial" w:eastAsia="Arial" w:hAnsi="Arial"/>
                <w:sz w:val="18"/>
                <w:szCs w:val="18"/>
                <w:color w:val="auto"/>
              </w:rPr>
              <w:t>Forfeited/Canceled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(37,966)</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0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4,091,293</w:t>
            </w:r>
          </w:p>
        </w:tc>
        <w:tc>
          <w:tcPr>
            <w:tcW w:w="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207,507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2020</w:t>
            </w:r>
          </w:p>
        </w:tc>
        <w:tc>
          <w:tcPr>
            <w:tcW w:w="1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1,497,567</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125,859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2020</w:t>
            </w:r>
          </w:p>
        </w:tc>
        <w:tc>
          <w:tcPr>
            <w:tcW w:w="2220" w:type="dxa"/>
            <w:vAlign w:val="bottom"/>
            <w:gridSpan w:val="2"/>
          </w:tcPr>
          <w:p>
            <w:pPr>
              <w:jc w:val="right"/>
              <w:ind w:right="31"/>
              <w:spacing w:after="0"/>
              <w:rPr>
                <w:sz w:val="20"/>
                <w:szCs w:val="20"/>
                <w:color w:val="auto"/>
              </w:rPr>
            </w:pPr>
            <w:r>
              <w:rPr>
                <w:rFonts w:ascii="Arial" w:cs="Arial" w:eastAsia="Arial" w:hAnsi="Arial"/>
                <w:sz w:val="18"/>
                <w:szCs w:val="18"/>
                <w:color w:val="auto"/>
              </w:rPr>
              <w:t>2,075,569</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140,063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8"/>
                <w:szCs w:val="18"/>
                <w:color w:val="auto"/>
              </w:rPr>
              <w:t>102</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0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20"/>
          </w:cols>
          <w:pgMar w:left="320" w:top="554" w:right="259" w:bottom="1440" w:gutter="0" w:footer="0" w:header="0"/>
        </w:sectPr>
      </w:pPr>
    </w:p>
    <w:bookmarkStart w:id="105" w:name="page106"/>
    <w:bookmarkEnd w:id="105"/>
    <w:p>
      <w:pPr>
        <w:ind w:right="20"/>
        <w:spacing w:after="0" w:line="291"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$15.8 million, $13.1 million and $17.1 million in connection with stock options exercised in the years ended December 31, 2020, 2019 and 2018, respectively. The intrinsic value of these options exercised was $41.1 million, $30.6 million and $73.0 million in the years ended December 31, 2020, 2019 and 2018, respectively. As of December 31, 2020, unrecognized compensation expense related to nonvested stock options that are expected to vest totaled $21.4 million and will be recognized over the next 5 years, with an overall weighted-average period of 2.8 years. The following table provides the fair value of options granted under the SCP during 2020, 2019 and 2018, together with a description of the assumptions used to calculate the fair value using the Black-Scholes-Merton option-pricing model: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6"/>
          </w:tcPr>
          <w:p>
            <w:pPr>
              <w:jc w:val="right"/>
              <w:ind w:right="131"/>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8"/>
        </w:trPr>
        <w:tc>
          <w:tcPr>
            <w:tcW w:w="6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2020 (b)</w:t>
            </w: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2018</w:t>
            </w:r>
          </w:p>
        </w:tc>
      </w:tr>
      <w:tr>
        <w:trPr>
          <w:trHeight w:val="28"/>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2"/>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0"/>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 to 1.17%</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(a)</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(a)</w:t>
            </w:r>
          </w:p>
        </w:tc>
      </w:tr>
      <w:tr>
        <w:trPr>
          <w:trHeight w:val="240"/>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0"/>
        </w:trPr>
        <w:tc>
          <w:tcPr>
            <w:tcW w:w="658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8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7.1 years</w:t>
            </w:r>
          </w:p>
        </w:tc>
        <w:tc>
          <w:tcPr>
            <w:tcW w:w="3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5.2 years</w:t>
            </w:r>
          </w:p>
        </w:tc>
        <w:tc>
          <w:tcPr>
            <w:tcW w:w="32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5.6 years</w:t>
            </w:r>
          </w:p>
        </w:tc>
      </w:tr>
      <w:tr>
        <w:trPr>
          <w:trHeight w:val="28"/>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48.21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43.96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37.16</w:t>
            </w:r>
          </w:p>
        </w:tc>
      </w:tr>
      <w:tr>
        <w:trPr>
          <w:trHeight w:val="28"/>
        </w:trPr>
        <w:tc>
          <w:tcPr>
            <w:tcW w:w="6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ind w:left="260" w:hanging="253"/>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date of grant, the risk fee rate for stock options awarded in 2019 and 2018 was 1.7%, and 2.8%, respectively.</w:t>
      </w:r>
    </w:p>
    <w:p>
      <w:pPr>
        <w:spacing w:after="0" w:line="221" w:lineRule="exact"/>
        <w:rPr>
          <w:rFonts w:ascii="Arial" w:cs="Arial" w:eastAsia="Arial" w:hAnsi="Arial"/>
          <w:sz w:val="18"/>
          <w:szCs w:val="18"/>
          <w:color w:val="auto"/>
        </w:rPr>
      </w:pPr>
    </w:p>
    <w:p>
      <w:pPr>
        <w:jc w:val="both"/>
        <w:ind w:firstLine="7"/>
        <w:spacing w:after="0" w:line="260"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2020, the Company granted 1,350,000 options that were valued using a Monte Carlo simulation (not included in the table above). The Monte Carlo simulation calculated a fair value per option of $26.90 using the following assumptions: volatility of 37.0%, risk-free interest rate of 0.33%, and a term of 5.0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 Summary restricted stock activity is presented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8"/>
        </w:trPr>
        <w:tc>
          <w:tcPr>
            <w:tcW w:w="39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584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493,948</w:t>
            </w:r>
          </w:p>
        </w:tc>
        <w:tc>
          <w:tcPr>
            <w:tcW w:w="3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40"/>
        </w:trPr>
        <w:tc>
          <w:tcPr>
            <w:tcW w:w="3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5840" w:type="dxa"/>
            <w:vAlign w:val="bottom"/>
            <w:gridSpan w:val="2"/>
          </w:tcPr>
          <w:p>
            <w:pPr>
              <w:jc w:val="right"/>
              <w:ind w:right="11"/>
              <w:spacing w:after="0"/>
              <w:rPr>
                <w:sz w:val="20"/>
                <w:szCs w:val="20"/>
                <w:color w:val="auto"/>
              </w:rPr>
            </w:pPr>
            <w:r>
              <w:rPr>
                <w:rFonts w:ascii="Arial" w:cs="Arial" w:eastAsia="Arial" w:hAnsi="Arial"/>
                <w:sz w:val="18"/>
                <w:szCs w:val="18"/>
                <w:color w:val="auto"/>
              </w:rPr>
              <w:t>129,127</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117.97</w:t>
            </w: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584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(126,903)</w:t>
            </w:r>
          </w:p>
        </w:tc>
        <w:tc>
          <w:tcPr>
            <w:tcW w:w="3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40"/>
        </w:trPr>
        <w:tc>
          <w:tcPr>
            <w:tcW w:w="39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5840" w:type="dxa"/>
            <w:vAlign w:val="bottom"/>
            <w:gridSpan w:val="2"/>
          </w:tcPr>
          <w:p>
            <w:pPr>
              <w:jc w:val="right"/>
              <w:ind w:right="11"/>
              <w:spacing w:after="0"/>
              <w:rPr>
                <w:sz w:val="20"/>
                <w:szCs w:val="20"/>
                <w:color w:val="auto"/>
              </w:rPr>
            </w:pPr>
            <w:r>
              <w:rPr>
                <w:rFonts w:ascii="Arial" w:cs="Arial" w:eastAsia="Arial" w:hAnsi="Arial"/>
                <w:sz w:val="18"/>
                <w:szCs w:val="18"/>
                <w:color w:val="auto"/>
              </w:rPr>
              <w:t>(10,662)</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8"/>
        </w:trPr>
        <w:tc>
          <w:tcPr>
            <w:tcW w:w="39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2020</w:t>
            </w:r>
          </w:p>
        </w:tc>
        <w:tc>
          <w:tcPr>
            <w:tcW w:w="58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485,510</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731"/>
              <w:spacing w:after="0"/>
              <w:rPr>
                <w:sz w:val="20"/>
                <w:szCs w:val="20"/>
                <w:color w:val="auto"/>
              </w:rPr>
            </w:pPr>
            <w:r>
              <w:rPr>
                <w:rFonts w:ascii="Arial" w:cs="Arial" w:eastAsia="Arial" w:hAnsi="Arial"/>
                <w:sz w:val="18"/>
                <w:szCs w:val="18"/>
                <w:color w:val="auto"/>
              </w:rPr>
              <w:t>103</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9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46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6" w:name="page107"/>
    <w:bookmarkEnd w:id="106"/>
    <w:p>
      <w:pPr>
        <w:ind w:right="20"/>
        <w:spacing w:after="0" w:line="271" w:lineRule="auto"/>
        <w:rPr>
          <w:sz w:val="20"/>
          <w:szCs w:val="20"/>
          <w:color w:val="auto"/>
        </w:rPr>
      </w:pPr>
      <w:r>
        <w:rPr>
          <w:rFonts w:ascii="Arial" w:cs="Arial" w:eastAsia="Arial" w:hAnsi="Arial"/>
          <w:sz w:val="17"/>
          <w:szCs w:val="17"/>
          <w:color w:val="auto"/>
        </w:rPr>
        <w:t>The fair value of shares vested in the years ended December 31, 2020, 2019 and 2018 was $15.4 million, $16.6 million and $14.2 million, respectively. As of December 31, 2020, there was $18.3 million of total unrecognized compensation cost related to unvested time-based restricted stock, which is expected to be recognized over a weighted-average period of 3.0 years. As of December 31, 2020, there was $9.5 million of total unrecognized compensation costs related to unvested performance-based restricted stock, which is expected to be recognized based on Company performance over a weighted-average period of 1.6 years. The weighted average grant date fair value of restricted stock granted during the years ended December 31, 2020, 2019 and 2018 was $117.97, $145.93 and $107.88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2020, 2019 and 2018, the Company issued 32,267, 16,713 and 21,872 rights, respectively, to purchase shares of Common Stock at a weighted average price per share of $71.63, $110.37 and $71.08, respectively. The grant date fair value of the option to purchase shares at the lower of the closing price at the beginning or end of the quarterly period, plus the actual total discount provided, are recorded as compensation expense. Total compensation expense recorded was $0.6 million, $0.4 million, and $0.4 million for the years ended December 31, 2020, 2019 and 2018, respectively. The following table provides the weighted-average fair value of the ESPP stock purchase rights during the years ended December 31, 2020, 2019 and 2018 and the assumptions used to calculate the fair value using the Black-Scholes-Merton option-pricing model: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
        </w:trPr>
        <w:tc>
          <w:tcPr>
            <w:tcW w:w="5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5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1"/>
              <w:spacing w:after="0"/>
              <w:rPr>
                <w:sz w:val="20"/>
                <w:szCs w:val="20"/>
                <w:color w:val="auto"/>
              </w:rPr>
            </w:pPr>
            <w:r>
              <w:rPr>
                <w:rFonts w:ascii="Arial" w:cs="Arial" w:eastAsia="Arial" w:hAnsi="Arial"/>
                <w:sz w:val="18"/>
                <w:szCs w:val="18"/>
                <w:b w:val="1"/>
                <w:bCs w:val="1"/>
                <w:color w:val="auto"/>
              </w:rPr>
              <w:t>2018</w:t>
            </w:r>
          </w:p>
        </w:tc>
      </w:tr>
      <w:tr>
        <w:trPr>
          <w:trHeight w:val="28"/>
        </w:trPr>
        <w:tc>
          <w:tcPr>
            <w:tcW w:w="5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2"/>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67"/>
        </w:trPr>
        <w:tc>
          <w:tcPr>
            <w:tcW w:w="554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 to 81.1%</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20.3% to 28.1%</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 to 36.7%</w:t>
            </w:r>
          </w:p>
        </w:tc>
      </w:tr>
      <w:tr>
        <w:trPr>
          <w:trHeight w:val="24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67"/>
        </w:trPr>
        <w:tc>
          <w:tcPr>
            <w:tcW w:w="554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0.09% to 0.16%</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1.55% to 2.44%</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 to 2.45%</w:t>
            </w:r>
          </w:p>
        </w:tc>
      </w:tr>
      <w:tr>
        <w:trPr>
          <w:trHeight w:val="24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4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360" w:type="dxa"/>
            <w:vAlign w:val="bottom"/>
          </w:tcPr>
          <w:p>
            <w:pPr>
              <w:spacing w:after="0"/>
              <w:rPr>
                <w:sz w:val="20"/>
                <w:szCs w:val="20"/>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3 months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3 months</w:t>
            </w:r>
          </w:p>
        </w:tc>
        <w:tc>
          <w:tcPr>
            <w:tcW w:w="360" w:type="dxa"/>
            <w:vAlign w:val="bottom"/>
          </w:tcPr>
          <w:p>
            <w:pPr>
              <w:spacing w:after="0"/>
              <w:rPr>
                <w:sz w:val="20"/>
                <w:szCs w:val="20"/>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 months</w:t>
            </w:r>
          </w:p>
        </w:tc>
      </w:tr>
      <w:tr>
        <w:trPr>
          <w:trHeight w:val="28"/>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20.11</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17.22</w:t>
            </w:r>
          </w:p>
        </w:tc>
      </w:tr>
      <w:tr>
        <w:trPr>
          <w:trHeight w:val="28"/>
        </w:trPr>
        <w:tc>
          <w:tcPr>
            <w:tcW w:w="5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(17) Business Segment Information</w:t>
        </w:r>
      </w:hyperlink>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174" w:lineRule="exact"/>
        <w:rPr>
          <w:sz w:val="20"/>
          <w:szCs w:val="20"/>
          <w:color w:val="auto"/>
        </w:rPr>
      </w:pPr>
    </w:p>
    <w:p>
      <w:pPr>
        <w:jc w:val="both"/>
        <w:ind w:firstLine="275"/>
        <w:spacing w:after="0" w:line="254" w:lineRule="auto"/>
        <w:tabs>
          <w:tab w:leader="none" w:pos="4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7" w:name="page108"/>
    <w:bookmarkEnd w:id="107"/>
    <w:p>
      <w:pPr>
        <w:ind w:firstLine="275"/>
        <w:spacing w:after="0" w:line="272" w:lineRule="auto"/>
        <w:tabs>
          <w:tab w:leader="none" w:pos="4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74" w:lineRule="exact"/>
        <w:rPr>
          <w:rFonts w:ascii="Arial" w:cs="Arial" w:eastAsia="Arial" w:hAnsi="Arial"/>
          <w:sz w:val="18"/>
          <w:szCs w:val="18"/>
          <w:color w:val="auto"/>
        </w:rPr>
      </w:pPr>
    </w:p>
    <w:p>
      <w:pPr>
        <w:jc w:val="both"/>
        <w:ind w:firstLine="275"/>
        <w:spacing w:after="0" w:line="252" w:lineRule="auto"/>
        <w:tabs>
          <w:tab w:leader="none" w:pos="4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2020, 2019 and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60" w:type="dxa"/>
            <w:vAlign w:val="bottom"/>
            <w:gridSpan w:val="8"/>
          </w:tcPr>
          <w:p>
            <w:pPr>
              <w:ind w:left="320"/>
              <w:spacing w:after="0"/>
              <w:rPr>
                <w:sz w:val="20"/>
                <w:szCs w:val="20"/>
                <w:color w:val="auto"/>
              </w:rPr>
            </w:pPr>
            <w:r>
              <w:rPr>
                <w:rFonts w:ascii="Arial" w:cs="Arial" w:eastAsia="Arial" w:hAnsi="Arial"/>
                <w:sz w:val="18"/>
                <w:szCs w:val="18"/>
                <w:b w:val="1"/>
                <w:bCs w:val="1"/>
                <w:color w:val="auto"/>
              </w:rPr>
              <w:t>For the Year Ended December 31, 2020</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Corporate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1"/>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EFT Processing</w:t>
            </w: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Money Transfer</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14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w w:val="89"/>
              </w:rPr>
              <w:t>Consolidated</w:t>
            </w:r>
          </w:p>
        </w:tc>
      </w:tr>
      <w:tr>
        <w:trPr>
          <w:trHeight w:val="28"/>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2"/>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468,726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835,517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1,183,849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2,482,700</w:t>
            </w:r>
          </w:p>
        </w:tc>
      </w:tr>
      <w:tr>
        <w:trPr>
          <w:trHeight w:val="23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1,576,699</w:t>
            </w:r>
          </w:p>
        </w:tc>
      </w:tr>
      <w:tr>
        <w:trPr>
          <w:trHeight w:val="240"/>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91,526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213,511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404,142</w:t>
            </w: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221,614</w:t>
            </w:r>
          </w:p>
        </w:tc>
      </w:tr>
      <w:tr>
        <w:trPr>
          <w:trHeight w:val="240"/>
        </w:trPr>
        <w:tc>
          <w:tcPr>
            <w:tcW w:w="4240" w:type="dxa"/>
            <w:vAlign w:val="bottom"/>
            <w:gridSpan w:val="2"/>
          </w:tcPr>
          <w:p>
            <w:pPr>
              <w:ind w:left="160"/>
              <w:spacing w:after="0"/>
              <w:rPr>
                <w:sz w:val="20"/>
                <w:szCs w:val="20"/>
                <w:color w:val="auto"/>
              </w:rPr>
            </w:pPr>
            <w:r>
              <w:rPr>
                <w:rFonts w:ascii="Arial" w:cs="Arial" w:eastAsia="Arial" w:hAnsi="Arial"/>
                <w:sz w:val="18"/>
                <w:szCs w:val="18"/>
                <w:color w:val="auto"/>
                <w:w w:val="98"/>
              </w:rPr>
              <w:t>Goodwill and acquired intangible assets impairment</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84,741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106,602</w:t>
            </w: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127,021</w:t>
            </w:r>
          </w:p>
        </w:tc>
      </w:tr>
      <w:tr>
        <w:trPr>
          <w:trHeight w:val="233"/>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535,437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1,124,140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2,436,078</w:t>
            </w:r>
          </w:p>
        </w:tc>
      </w:tr>
      <w:tr>
        <w:trPr>
          <w:trHeight w:val="28"/>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2"/>
        </w:trPr>
        <w:tc>
          <w:tcPr>
            <w:tcW w:w="4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59,709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46,622</w:t>
            </w:r>
          </w:p>
        </w:tc>
      </w:tr>
      <w:tr>
        <w:trPr>
          <w:trHeight w:val="23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r>
      <w:tr>
        <w:trPr>
          <w:trHeight w:val="24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(36,604)</w:t>
            </w:r>
          </w:p>
        </w:tc>
      </w:tr>
      <w:tr>
        <w:trPr>
          <w:trHeight w:val="28"/>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8"/>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4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869</w:t>
            </w:r>
          </w:p>
        </w:tc>
      </w:tr>
      <w:tr>
        <w:trPr>
          <w:trHeight w:val="28"/>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2"/>
        </w:trPr>
        <w:tc>
          <w:tcPr>
            <w:tcW w:w="42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(38,451)</w:t>
            </w:r>
          </w:p>
        </w:tc>
      </w:tr>
      <w:tr>
        <w:trPr>
          <w:trHeight w:val="295"/>
        </w:trPr>
        <w:tc>
          <w:tcPr>
            <w:tcW w:w="424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8,171</w:t>
            </w:r>
          </w:p>
        </w:tc>
      </w:tr>
      <w:tr>
        <w:trPr>
          <w:trHeight w:val="23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2020</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1,541,610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1,135,204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1,755,651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494,246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4,926,711</w:t>
            </w:r>
          </w:p>
        </w:tc>
      </w:tr>
      <w:tr>
        <w:trPr>
          <w:trHeight w:val="454"/>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ind w:right="91"/>
              <w:spacing w:after="0"/>
              <w:rPr>
                <w:sz w:val="20"/>
                <w:szCs w:val="20"/>
                <w:color w:val="auto"/>
              </w:rPr>
            </w:pPr>
            <w:r>
              <w:rPr>
                <w:rFonts w:ascii="Arial" w:cs="Arial" w:eastAsia="Arial" w:hAnsi="Arial"/>
                <w:sz w:val="18"/>
                <w:szCs w:val="18"/>
                <w:color w:val="auto"/>
              </w:rPr>
              <w:t>105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9"/>
        </w:trPr>
        <w:tc>
          <w:tcPr>
            <w:tcW w:w="4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40" w:type="dxa"/>
            <w:vAlign w:val="bottom"/>
            <w:gridSpan w:val="8"/>
          </w:tcPr>
          <w:p>
            <w:pPr>
              <w:ind w:left="300"/>
              <w:spacing w:after="0"/>
              <w:rPr>
                <w:sz w:val="20"/>
                <w:szCs w:val="20"/>
                <w:color w:val="auto"/>
              </w:rPr>
            </w:pPr>
            <w:r>
              <w:rPr>
                <w:rFonts w:ascii="Arial" w:cs="Arial" w:eastAsia="Arial" w:hAnsi="Arial"/>
                <w:sz w:val="18"/>
                <w:szCs w:val="18"/>
                <w:b w:val="1"/>
                <w:bCs w:val="1"/>
                <w:color w:val="auto"/>
              </w:rPr>
              <w:t>For the Year Ended December 31, 2019</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Services,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Money</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Eliminations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1"/>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EFT Processing</w:t>
            </w: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epay</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14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w w:val="87"/>
              </w:rPr>
              <w:t>Consolidated</w:t>
            </w:r>
          </w:p>
        </w:tc>
      </w:tr>
      <w:tr>
        <w:trPr>
          <w:trHeight w:val="28"/>
        </w:trPr>
        <w:tc>
          <w:tcPr>
            <w:tcW w:w="4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2"/>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2,750,109</w:t>
            </w:r>
          </w:p>
        </w:tc>
      </w:tr>
      <w:tr>
        <w:trPr>
          <w:trHeight w:val="23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8"/>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1,556,483</w:t>
            </w:r>
          </w:p>
        </w:tc>
      </w:tr>
      <w:tr>
        <w:trPr>
          <w:trHeight w:val="240"/>
        </w:trPr>
        <w:tc>
          <w:tcPr>
            <w:tcW w:w="430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394,744</w:t>
            </w:r>
          </w:p>
        </w:tc>
      </w:tr>
      <w:tr>
        <w:trPr>
          <w:trHeight w:val="28"/>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211,944</w:t>
            </w:r>
          </w:p>
        </w:tc>
      </w:tr>
      <w:tr>
        <w:trPr>
          <w:trHeight w:val="240"/>
        </w:trPr>
        <w:tc>
          <w:tcPr>
            <w:tcW w:w="430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111,744</w:t>
            </w:r>
          </w:p>
        </w:tc>
      </w:tr>
      <w:tr>
        <w:trPr>
          <w:trHeight w:val="28"/>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2"/>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680,125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2,274,915</w:t>
            </w:r>
          </w:p>
        </w:tc>
      </w:tr>
      <w:tr>
        <w:trPr>
          <w:trHeight w:val="233"/>
        </w:trPr>
        <w:tc>
          <w:tcPr>
            <w:tcW w:w="43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89,204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475,194</w:t>
            </w:r>
          </w:p>
        </w:tc>
      </w:tr>
      <w:tr>
        <w:trPr>
          <w:trHeight w:val="28"/>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2"/>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0"/>
        </w:trPr>
        <w:tc>
          <w:tcPr>
            <w:tcW w:w="43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1,969</w:t>
            </w:r>
          </w:p>
        </w:tc>
      </w:tr>
      <w:tr>
        <w:trPr>
          <w:trHeight w:val="28"/>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4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(36,237)</w:t>
            </w:r>
          </w:p>
        </w:tc>
      </w:tr>
      <w:tr>
        <w:trPr>
          <w:trHeight w:val="240"/>
        </w:trPr>
        <w:tc>
          <w:tcPr>
            <w:tcW w:w="43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2,701</w:t>
            </w:r>
          </w:p>
        </w:tc>
      </w:tr>
      <w:tr>
        <w:trPr>
          <w:trHeight w:val="28"/>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7"/>
        </w:trPr>
        <w:tc>
          <w:tcPr>
            <w:tcW w:w="4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r>
      <w:tr>
        <w:trPr>
          <w:trHeight w:val="234"/>
        </w:trPr>
        <w:tc>
          <w:tcPr>
            <w:tcW w:w="4300" w:type="dxa"/>
            <w:vAlign w:val="bottom"/>
            <w:gridSpan w:val="2"/>
          </w:tcPr>
          <w:p>
            <w:pPr>
              <w:ind w:left="48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(41,387)</w:t>
            </w:r>
          </w:p>
        </w:tc>
      </w:tr>
      <w:tr>
        <w:trPr>
          <w:trHeight w:val="28"/>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433,807</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6"/>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2019</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1,914,144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962,671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1,560,136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220,715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4,657,666</w:t>
            </w:r>
          </w:p>
        </w:tc>
      </w:tr>
      <w:tr>
        <w:trPr>
          <w:trHeight w:val="483"/>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3"/>
          </w:tcPr>
          <w:p>
            <w:pPr>
              <w:jc w:val="right"/>
              <w:ind w:right="131"/>
              <w:spacing w:after="0"/>
              <w:rPr>
                <w:sz w:val="20"/>
                <w:szCs w:val="20"/>
                <w:color w:val="auto"/>
              </w:rPr>
            </w:pPr>
            <w:r>
              <w:rPr>
                <w:rFonts w:ascii="Arial" w:cs="Arial" w:eastAsia="Arial" w:hAnsi="Arial"/>
                <w:sz w:val="18"/>
                <w:szCs w:val="18"/>
                <w:color w:val="auto"/>
              </w:rPr>
              <w:t>106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6"/>
        </w:trPr>
        <w:tc>
          <w:tcPr>
            <w:tcW w:w="4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1"/>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9"/>
              </w:rPr>
              <w:t>For the Year Ended December 31, 2018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Services,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Money</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Eliminations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EFT Processing</w:t>
            </w:r>
          </w:p>
        </w:tc>
        <w:tc>
          <w:tcPr>
            <w:tcW w:w="30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Transfer</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w w:val="85"/>
              </w:rPr>
              <w:t>Consolidated</w:t>
            </w:r>
          </w:p>
        </w:tc>
      </w:tr>
      <w:tr>
        <w:trPr>
          <w:trHeight w:val="28"/>
        </w:trPr>
        <w:tc>
          <w:tcPr>
            <w:tcW w:w="4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753,651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743,784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2,536,629</w:t>
            </w:r>
          </w:p>
        </w:tc>
      </w:tr>
      <w:tr>
        <w:trPr>
          <w:trHeight w:val="23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1,488,406</w:t>
            </w:r>
          </w:p>
        </w:tc>
      </w:tr>
      <w:tr>
        <w:trPr>
          <w:trHeight w:val="240"/>
        </w:trPr>
        <w:tc>
          <w:tcPr>
            <w:tcW w:w="444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32,085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360,432</w:t>
            </w: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216,807</w:t>
            </w:r>
          </w:p>
        </w:tc>
      </w:tr>
      <w:tr>
        <w:trPr>
          <w:trHeight w:val="240"/>
        </w:trPr>
        <w:tc>
          <w:tcPr>
            <w:tcW w:w="4440" w:type="dxa"/>
            <w:vAlign w:val="bottom"/>
            <w:gridSpan w:val="2"/>
          </w:tcPr>
          <w:p>
            <w:pPr>
              <w:ind w:left="16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7,049</w:t>
            </w: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r>
      <w:tr>
        <w:trPr>
          <w:trHeight w:val="233"/>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556,406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664,787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920,436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2,178,715</w:t>
            </w:r>
          </w:p>
        </w:tc>
      </w:tr>
      <w:tr>
        <w:trPr>
          <w:trHeight w:val="28"/>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44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r>
      <w:tr>
        <w:trPr>
          <w:trHeight w:val="23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4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r>
      <w:tr>
        <w:trPr>
          <w:trHeight w:val="240"/>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(37,573)</w:t>
            </w:r>
          </w:p>
        </w:tc>
      </w:tr>
      <w:tr>
        <w:trPr>
          <w:trHeight w:val="28"/>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61"/>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(26,655)</w:t>
            </w:r>
          </w:p>
        </w:tc>
      </w:tr>
      <w:tr>
        <w:trPr>
          <w:trHeight w:val="276"/>
        </w:trPr>
        <w:tc>
          <w:tcPr>
            <w:tcW w:w="4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33"/>
        </w:trPr>
        <w:tc>
          <w:tcPr>
            <w:tcW w:w="4440" w:type="dxa"/>
            <w:vAlign w:val="bottom"/>
            <w:gridSpan w:val="2"/>
          </w:tcPr>
          <w:p>
            <w:pPr>
              <w:ind w:left="48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(62,998)</w:t>
            </w:r>
          </w:p>
        </w:tc>
      </w:tr>
      <w:tr>
        <w:trPr>
          <w:trHeight w:val="28"/>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44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6"/>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2018</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1,220,141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780,220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1,310,775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3,321,155</w:t>
            </w:r>
          </w:p>
        </w:tc>
      </w:tr>
      <w:tr>
        <w:trPr>
          <w:trHeight w:val="483"/>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4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0" w:name="page111"/>
    <w:bookmarkEnd w:id="110"/>
    <w:p>
      <w:pPr>
        <w:jc w:val="both"/>
        <w:spacing w:after="0" w:line="272" w:lineRule="auto"/>
        <w:rPr>
          <w:sz w:val="20"/>
          <w:szCs w:val="20"/>
          <w:color w:val="auto"/>
        </w:rPr>
      </w:pPr>
      <w:r>
        <w:rPr>
          <w:rFonts w:ascii="Arial" w:cs="Arial" w:eastAsia="Arial" w:hAnsi="Arial"/>
          <w:sz w:val="18"/>
          <w:szCs w:val="18"/>
          <w:color w:val="auto"/>
        </w:rPr>
        <w:t>Total revenues for the years ended December 31, 2020, 2019 and 2018, and property and equipment and total assets as of December 31, 2020 and 2019, summarized by geographic location,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Property and Equipment, net</w:t>
            </w:r>
          </w:p>
        </w:tc>
        <w:tc>
          <w:tcPr>
            <w:tcW w:w="280" w:type="dxa"/>
            <w:vAlign w:val="bottom"/>
          </w:tcPr>
          <w:p>
            <w:pPr>
              <w:spacing w:after="0"/>
              <w:rPr>
                <w:sz w:val="20"/>
                <w:szCs w:val="20"/>
                <w:color w:val="auto"/>
              </w:rPr>
            </w:pPr>
          </w:p>
        </w:tc>
        <w:tc>
          <w:tcPr>
            <w:tcW w:w="200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Total Assets</w:t>
            </w:r>
          </w:p>
        </w:tc>
      </w:tr>
      <w:tr>
        <w:trPr>
          <w:trHeight w:val="268"/>
        </w:trPr>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98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For the year ended December 31,</w:t>
            </w:r>
          </w:p>
        </w:tc>
        <w:tc>
          <w:tcPr>
            <w:tcW w:w="160" w:type="dxa"/>
            <w:vAlign w:val="bottom"/>
          </w:tcPr>
          <w:p>
            <w:pPr>
              <w:spacing w:after="0"/>
              <w:rPr>
                <w:sz w:val="23"/>
                <w:szCs w:val="23"/>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as of December 31,</w:t>
            </w:r>
          </w:p>
        </w:tc>
        <w:tc>
          <w:tcPr>
            <w:tcW w:w="280" w:type="dxa"/>
            <w:vAlign w:val="bottom"/>
          </w:tcPr>
          <w:p>
            <w:pPr>
              <w:spacing w:after="0"/>
              <w:rPr>
                <w:sz w:val="23"/>
                <w:szCs w:val="23"/>
                <w:color w:val="auto"/>
              </w:rPr>
            </w:pPr>
          </w:p>
        </w:tc>
        <w:tc>
          <w:tcPr>
            <w:tcW w:w="200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w w:val="96"/>
              </w:rPr>
              <w:t>as of December 31,</w:t>
            </w:r>
          </w:p>
        </w:tc>
      </w:tr>
      <w:tr>
        <w:trPr>
          <w:trHeight w:val="28"/>
        </w:trPr>
        <w:tc>
          <w:tcPr>
            <w:tcW w:w="19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2019</w:t>
            </w:r>
          </w:p>
        </w:tc>
      </w:tr>
      <w:tr>
        <w:trPr>
          <w:trHeight w:val="28"/>
        </w:trPr>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2"/>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725,135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716,576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721,977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1,255,983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717,894</w:t>
            </w:r>
          </w:p>
        </w:tc>
      </w:tr>
      <w:tr>
        <w:trPr>
          <w:trHeight w:val="23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533,999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518,146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38,808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660,730</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118,934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371,882</w:t>
            </w: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118,024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135,006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133,132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20,150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520,549</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130,929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210,910</w:t>
            </w: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89,688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130,104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126,513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33,087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222,582</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163,125</w:t>
            </w: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119,265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96,636</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111,339</w:t>
            </w: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73,541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74,948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114,796</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62,844</w:t>
            </w: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47,611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254,580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237,076</w:t>
            </w:r>
          </w:p>
        </w:tc>
      </w:tr>
      <w:tr>
        <w:trPr>
          <w:trHeight w:val="28"/>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8"/>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355,630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468,785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1,167,303</w:t>
            </w:r>
          </w:p>
        </w:tc>
      </w:tr>
      <w:tr>
        <w:trPr>
          <w:trHeight w:val="23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1,757,565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2,033,533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1,814,652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322,868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3,670,728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3,939,772</w:t>
            </w:r>
          </w:p>
        </w:tc>
      </w:tr>
      <w:tr>
        <w:trPr>
          <w:trHeight w:val="28"/>
        </w:trPr>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2,482,700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2,750,109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2,536,629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378,441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4,926,711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4,657,666</w:t>
            </w: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143"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(18) Financial Instruments and Fair Value Measurements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15, Valuation and Qualifying Accounts, for further disclosure.</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-70485</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20"/>
        <w:spacing w:after="0" w:line="248"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-219075</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40" w:right="20"/>
        <w:spacing w:after="0" w:line="25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-228600</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3"/>
          </w:tcPr>
          <w:p>
            <w:pPr>
              <w:ind w:left="340"/>
              <w:spacing w:after="0"/>
              <w:rPr>
                <w:sz w:val="20"/>
                <w:szCs w:val="20"/>
                <w:color w:val="auto"/>
              </w:rPr>
            </w:pPr>
            <w:r>
              <w:rPr>
                <w:rFonts w:ascii="Arial" w:cs="Arial" w:eastAsia="Arial" w:hAnsi="Arial"/>
                <w:sz w:val="18"/>
                <w:szCs w:val="18"/>
                <w:b w:val="1"/>
                <w:bCs w:val="1"/>
                <w:color w:val="auto"/>
                <w:w w:val="92"/>
              </w:rPr>
              <w:t>As of December 31, 2020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56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560" w:type="dxa"/>
            <w:vAlign w:val="bottom"/>
            <w:gridSpan w:val="2"/>
          </w:tcPr>
          <w:p>
            <w:pPr>
              <w:ind w:left="90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3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80,879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80,879</w:t>
            </w:r>
          </w:p>
        </w:tc>
        <w:tc>
          <w:tcPr>
            <w:tcW w:w="0" w:type="dxa"/>
            <w:vAlign w:val="bottom"/>
          </w:tcPr>
          <w:p>
            <w:pPr>
              <w:spacing w:after="0"/>
              <w:rPr>
                <w:sz w:val="1"/>
                <w:szCs w:val="1"/>
                <w:color w:val="auto"/>
              </w:rPr>
            </w:pPr>
          </w:p>
        </w:tc>
      </w:tr>
      <w:tr>
        <w:trPr>
          <w:trHeight w:val="24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(65,905)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8"/>
        </w:trPr>
        <w:tc>
          <w:tcPr>
            <w:tcW w:w="30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As of December 31, 2019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56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560" w:type="dxa"/>
            <w:vAlign w:val="bottom"/>
            <w:gridSpan w:val="2"/>
          </w:tcPr>
          <w:p>
            <w:pPr>
              <w:ind w:left="90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3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54,765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54,765</w:t>
            </w:r>
          </w:p>
        </w:tc>
        <w:tc>
          <w:tcPr>
            <w:tcW w:w="0" w:type="dxa"/>
            <w:vAlign w:val="bottom"/>
          </w:tcPr>
          <w:p>
            <w:pPr>
              <w:spacing w:after="0"/>
              <w:rPr>
                <w:sz w:val="1"/>
                <w:szCs w:val="1"/>
                <w:color w:val="auto"/>
              </w:rPr>
            </w:pPr>
          </w:p>
        </w:tc>
      </w:tr>
      <w:tr>
        <w:trPr>
          <w:trHeight w:val="24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2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(41,935)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(41,935)</w:t>
            </w:r>
          </w:p>
        </w:tc>
        <w:tc>
          <w:tcPr>
            <w:tcW w:w="0" w:type="dxa"/>
            <w:vAlign w:val="bottom"/>
          </w:tcPr>
          <w:p>
            <w:pPr>
              <w:spacing w:after="0"/>
              <w:rPr>
                <w:sz w:val="1"/>
                <w:szCs w:val="1"/>
                <w:color w:val="auto"/>
              </w:rPr>
            </w:pPr>
          </w:p>
        </w:tc>
      </w:tr>
      <w:tr>
        <w:trPr>
          <w:trHeight w:val="28"/>
        </w:trPr>
        <w:tc>
          <w:tcPr>
            <w:tcW w:w="30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58"/>
        <w:spacing w:after="0" w:line="273" w:lineRule="auto"/>
        <w:rPr>
          <w:sz w:val="20"/>
          <w:szCs w:val="20"/>
          <w:color w:val="auto"/>
        </w:rPr>
      </w:pPr>
      <w:r>
        <w:rPr>
          <w:rFonts w:ascii="Arial" w:cs="Arial" w:eastAsia="Arial" w:hAnsi="Arial"/>
          <w:sz w:val="17"/>
          <w:szCs w:val="17"/>
          <w:color w:val="auto"/>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As of December 31, 2020 , the fair values of the Convertible Notes and Senior Notes were $667.4 million and $728.7 million, respectively, with carrying values of $452.2 million and $732.8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2" w:name="page113"/>
    <w:bookmarkEnd w:id="112"/>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(19) Litigation and Contingencies</w:t>
        </w:r>
      </w:hyperlink>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44"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(20) Commitments</w:t>
        </w:r>
      </w:hyperlink>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of December 31, 2020, the Company had $86.9 million of stand-by letters of credit/bank guarantees issued on its behalf, of which $3.9 million are collateralized by cash deposits held by the respective issuing banks.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2020, the Company granted off balance sheet guarantees for cash in various ATM networks amounting to $13.1 million over the terms of the cash supply agreements and performance guarantees amounting to approximately $48.3 million over the terms of the agreements with the customers.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6" w:lineRule="exact"/>
        <w:rPr>
          <w:sz w:val="20"/>
          <w:szCs w:val="20"/>
          <w:color w:val="auto"/>
        </w:rPr>
      </w:pPr>
    </w:p>
    <w:p>
      <w:pPr>
        <w:ind w:left="80" w:right="80" w:hanging="66"/>
        <w:spacing w:after="0" w:line="256" w:lineRule="auto"/>
        <w:rPr>
          <w:sz w:val="20"/>
          <w:szCs w:val="20"/>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2020, the balance of such cash used in the Company's ATM networks for which the Company was responsible was approximately $616.3 million. The Company maintains insurance policies to mitigate this exposure;</w:t>
      </w:r>
    </w:p>
    <w:p>
      <w:pPr>
        <w:spacing w:after="0" w:line="189" w:lineRule="exact"/>
        <w:rPr>
          <w:sz w:val="20"/>
          <w:szCs w:val="20"/>
          <w:color w:val="auto"/>
        </w:rPr>
      </w:pPr>
    </w:p>
    <w:p>
      <w:pPr>
        <w:ind w:left="80" w:right="40" w:hanging="66"/>
        <w:spacing w:after="0" w:line="282" w:lineRule="auto"/>
        <w:rPr>
          <w:sz w:val="20"/>
          <w:szCs w:val="20"/>
          <w:color w:val="auto"/>
        </w:rPr>
      </w:pPr>
      <w:r>
        <w:rPr>
          <w:rFonts w:ascii="Arial" w:cs="Arial" w:eastAsia="Arial" w:hAnsi="Arial"/>
          <w:sz w:val="17"/>
          <w:szCs w:val="17"/>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69" w:lineRule="exact"/>
        <w:rPr>
          <w:sz w:val="20"/>
          <w:szCs w:val="20"/>
          <w:color w:val="auto"/>
        </w:rPr>
      </w:pPr>
    </w:p>
    <w:p>
      <w:pPr>
        <w:jc w:val="both"/>
        <w:ind w:left="80" w:right="140" w:hanging="66"/>
        <w:spacing w:after="0" w:line="260"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85" w:lineRule="exact"/>
        <w:rPr>
          <w:sz w:val="20"/>
          <w:szCs w:val="20"/>
          <w:color w:val="auto"/>
        </w:rPr>
      </w:pPr>
    </w:p>
    <w:p>
      <w:pPr>
        <w:ind w:left="80" w:right="60" w:hanging="66"/>
        <w:spacing w:after="0" w:line="260" w:lineRule="auto"/>
        <w:rPr>
          <w:sz w:val="20"/>
          <w:szCs w:val="20"/>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3" w:name="page114"/>
    <w:bookmarkEnd w:id="113"/>
    <w:p>
      <w:pPr>
        <w:ind w:left="80" w:right="80" w:hanging="66"/>
        <w:spacing w:after="0" w:line="271" w:lineRule="auto"/>
        <w:rPr>
          <w:sz w:val="20"/>
          <w:szCs w:val="20"/>
          <w:color w:val="auto"/>
        </w:rPr>
      </w:pPr>
      <w:r>
        <w:rPr>
          <w:rFonts w:ascii="Arial" w:cs="Arial" w:eastAsia="Arial" w:hAnsi="Arial"/>
          <w:sz w:val="17"/>
          <w:szCs w:val="17"/>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77" w:lineRule="exact"/>
        <w:rPr>
          <w:sz w:val="20"/>
          <w:szCs w:val="20"/>
          <w:color w:val="auto"/>
        </w:rPr>
      </w:pPr>
    </w:p>
    <w:p>
      <w:pPr>
        <w:jc w:val="both"/>
        <w:ind w:left="80" w:right="340" w:hanging="66"/>
        <w:spacing w:after="0" w:line="260" w:lineRule="auto"/>
        <w:rPr>
          <w:sz w:val="20"/>
          <w:szCs w:val="20"/>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2020 or 2019.</w:t>
      </w:r>
    </w:p>
    <w:p>
      <w:pPr>
        <w:spacing w:after="0" w:line="143" w:lineRule="exact"/>
        <w:rPr>
          <w:sz w:val="20"/>
          <w:szCs w:val="20"/>
          <w:color w:val="auto"/>
        </w:rPr>
      </w:pPr>
    </w:p>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(21) Related Party Transactions</w:t>
        </w:r>
      </w:hyperlink>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$0.1 million, $0.3 million and $0.3 million during the years ended December 31, 2020, 2019 and 2018, respectively, for the use of this airplane.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3359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(22) Selected Quarterly Data (Unaudited)</w:t>
              </w:r>
            </w:hyperlink>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5"/>
        </w:trPr>
        <w:tc>
          <w:tcPr>
            <w:tcW w:w="488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First Quarter</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Second Quarter</w:t>
            </w: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rPr>
              <w:t>Third Quarter</w:t>
            </w: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Fourth Quarter</w:t>
            </w:r>
          </w:p>
        </w:tc>
      </w:tr>
      <w:tr>
        <w:trPr>
          <w:trHeight w:val="28"/>
        </w:trPr>
        <w:tc>
          <w:tcPr>
            <w:tcW w:w="4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2"/>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2019</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577,509</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691,867</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786,986</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693,747</w:t>
            </w: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107,213</w:t>
            </w: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34,579</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68,005</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137,541</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106,570</w:t>
            </w: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106,446</w:t>
            </w: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Earnings per common share: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0"/>
        </w:trPr>
        <w:tc>
          <w:tcPr>
            <w:tcW w:w="4880" w:type="dxa"/>
            <w:vAlign w:val="bottom"/>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2020</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583,907</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527,803</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664,351</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706,639</w:t>
            </w: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50,219</w:t>
            </w: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(115,733)</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40,315</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70,394</w:t>
            </w: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70,235</w:t>
            </w:r>
          </w:p>
        </w:tc>
      </w:tr>
      <w:tr>
        <w:trPr>
          <w:trHeight w:val="240"/>
        </w:trPr>
        <w:tc>
          <w:tcPr>
            <w:tcW w:w="4880" w:type="dxa"/>
            <w:vAlign w:val="bottom"/>
          </w:tcPr>
          <w:p>
            <w:pPr>
              <w:ind w:left="160"/>
              <w:spacing w:after="0"/>
              <w:rPr>
                <w:sz w:val="20"/>
                <w:szCs w:val="20"/>
                <w:color w:val="auto"/>
              </w:rPr>
            </w:pPr>
            <w:r>
              <w:rPr>
                <w:rFonts w:ascii="Arial" w:cs="Arial" w:eastAsia="Arial" w:hAnsi="Arial"/>
                <w:sz w:val="18"/>
                <w:szCs w:val="18"/>
                <w:color w:val="auto"/>
              </w:rPr>
              <w:t>Earnings (loss) per common share: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
        </w:trPr>
        <w:tc>
          <w:tcPr>
            <w:tcW w:w="4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8"/>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0"/>
        </w:trPr>
        <w:tc>
          <w:tcPr>
            <w:tcW w:w="4880" w:type="dxa"/>
            <w:vAlign w:val="bottom"/>
          </w:tcPr>
          <w:p>
            <w:pPr>
              <w:ind w:left="280"/>
              <w:spacing w:after="0"/>
              <w:rPr>
                <w:sz w:val="20"/>
                <w:szCs w:val="20"/>
                <w:color w:val="auto"/>
              </w:rPr>
            </w:pPr>
            <w:r>
              <w:rPr>
                <w:rFonts w:ascii="Arial" w:cs="Arial" w:eastAsia="Arial" w:hAnsi="Arial"/>
                <w:sz w:val="18"/>
                <w:szCs w:val="18"/>
                <w:color w:val="auto"/>
              </w:rPr>
              <w:t>Diluted</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83"/>
        </w:trPr>
        <w:tc>
          <w:tcPr>
            <w:tcW w:w="48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48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5" w:name="page116"/>
    <w:bookmarkEnd w:id="115"/>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2020.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2020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2020.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Based on these criteria and our assessment, we have determined that, as of December 31, 2020,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KPMG LLP, an independent registered public accounting firm, as stated in their audit report, included herein.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64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5496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51"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Michael J. Brown</w:t>
      </w:r>
    </w:p>
    <w:p>
      <w:pPr>
        <w:spacing w:after="0" w:line="61"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64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5496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51"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Rick L. Weller</w:t>
      </w:r>
    </w:p>
    <w:p>
      <w:pPr>
        <w:spacing w:after="0" w:line="61"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9B.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under “Election of Directors,” “Delinquent Section 16(a) Reports” and “Meetings and Committees of the Board of Directors” in the Proxy Statement for the 2021 Annual Meeting of Stockholders, which will be filed with the SEC no later than 120 days after December 31, 2020,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under “Compensation Tables,” “Compensation Discussion and Analysis,” “Director Compensation,” “Compensation Committee Report” and “Compensation Committee Interlocks and Insider Participation” in the Proxy Statement for the 2021 Annual Meeting of Stockholders, which will be filed with the SEC no later than 120 days after December 31, 2020, is incorporated herein by reference.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under “Beneficial Ownership of Common Stock”, “Election of Directors”and shares issuable under approved plans in the Proxy Statement for the 2021 Annual Meeting of Stockholders, which will be filed with the SEC no later than 120 days after December 31, 2020, is incorporated herein by reference.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The information under “Certain Relationships and Related Transactions and Director Independence” in the Proxy Statement for the 2021 Annual Meeting of Stockholders, which will be filed with the SEC no later than 120 days after December 31, 2020, is incorporated herein by reference.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2021 Annual Meeting of Stockholders, which will be filed with the SEC no later than 120 days after December 31, 2020, is incorporated herein by reference.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List of Documents Filed as Part of this Report.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Financial Statements</w:t>
      </w:r>
    </w:p>
    <w:p>
      <w:pPr>
        <w:spacing w:after="0" w:line="222" w:lineRule="exact"/>
        <w:rPr>
          <w:sz w:val="20"/>
          <w:szCs w:val="20"/>
          <w:color w:val="auto"/>
        </w:rPr>
      </w:pPr>
    </w:p>
    <w:p>
      <w:pPr>
        <w:ind w:left="240" w:right="80"/>
        <w:spacing w:after="0" w:line="272" w:lineRule="auto"/>
        <w:rPr>
          <w:sz w:val="20"/>
          <w:szCs w:val="20"/>
          <w:color w:val="auto"/>
        </w:rPr>
      </w:pPr>
      <w:r>
        <w:rPr>
          <w:rFonts w:ascii="Arial" w:cs="Arial" w:eastAsia="Arial" w:hAnsi="Arial"/>
          <w:sz w:val="18"/>
          <w:szCs w:val="18"/>
          <w:color w:val="auto"/>
        </w:rPr>
        <w:t>The Consolidated Financial Statements and accompanying notes, together with the report of KPMG LLP, appear in Part II, Item 8 - Financial Statements and Supplementary Data, of this Form 10-K.</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20" w:type="dxa"/>
            <w:vAlign w:val="bottom"/>
            <w:gridSpan w:val="10"/>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522"/>
        </w:trPr>
        <w:tc>
          <w:tcPr>
            <w:tcW w:w="114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60" w:type="dxa"/>
            <w:vAlign w:val="bottom"/>
            <w:tcBorders>
              <w:top w:val="single" w:sz="8" w:color="auto"/>
              <w:bottom w:val="single" w:sz="8" w:color="0000FF"/>
            </w:tcBorders>
            <w:gridSpan w:val="11"/>
          </w:tcPr>
          <w:p>
            <w:pPr>
              <w:spacing w:after="0"/>
              <w:rPr>
                <w:rFonts w:ascii="Arial" w:cs="Arial" w:eastAsia="Arial" w:hAnsi="Arial"/>
                <w:sz w:val="18"/>
                <w:szCs w:val="18"/>
                <w:color w:val="0000FF"/>
                <w:w w:val="91"/>
              </w:rPr>
            </w:pPr>
            <w:hyperlink r:id="rId265">
              <w:r>
                <w:rPr>
                  <w:rFonts w:ascii="Arial" w:cs="Arial" w:eastAsia="Arial" w:hAnsi="Arial"/>
                  <w:sz w:val="18"/>
                  <w:szCs w:val="18"/>
                  <w:color w:val="0000FF"/>
                  <w:w w:val="91"/>
                </w:rPr>
                <w:t>Certificate of Incorporation of Euronet Worldwide, Inc., as amended (filed as Exhibit 3.2 to the Company's Current Report on Form 8-K</w:t>
              </w:r>
            </w:hyperlink>
          </w:p>
        </w:tc>
        <w:tc>
          <w:tcPr>
            <w:tcW w:w="100" w:type="dxa"/>
            <w:vAlign w:val="bottom"/>
            <w:tcBorders>
              <w:top w:val="single" w:sz="8" w:color="auto"/>
            </w:tcBorders>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bottom w:val="single" w:sz="8" w:color="0000FF"/>
            </w:tcBorders>
            <w:gridSpan w:val="2"/>
          </w:tcPr>
          <w:p>
            <w:pPr>
              <w:spacing w:after="0" w:line="195" w:lineRule="exact"/>
              <w:rPr>
                <w:rFonts w:ascii="Arial" w:cs="Arial" w:eastAsia="Arial" w:hAnsi="Arial"/>
                <w:sz w:val="18"/>
                <w:szCs w:val="18"/>
                <w:color w:val="0000FF"/>
                <w:w w:val="90"/>
              </w:rPr>
            </w:pPr>
            <w:hyperlink r:id="rId265">
              <w:r>
                <w:rPr>
                  <w:rFonts w:ascii="Arial" w:cs="Arial" w:eastAsia="Arial" w:hAnsi="Arial"/>
                  <w:sz w:val="18"/>
                  <w:szCs w:val="18"/>
                  <w:color w:val="0000FF"/>
                  <w:w w:val="90"/>
                </w:rPr>
                <w:t>filed on May 22, 2009 and incorporated by reference herein)</w:t>
              </w:r>
            </w:hyperlink>
          </w:p>
        </w:tc>
        <w:tc>
          <w:tcPr>
            <w:tcW w:w="5520" w:type="dxa"/>
            <w:vAlign w:val="bottom"/>
            <w:gridSpan w:val="10"/>
          </w:tcPr>
          <w:p>
            <w:pPr>
              <w:spacing w:after="0"/>
              <w:rPr>
                <w:sz w:val="16"/>
                <w:szCs w:val="16"/>
                <w:color w:val="auto"/>
              </w:rPr>
            </w:pPr>
          </w:p>
        </w:tc>
      </w:tr>
      <w:tr>
        <w:trPr>
          <w:trHeight w:val="570"/>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7"/>
          </w:tcPr>
          <w:p>
            <w:pPr>
              <w:spacing w:after="0"/>
              <w:rPr>
                <w:rFonts w:ascii="Arial" w:cs="Arial" w:eastAsia="Arial" w:hAnsi="Arial"/>
                <w:sz w:val="18"/>
                <w:szCs w:val="18"/>
                <w:color w:val="0000FF"/>
                <w:w w:val="91"/>
              </w:rPr>
            </w:pPr>
            <w:hyperlink r:id="rId266">
              <w:r>
                <w:rPr>
                  <w:rFonts w:ascii="Arial" w:cs="Arial" w:eastAsia="Arial" w:hAnsi="Arial"/>
                  <w:sz w:val="18"/>
                  <w:szCs w:val="18"/>
                  <w:color w:val="0000FF"/>
                  <w:w w:val="91"/>
                </w:rPr>
                <w:t>Certificate of Amendment to Certificate of Incorporation of Euronet Worldwide, Inc. (filed as Exhibit 3.1 to the Company's Current</w:t>
              </w:r>
            </w:hyperlink>
          </w:p>
        </w:tc>
        <w:tc>
          <w:tcPr>
            <w:tcW w:w="440" w:type="dxa"/>
            <w:vAlign w:val="bottom"/>
            <w:gridSpan w:val="5"/>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gridSpan w:val="12"/>
          </w:tcPr>
          <w:p>
            <w:pPr>
              <w:spacing w:after="0" w:line="195" w:lineRule="exact"/>
              <w:rPr>
                <w:rFonts w:ascii="Arial" w:cs="Arial" w:eastAsia="Arial" w:hAnsi="Arial"/>
                <w:sz w:val="18"/>
                <w:szCs w:val="18"/>
                <w:color w:val="0000FF"/>
              </w:rPr>
            </w:pPr>
            <w:hyperlink r:id="rId266">
              <w:r>
                <w:rPr>
                  <w:rFonts w:ascii="Arial" w:cs="Arial" w:eastAsia="Arial" w:hAnsi="Arial"/>
                  <w:sz w:val="18"/>
                  <w:szCs w:val="18"/>
                  <w:color w:val="0000FF"/>
                </w:rPr>
                <w:t>Report on Form 8-K filed on May 22, 2009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70"/>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8"/>
          </w:tcPr>
          <w:p>
            <w:pPr>
              <w:spacing w:after="0"/>
              <w:rPr>
                <w:rFonts w:ascii="Arial" w:cs="Arial" w:eastAsia="Arial" w:hAnsi="Arial"/>
                <w:sz w:val="18"/>
                <w:szCs w:val="18"/>
                <w:color w:val="0000FF"/>
                <w:w w:val="89"/>
              </w:rPr>
            </w:pPr>
            <w:hyperlink r:id="rId267">
              <w:r>
                <w:rPr>
                  <w:rFonts w:ascii="Arial" w:cs="Arial" w:eastAsia="Arial" w:hAnsi="Arial"/>
                  <w:sz w:val="18"/>
                  <w:szCs w:val="18"/>
                  <w:color w:val="0000FF"/>
                  <w:w w:val="89"/>
                </w:rPr>
                <w:t>Amended and Restated Certificate of Designations, Preferences and Rights of Series A Junior Participating Preferred Stock (filed as</w:t>
              </w:r>
            </w:hyperlink>
          </w:p>
        </w:tc>
        <w:tc>
          <w:tcPr>
            <w:tcW w:w="400" w:type="dxa"/>
            <w:vAlign w:val="bottom"/>
            <w:gridSpan w:val="4"/>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2"/>
          </w:tcPr>
          <w:p>
            <w:pPr>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Exhibit 3.1 to the Company's Current Report on Form 8-K filed on March 29, 2013, and incorporated herein by reference)</w:t>
              </w:r>
            </w:hyperlink>
          </w:p>
        </w:tc>
      </w:tr>
      <w:tr>
        <w:trPr>
          <w:trHeight w:val="551"/>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9"/>
          </w:tcPr>
          <w:p>
            <w:pPr>
              <w:spacing w:after="0"/>
              <w:rPr>
                <w:rFonts w:ascii="Arial" w:cs="Arial" w:eastAsia="Arial" w:hAnsi="Arial"/>
                <w:sz w:val="18"/>
                <w:szCs w:val="18"/>
                <w:color w:val="0000FF"/>
                <w:w w:val="91"/>
              </w:rPr>
            </w:pPr>
            <w:hyperlink r:id="rId268">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160" w:type="dxa"/>
            <w:vAlign w:val="bottom"/>
            <w:gridSpan w:val="3"/>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gridSpan w:val="12"/>
          </w:tcPr>
          <w:p>
            <w:pPr>
              <w:spacing w:after="0" w:line="195" w:lineRule="exact"/>
              <w:rPr>
                <w:rFonts w:ascii="Arial" w:cs="Arial" w:eastAsia="Arial" w:hAnsi="Arial"/>
                <w:sz w:val="18"/>
                <w:szCs w:val="18"/>
                <w:color w:val="0000FF"/>
              </w:rPr>
            </w:pPr>
            <w:hyperlink r:id="rId268">
              <w:r>
                <w:rPr>
                  <w:rFonts w:ascii="Arial" w:cs="Arial" w:eastAsia="Arial" w:hAnsi="Arial"/>
                  <w:sz w:val="18"/>
                  <w:szCs w:val="18"/>
                  <w:color w:val="0000FF"/>
                </w:rPr>
                <w:t>February 28, 2017,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70"/>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Indenture, dated May 22, 2019, between Euronet Worldwide, Inc. and U.S. Bank National Association, as trustee (filed as Exhibit 4.1 to</w:t>
              </w:r>
            </w:hyperlink>
          </w:p>
        </w:tc>
      </w:tr>
      <w:tr>
        <w:trPr>
          <w:trHeight w:val="19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540" w:type="dxa"/>
            <w:vAlign w:val="bottom"/>
            <w:tcBorders>
              <w:top w:val="single" w:sz="8" w:color="0000FF"/>
              <w:bottom w:val="single" w:sz="8" w:color="0000FF"/>
            </w:tcBorders>
            <w:gridSpan w:val="5"/>
          </w:tcPr>
          <w:p>
            <w:pPr>
              <w:spacing w:after="0" w:line="195" w:lineRule="exact"/>
              <w:rPr>
                <w:rFonts w:ascii="Arial" w:cs="Arial" w:eastAsia="Arial" w:hAnsi="Arial"/>
                <w:sz w:val="18"/>
                <w:szCs w:val="18"/>
                <w:color w:val="0000FF"/>
                <w:w w:val="90"/>
              </w:rPr>
            </w:pPr>
            <w:hyperlink r:id="rId269">
              <w:r>
                <w:rPr>
                  <w:rFonts w:ascii="Arial" w:cs="Arial" w:eastAsia="Arial" w:hAnsi="Arial"/>
                  <w:sz w:val="18"/>
                  <w:szCs w:val="18"/>
                  <w:color w:val="0000FF"/>
                  <w:w w:val="90"/>
                </w:rPr>
                <w:t>the Company's Current Report on Form 8-K filed on May 22, 2019 and incorporated by reference herein)</w:t>
              </w:r>
            </w:hyperlink>
          </w:p>
        </w:tc>
        <w:tc>
          <w:tcPr>
            <w:tcW w:w="2200" w:type="dxa"/>
            <w:vAlign w:val="bottom"/>
            <w:tcBorders>
              <w:top w:val="single" w:sz="8" w:color="0000FF"/>
            </w:tcBorders>
            <w:gridSpan w:val="5"/>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570"/>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Supplemental Indenture, dated May 22, 2019, between Euronet Worldwide, Inc. and U.S. Bank National Association, as trustee (filed as</w:t>
              </w:r>
            </w:hyperlink>
          </w:p>
        </w:tc>
      </w:tr>
      <w:tr>
        <w:trPr>
          <w:trHeight w:val="233"/>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Exhibit 4.2 to the Company's Current Report on Form 8-K filed on May 22, 2019 and incorporated by reference herein)</w:t>
              </w:r>
            </w:hyperlink>
          </w:p>
        </w:tc>
        <w:tc>
          <w:tcPr>
            <w:tcW w:w="120" w:type="dxa"/>
            <w:vAlign w:val="bottom"/>
            <w:gridSpan w:val="2"/>
          </w:tcPr>
          <w:p>
            <w:pPr>
              <w:spacing w:after="0"/>
              <w:rPr>
                <w:sz w:val="20"/>
                <w:szCs w:val="20"/>
                <w:color w:val="auto"/>
              </w:rPr>
            </w:pPr>
          </w:p>
        </w:tc>
      </w:tr>
      <w:tr>
        <w:trPr>
          <w:trHeight w:val="590"/>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FF"/>
              </w:rPr>
            </w:pPr>
            <w:hyperlink r:id="rId269">
              <w:r>
                <w:rPr>
                  <w:rFonts w:ascii="Arial" w:cs="Arial" w:eastAsia="Arial" w:hAnsi="Arial"/>
                  <w:sz w:val="18"/>
                  <w:szCs w:val="18"/>
                  <w:u w:val="single" w:color="auto"/>
                  <w:color w:val="0000FF"/>
                </w:rPr>
                <w:t>Form of 1.375% Senior Note due 2026 (included as Exhibit A to Exhibit 4.1 above)</w:t>
              </w:r>
              <w:r>
                <w:rPr>
                  <w:rFonts w:ascii="Arial" w:cs="Arial" w:eastAsia="Arial" w:hAnsi="Arial"/>
                  <w:sz w:val="18"/>
                  <w:szCs w:val="18"/>
                  <w:color w:val="0000FF"/>
                </w:rPr>
                <w:t>.</w:t>
              </w:r>
            </w:hyperlink>
          </w:p>
        </w:tc>
      </w:tr>
      <w:tr>
        <w:trPr>
          <w:trHeight w:val="551"/>
        </w:trPr>
        <w:tc>
          <w:tcPr>
            <w:tcW w:w="1140" w:type="dxa"/>
            <w:vAlign w:val="bottom"/>
          </w:tcPr>
          <w:p>
            <w:pPr>
              <w:jc w:val="right"/>
              <w:ind w:right="793"/>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EE"/>
                <w:w w:val="94"/>
              </w:rPr>
            </w:pPr>
            <w:hyperlink r:id="rId270">
              <w:r>
                <w:rPr>
                  <w:rFonts w:ascii="Arial" w:cs="Arial" w:eastAsia="Arial" w:hAnsi="Arial"/>
                  <w:sz w:val="18"/>
                  <w:szCs w:val="18"/>
                  <w:color w:val="0000EE"/>
                  <w:w w:val="94"/>
                </w:rPr>
                <w:t>Indenture, dated March 18, 2019, between the Company and U.S. Bank National Association, as trustee (filed as Exhibit 4.1 to the</w:t>
              </w:r>
            </w:hyperlink>
          </w:p>
        </w:tc>
      </w:tr>
      <w:tr>
        <w:trPr>
          <w:trHeight w:val="19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2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Company's Current Report on Form 8-K filed on March 18, 2019 and incorporated by reference herein)</w:t>
              </w:r>
            </w:hyperlink>
          </w:p>
        </w:tc>
        <w:tc>
          <w:tcPr>
            <w:tcW w:w="1920" w:type="dxa"/>
            <w:vAlign w:val="bottom"/>
            <w:tcBorders>
              <w:top w:val="single" w:sz="8" w:color="0000EE"/>
            </w:tcBorders>
            <w:gridSpan w:val="2"/>
          </w:tcPr>
          <w:p>
            <w:pPr>
              <w:spacing w:after="0"/>
              <w:rPr>
                <w:sz w:val="16"/>
                <w:szCs w:val="16"/>
                <w:color w:val="auto"/>
              </w:rPr>
            </w:pPr>
          </w:p>
        </w:tc>
        <w:tc>
          <w:tcPr>
            <w:tcW w:w="520" w:type="dxa"/>
            <w:vAlign w:val="bottom"/>
            <w:gridSpan w:val="6"/>
          </w:tcPr>
          <w:p>
            <w:pPr>
              <w:spacing w:after="0"/>
              <w:rPr>
                <w:sz w:val="16"/>
                <w:szCs w:val="16"/>
                <w:color w:val="auto"/>
              </w:rPr>
            </w:pPr>
          </w:p>
        </w:tc>
      </w:tr>
      <w:tr>
        <w:trPr>
          <w:trHeight w:val="421"/>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4"/>
          </w:tcPr>
          <w:p>
            <w:pPr>
              <w:jc w:val="right"/>
              <w:ind w:right="1389"/>
              <w:spacing w:after="0"/>
              <w:rPr>
                <w:sz w:val="20"/>
                <w:szCs w:val="20"/>
                <w:color w:val="auto"/>
              </w:rPr>
            </w:pPr>
            <w:r>
              <w:rPr>
                <w:rFonts w:ascii="Arial" w:cs="Arial" w:eastAsia="Arial" w:hAnsi="Arial"/>
                <w:sz w:val="18"/>
                <w:szCs w:val="18"/>
                <w:color w:val="auto"/>
              </w:rPr>
              <w:t>115</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4"/>
        </w:trPr>
        <w:tc>
          <w:tcPr>
            <w:tcW w:w="1360" w:type="dxa"/>
            <w:vAlign w:val="bottom"/>
          </w:tcPr>
          <w:p>
            <w:pPr>
              <w:spacing w:after="0"/>
              <w:rPr>
                <w:rFonts w:ascii="Arial" w:cs="Arial" w:eastAsia="Arial" w:hAnsi="Arial"/>
                <w:sz w:val="18"/>
                <w:szCs w:val="18"/>
                <w:u w:val="single" w:color="auto"/>
                <w:color w:val="0000EE"/>
                <w:w w:val="94"/>
              </w:rPr>
            </w:pPr>
            <w:hyperlink w:anchor="page3">
              <w:r>
                <w:rPr>
                  <w:rFonts w:ascii="Arial" w:cs="Arial" w:eastAsia="Arial" w:hAnsi="Arial"/>
                  <w:sz w:val="18"/>
                  <w:szCs w:val="18"/>
                  <w:u w:val="single" w:color="auto"/>
                  <w:color w:val="0000EE"/>
                  <w:w w:val="94"/>
                </w:rPr>
                <w:t>Table of Contents</w:t>
              </w:r>
            </w:hyperlink>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9880" w:type="dxa"/>
            <w:vAlign w:val="bottom"/>
            <w:gridSpan w:val="26"/>
          </w:tcPr>
          <w:p>
            <w:pPr>
              <w:spacing w:after="0"/>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Form of 0.75% Convertible Senior Note due 2049 (included as Exhibit A to Exhibit 4.4 above)</w:t>
              </w:r>
            </w:hyperlink>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9640" w:type="dxa"/>
            <w:vAlign w:val="bottom"/>
            <w:tcBorders>
              <w:bottom w:val="single" w:sz="8" w:color="0000EE"/>
            </w:tcBorders>
            <w:gridSpan w:val="18"/>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Description of Securities (filed as Exhibit 4.6 to the Company's Annual Report on Form 10-K filed on March 3, 2020 and incorporated</w:t>
              </w:r>
            </w:hyperlink>
          </w:p>
        </w:tc>
        <w:tc>
          <w:tcPr>
            <w:tcW w:w="240" w:type="dxa"/>
            <w:vAlign w:val="bottom"/>
            <w:gridSpan w:val="8"/>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EE"/>
              </w:rPr>
            </w:pPr>
            <w:hyperlink r:id="rId273">
              <w:r>
                <w:rPr>
                  <w:rFonts w:ascii="Arial" w:cs="Arial" w:eastAsia="Arial" w:hAnsi="Arial"/>
                  <w:sz w:val="18"/>
                  <w:szCs w:val="18"/>
                  <w:color w:val="0000EE"/>
                </w:rPr>
                <w:t>herein by reference.</w:t>
              </w:r>
            </w:hyperlink>
          </w:p>
        </w:tc>
      </w:tr>
      <w:tr>
        <w:trPr>
          <w:trHeight w:val="20"/>
        </w:trPr>
        <w:tc>
          <w:tcPr>
            <w:tcW w:w="13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9640" w:type="dxa"/>
            <w:vAlign w:val="bottom"/>
            <w:tcBorders>
              <w:bottom w:val="single" w:sz="8" w:color="0000FF"/>
            </w:tcBorders>
            <w:gridSpan w:val="18"/>
          </w:tcPr>
          <w:p>
            <w:pPr>
              <w:spacing w:after="0"/>
              <w:rPr>
                <w:rFonts w:ascii="Arial" w:cs="Arial" w:eastAsia="Arial" w:hAnsi="Arial"/>
                <w:sz w:val="18"/>
                <w:szCs w:val="18"/>
                <w:color w:val="0000FF"/>
                <w:w w:val="90"/>
              </w:rPr>
            </w:pPr>
            <w:hyperlink r:id="rId274">
              <w:r>
                <w:rPr>
                  <w:rFonts w:ascii="Arial" w:cs="Arial" w:eastAsia="Arial" w:hAnsi="Arial"/>
                  <w:sz w:val="18"/>
                  <w:szCs w:val="18"/>
                  <w:color w:val="0000FF"/>
                  <w:w w:val="90"/>
                </w:rPr>
                <w:t>Form of Employee Restricted Stock Grant Agreement pursuant to Euronet Worldwide, Inc. 2006 Stock Incentive Plan (filed as Exhibit</w:t>
              </w:r>
            </w:hyperlink>
          </w:p>
        </w:tc>
        <w:tc>
          <w:tcPr>
            <w:tcW w:w="240" w:type="dxa"/>
            <w:vAlign w:val="bottom"/>
            <w:gridSpan w:val="8"/>
          </w:tcPr>
          <w:p>
            <w:pPr>
              <w:spacing w:after="0"/>
              <w:rPr>
                <w:sz w:val="24"/>
                <w:szCs w:val="24"/>
                <w:color w:val="auto"/>
              </w:rPr>
            </w:pPr>
          </w:p>
        </w:tc>
      </w:tr>
      <w:tr>
        <w:trPr>
          <w:trHeight w:val="233"/>
        </w:trPr>
        <w:tc>
          <w:tcPr>
            <w:tcW w:w="1360" w:type="dxa"/>
            <w:vAlign w:val="bottom"/>
          </w:tcPr>
          <w:p>
            <w:pPr>
              <w:spacing w:after="0"/>
              <w:rPr>
                <w:sz w:val="20"/>
                <w:szCs w:val="20"/>
                <w:color w:val="auto"/>
              </w:rPr>
            </w:pPr>
          </w:p>
        </w:tc>
        <w:tc>
          <w:tcPr>
            <w:tcW w:w="9880" w:type="dxa"/>
            <w:vAlign w:val="bottom"/>
            <w:gridSpan w:val="26"/>
          </w:tcPr>
          <w:p>
            <w:pPr>
              <w:spacing w:after="0"/>
              <w:rPr>
                <w:rFonts w:ascii="Arial" w:cs="Arial" w:eastAsia="Arial" w:hAnsi="Arial"/>
                <w:sz w:val="18"/>
                <w:szCs w:val="18"/>
                <w:u w:val="single" w:color="auto"/>
                <w:color w:val="0000FF"/>
              </w:rPr>
            </w:pPr>
            <w:hyperlink r:id="rId274">
              <w:r>
                <w:rPr>
                  <w:rFonts w:ascii="Arial" w:cs="Arial" w:eastAsia="Arial" w:hAnsi="Arial"/>
                  <w:sz w:val="18"/>
                  <w:szCs w:val="18"/>
                  <w:u w:val="single" w:color="auto"/>
                  <w:color w:val="0000FF"/>
                </w:rPr>
                <w:t>10.8 to the Company's Quarterly Report on Form 10-Q filed on August 4, 2006, and incorporated by reference herein) (2)</w:t>
              </w:r>
            </w:hyperlink>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9880" w:type="dxa"/>
            <w:vAlign w:val="bottom"/>
            <w:gridSpan w:val="26"/>
          </w:tcPr>
          <w:p>
            <w:pPr>
              <w:spacing w:after="0"/>
              <w:rPr>
                <w:rFonts w:ascii="Arial" w:cs="Arial" w:eastAsia="Arial" w:hAnsi="Arial"/>
                <w:sz w:val="18"/>
                <w:szCs w:val="18"/>
                <w:color w:val="0000FF"/>
                <w:w w:val="95"/>
              </w:rPr>
            </w:pPr>
            <w:hyperlink r:id="rId275">
              <w:r>
                <w:rPr>
                  <w:rFonts w:ascii="Arial" w:cs="Arial" w:eastAsia="Arial" w:hAnsi="Arial"/>
                  <w:sz w:val="18"/>
                  <w:szCs w:val="18"/>
                  <w:color w:val="0000FF"/>
                  <w:w w:val="95"/>
                </w:rPr>
                <w:t>Form of Employee Restricted Stock Unit Agreement for Executives and Directors pursuant to Euronet Worldwide, Inc. 2006 Stock</w:t>
              </w:r>
            </w:hyperlink>
          </w:p>
        </w:tc>
      </w:tr>
      <w:tr>
        <w:trPr>
          <w:trHeight w:val="20"/>
        </w:trPr>
        <w:tc>
          <w:tcPr>
            <w:tcW w:w="13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FF"/>
                <w:w w:val="95"/>
              </w:rPr>
            </w:pPr>
            <w:hyperlink r:id="rId275">
              <w:r>
                <w:rPr>
                  <w:rFonts w:ascii="Arial" w:cs="Arial" w:eastAsia="Arial" w:hAnsi="Arial"/>
                  <w:sz w:val="18"/>
                  <w:szCs w:val="18"/>
                  <w:color w:val="0000FF"/>
                  <w:w w:val="95"/>
                </w:rPr>
                <w:t>Incentive Plan (filed as Exhibit 10.39 to the Company's Annual Report on Form 10- K filed February 28, 2007, and incorporated by</w:t>
              </w:r>
            </w:hyperlink>
          </w:p>
        </w:tc>
      </w:tr>
      <w:tr>
        <w:trPr>
          <w:trHeight w:val="194"/>
        </w:trPr>
        <w:tc>
          <w:tcPr>
            <w:tcW w:w="1360" w:type="dxa"/>
            <w:vAlign w:val="bottom"/>
          </w:tcPr>
          <w:p>
            <w:pPr>
              <w:spacing w:after="0"/>
              <w:rPr>
                <w:sz w:val="16"/>
                <w:szCs w:val="16"/>
                <w:color w:val="auto"/>
              </w:rPr>
            </w:pPr>
          </w:p>
        </w:tc>
        <w:tc>
          <w:tcPr>
            <w:tcW w:w="9420" w:type="dxa"/>
            <w:vAlign w:val="bottom"/>
            <w:tcBorders>
              <w:top w:val="single" w:sz="8" w:color="0000FF"/>
            </w:tcBorders>
            <w:gridSpan w:val="13"/>
          </w:tcPr>
          <w:p>
            <w:pPr>
              <w:spacing w:after="0" w:line="195" w:lineRule="exact"/>
              <w:rPr>
                <w:rFonts w:ascii="Arial" w:cs="Arial" w:eastAsia="Arial" w:hAnsi="Arial"/>
                <w:sz w:val="18"/>
                <w:szCs w:val="18"/>
                <w:color w:val="0000FF"/>
              </w:rPr>
            </w:pPr>
            <w:hyperlink r:id="rId275">
              <w:r>
                <w:rPr>
                  <w:rFonts w:ascii="Arial" w:cs="Arial" w:eastAsia="Arial" w:hAnsi="Arial"/>
                  <w:sz w:val="18"/>
                  <w:szCs w:val="18"/>
                  <w:color w:val="0000FF"/>
                </w:rPr>
                <w:t>reference herein) (2)</w:t>
              </w:r>
            </w:hyperlink>
          </w:p>
        </w:tc>
        <w:tc>
          <w:tcPr>
            <w:tcW w:w="460" w:type="dxa"/>
            <w:vAlign w:val="bottom"/>
            <w:gridSpan w:val="13"/>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9520" w:type="dxa"/>
            <w:vAlign w:val="bottom"/>
            <w:tcBorders>
              <w:bottom w:val="single" w:sz="8" w:color="0000FF"/>
            </w:tcBorders>
            <w:gridSpan w:val="14"/>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Employment Agreement dated June 19, 2007 between Euronet Worldwide, Inc. and Kevin J. Caponecchi (filed as Exhibit 10.1 to the</w:t>
              </w:r>
            </w:hyperlink>
          </w:p>
        </w:tc>
        <w:tc>
          <w:tcPr>
            <w:tcW w:w="360" w:type="dxa"/>
            <w:vAlign w:val="bottom"/>
            <w:gridSpan w:val="12"/>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FF"/>
              </w:rPr>
            </w:pPr>
            <w:hyperlink r:id="rId276">
              <w:r>
                <w:rPr>
                  <w:rFonts w:ascii="Arial" w:cs="Arial" w:eastAsia="Arial" w:hAnsi="Arial"/>
                  <w:sz w:val="18"/>
                  <w:szCs w:val="18"/>
                  <w:color w:val="0000FF"/>
                </w:rPr>
                <w:t>Company's Current Report on Form 8-K filed on June 25, 2007,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Borders>
              <w:bottom w:val="single" w:sz="8" w:color="0000FF"/>
            </w:tcBorders>
            <w:gridSpan w:val="25"/>
          </w:tcPr>
          <w:p>
            <w:pPr>
              <w:spacing w:after="0"/>
              <w:rPr>
                <w:rFonts w:ascii="Arial" w:cs="Arial" w:eastAsia="Arial" w:hAnsi="Arial"/>
                <w:sz w:val="18"/>
                <w:szCs w:val="18"/>
                <w:color w:val="0000FF"/>
                <w:w w:val="90"/>
              </w:rPr>
            </w:pPr>
            <w:hyperlink r:id="rId277">
              <w:r>
                <w:rPr>
                  <w:rFonts w:ascii="Arial" w:cs="Arial" w:eastAsia="Arial" w:hAnsi="Arial"/>
                  <w:sz w:val="18"/>
                  <w:szCs w:val="18"/>
                  <w:color w:val="0000FF"/>
                  <w:w w:val="90"/>
                </w:rPr>
                <w:t>Amended and Restated Employment Agreement dated April 10, 2008 between Euronet Worldwide, Inc. and Michael J. Brown, Chairman</w:t>
              </w:r>
            </w:hyperlink>
          </w:p>
        </w:tc>
        <w:tc>
          <w:tcPr>
            <w:tcW w:w="20" w:type="dxa"/>
            <w:vAlign w:val="bottom"/>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FF"/>
                <w:w w:val="99"/>
              </w:rPr>
            </w:pPr>
            <w:hyperlink r:id="rId277">
              <w:r>
                <w:rPr>
                  <w:rFonts w:ascii="Arial" w:cs="Arial" w:eastAsia="Arial" w:hAnsi="Arial"/>
                  <w:sz w:val="18"/>
                  <w:szCs w:val="18"/>
                  <w:color w:val="0000FF"/>
                  <w:w w:val="99"/>
                </w:rPr>
                <w:t>and Chief Executive Officer (filed as Exhibit 10.3 to the Company's Quarterly Report on Form 10-Q filed on May 9, 2008, and</w:t>
              </w:r>
            </w:hyperlink>
          </w:p>
        </w:tc>
      </w:tr>
      <w:tr>
        <w:trPr>
          <w:trHeight w:val="194"/>
        </w:trPr>
        <w:tc>
          <w:tcPr>
            <w:tcW w:w="1360" w:type="dxa"/>
            <w:vAlign w:val="bottom"/>
          </w:tcPr>
          <w:p>
            <w:pPr>
              <w:spacing w:after="0"/>
              <w:rPr>
                <w:sz w:val="16"/>
                <w:szCs w:val="16"/>
                <w:color w:val="auto"/>
              </w:rPr>
            </w:pPr>
          </w:p>
        </w:tc>
        <w:tc>
          <w:tcPr>
            <w:tcW w:w="2640" w:type="dxa"/>
            <w:vAlign w:val="bottom"/>
            <w:tcBorders>
              <w:top w:val="single" w:sz="8" w:color="0000FF"/>
              <w:bottom w:val="single" w:sz="8" w:color="0000FF"/>
            </w:tcBorders>
            <w:gridSpan w:val="3"/>
          </w:tcPr>
          <w:p>
            <w:pPr>
              <w:spacing w:after="0" w:line="195" w:lineRule="exact"/>
              <w:rPr>
                <w:rFonts w:ascii="Arial" w:cs="Arial" w:eastAsia="Arial" w:hAnsi="Arial"/>
                <w:sz w:val="18"/>
                <w:szCs w:val="18"/>
                <w:color w:val="0000FF"/>
                <w:w w:val="89"/>
              </w:rPr>
            </w:pPr>
            <w:hyperlink r:id="rId277">
              <w:r>
                <w:rPr>
                  <w:rFonts w:ascii="Arial" w:cs="Arial" w:eastAsia="Arial" w:hAnsi="Arial"/>
                  <w:sz w:val="18"/>
                  <w:szCs w:val="18"/>
                  <w:color w:val="0000FF"/>
                  <w:w w:val="89"/>
                </w:rPr>
                <w:t>incorporated by reference herein) (2)</w:t>
              </w:r>
            </w:hyperlink>
          </w:p>
        </w:tc>
        <w:tc>
          <w:tcPr>
            <w:tcW w:w="6440" w:type="dxa"/>
            <w:vAlign w:val="bottom"/>
            <w:tcBorders>
              <w:top w:val="single" w:sz="8" w:color="0000FF"/>
            </w:tcBorders>
            <w:gridSpan w:val="7"/>
          </w:tcPr>
          <w:p>
            <w:pPr>
              <w:spacing w:after="0"/>
              <w:rPr>
                <w:sz w:val="16"/>
                <w:szCs w:val="16"/>
                <w:color w:val="auto"/>
              </w:rPr>
            </w:pPr>
          </w:p>
        </w:tc>
        <w:tc>
          <w:tcPr>
            <w:tcW w:w="800" w:type="dxa"/>
            <w:vAlign w:val="bottom"/>
            <w:gridSpan w:val="16"/>
          </w:tcPr>
          <w:p>
            <w:pPr>
              <w:spacing w:after="0"/>
              <w:rPr>
                <w:sz w:val="16"/>
                <w:szCs w:val="16"/>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9640" w:type="dxa"/>
            <w:vAlign w:val="bottom"/>
            <w:tcBorders>
              <w:bottom w:val="single" w:sz="8" w:color="0000FF"/>
            </w:tcBorders>
            <w:gridSpan w:val="17"/>
          </w:tcPr>
          <w:p>
            <w:pPr>
              <w:spacing w:after="0"/>
              <w:rPr>
                <w:rFonts w:ascii="Arial" w:cs="Arial" w:eastAsia="Arial" w:hAnsi="Arial"/>
                <w:sz w:val="18"/>
                <w:szCs w:val="18"/>
                <w:color w:val="0000FF"/>
                <w:w w:val="90"/>
              </w:rPr>
            </w:pPr>
            <w:hyperlink r:id="rId278">
              <w:r>
                <w:rPr>
                  <w:rFonts w:ascii="Arial" w:cs="Arial" w:eastAsia="Arial" w:hAnsi="Arial"/>
                  <w:sz w:val="18"/>
                  <w:szCs w:val="18"/>
                  <w:color w:val="0000FF"/>
                  <w:w w:val="90"/>
                </w:rPr>
                <w:t>Amended and Restated Employment Agreement dated April 10, 2008 between Euronet Worldwide, Inc. and Rick L. Weller, Executive</w:t>
              </w:r>
            </w:hyperlink>
          </w:p>
        </w:tc>
        <w:tc>
          <w:tcPr>
            <w:tcW w:w="240" w:type="dxa"/>
            <w:vAlign w:val="bottom"/>
            <w:gridSpan w:val="9"/>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FF"/>
                <w:w w:val="91"/>
              </w:rPr>
            </w:pPr>
            <w:hyperlink r:id="rId278">
              <w:r>
                <w:rPr>
                  <w:rFonts w:ascii="Arial" w:cs="Arial" w:eastAsia="Arial" w:hAnsi="Arial"/>
                  <w:sz w:val="18"/>
                  <w:szCs w:val="18"/>
                  <w:color w:val="0000FF"/>
                  <w:w w:val="91"/>
                </w:rPr>
                <w:t>Vice President and Chief Financial Officer (filed as Exhibit 10.4 to the Company's Quarterly Report on Form 10-Q filed on May 9, 2008,</w:t>
              </w:r>
            </w:hyperlink>
          </w:p>
        </w:tc>
      </w:tr>
      <w:tr>
        <w:trPr>
          <w:trHeight w:val="194"/>
        </w:trPr>
        <w:tc>
          <w:tcPr>
            <w:tcW w:w="1360" w:type="dxa"/>
            <w:vAlign w:val="bottom"/>
          </w:tcPr>
          <w:p>
            <w:pPr>
              <w:spacing w:after="0"/>
              <w:rPr>
                <w:sz w:val="16"/>
                <w:szCs w:val="16"/>
                <w:color w:val="auto"/>
              </w:rPr>
            </w:pPr>
          </w:p>
        </w:tc>
        <w:tc>
          <w:tcPr>
            <w:tcW w:w="9800" w:type="dxa"/>
            <w:vAlign w:val="bottom"/>
            <w:tcBorders>
              <w:top w:val="single" w:sz="8" w:color="0000FF"/>
            </w:tcBorders>
            <w:gridSpan w:val="23"/>
          </w:tcPr>
          <w:p>
            <w:pPr>
              <w:spacing w:after="0" w:line="195" w:lineRule="exact"/>
              <w:rPr>
                <w:rFonts w:ascii="Arial" w:cs="Arial" w:eastAsia="Arial" w:hAnsi="Arial"/>
                <w:sz w:val="18"/>
                <w:szCs w:val="18"/>
                <w:color w:val="0000FF"/>
              </w:rPr>
            </w:pPr>
            <w:hyperlink r:id="rId278">
              <w:r>
                <w:rPr>
                  <w:rFonts w:ascii="Arial" w:cs="Arial" w:eastAsia="Arial" w:hAnsi="Arial"/>
                  <w:sz w:val="18"/>
                  <w:szCs w:val="18"/>
                  <w:color w:val="0000FF"/>
                </w:rPr>
                <w:t>and incorporated by reference herein) (2)</w:t>
              </w:r>
            </w:hyperlink>
          </w:p>
        </w:tc>
        <w:tc>
          <w:tcPr>
            <w:tcW w:w="80" w:type="dxa"/>
            <w:vAlign w:val="bottom"/>
            <w:gridSpan w:val="3"/>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9740" w:type="dxa"/>
            <w:vAlign w:val="bottom"/>
            <w:tcBorders>
              <w:bottom w:val="single" w:sz="8" w:color="0000FF"/>
            </w:tcBorders>
            <w:gridSpan w:val="21"/>
          </w:tcPr>
          <w:p>
            <w:pPr>
              <w:spacing w:after="0"/>
              <w:rPr>
                <w:rFonts w:ascii="Arial" w:cs="Arial" w:eastAsia="Arial" w:hAnsi="Arial"/>
                <w:sz w:val="18"/>
                <w:szCs w:val="18"/>
                <w:color w:val="0000FF"/>
                <w:w w:val="90"/>
              </w:rPr>
            </w:pPr>
            <w:hyperlink r:id="rId279">
              <w:r>
                <w:rPr>
                  <w:rFonts w:ascii="Arial" w:cs="Arial" w:eastAsia="Arial" w:hAnsi="Arial"/>
                  <w:sz w:val="18"/>
                  <w:szCs w:val="18"/>
                  <w:color w:val="0000FF"/>
                  <w:w w:val="90"/>
                </w:rPr>
                <w:t>Amended and Restated Employment Agreement dated April 10, 2008 between Euronet Worldwide, Inc. and Juan C. Bianchi, Executive</w:t>
              </w:r>
            </w:hyperlink>
          </w:p>
        </w:tc>
        <w:tc>
          <w:tcPr>
            <w:tcW w:w="140" w:type="dxa"/>
            <w:vAlign w:val="bottom"/>
            <w:gridSpan w:val="5"/>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20" w:type="dxa"/>
            <w:vAlign w:val="bottom"/>
            <w:tcBorders>
              <w:bottom w:val="single" w:sz="8" w:color="0000FF"/>
            </w:tcBorders>
            <w:gridSpan w:val="24"/>
          </w:tcPr>
          <w:p>
            <w:pPr>
              <w:spacing w:after="0" w:line="195" w:lineRule="exact"/>
              <w:rPr>
                <w:rFonts w:ascii="Arial" w:cs="Arial" w:eastAsia="Arial" w:hAnsi="Arial"/>
                <w:sz w:val="18"/>
                <w:szCs w:val="18"/>
                <w:color w:val="0000FF"/>
                <w:w w:val="90"/>
              </w:rPr>
            </w:pPr>
            <w:hyperlink r:id="rId279">
              <w:r>
                <w:rPr>
                  <w:rFonts w:ascii="Arial" w:cs="Arial" w:eastAsia="Arial" w:hAnsi="Arial"/>
                  <w:sz w:val="18"/>
                  <w:szCs w:val="18"/>
                  <w:color w:val="0000FF"/>
                  <w:w w:val="90"/>
                </w:rPr>
                <w:t>Vice President and Managing Director, Money Transfer Segment (filed as Exhibit 10.6 to the Company's Quarterly Report on Form 10-Q</w:t>
              </w:r>
            </w:hyperlink>
          </w:p>
        </w:tc>
        <w:tc>
          <w:tcPr>
            <w:tcW w:w="60" w:type="dxa"/>
            <w:vAlign w:val="bottom"/>
            <w:gridSpan w:val="2"/>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4540" w:type="dxa"/>
            <w:vAlign w:val="bottom"/>
            <w:tcBorders>
              <w:bottom w:val="single" w:sz="8" w:color="0000FF"/>
            </w:tcBorders>
            <w:gridSpan w:val="6"/>
          </w:tcPr>
          <w:p>
            <w:pPr>
              <w:spacing w:after="0" w:line="195" w:lineRule="exact"/>
              <w:rPr>
                <w:rFonts w:ascii="Arial" w:cs="Arial" w:eastAsia="Arial" w:hAnsi="Arial"/>
                <w:sz w:val="18"/>
                <w:szCs w:val="18"/>
                <w:color w:val="0000FF"/>
                <w:w w:val="90"/>
              </w:rPr>
            </w:pPr>
            <w:hyperlink r:id="rId279">
              <w:r>
                <w:rPr>
                  <w:rFonts w:ascii="Arial" w:cs="Arial" w:eastAsia="Arial" w:hAnsi="Arial"/>
                  <w:sz w:val="18"/>
                  <w:szCs w:val="18"/>
                  <w:color w:val="0000FF"/>
                  <w:w w:val="90"/>
                </w:rPr>
                <w:t>filed on May 9, 2008, and incorporated by reference herein) (2)</w:t>
              </w:r>
            </w:hyperlink>
          </w:p>
        </w:tc>
        <w:tc>
          <w:tcPr>
            <w:tcW w:w="5340" w:type="dxa"/>
            <w:vAlign w:val="bottom"/>
            <w:gridSpan w:val="20"/>
          </w:tcPr>
          <w:p>
            <w:pPr>
              <w:spacing w:after="0"/>
              <w:rPr>
                <w:sz w:val="16"/>
                <w:szCs w:val="16"/>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9680" w:type="dxa"/>
            <w:vAlign w:val="bottom"/>
            <w:tcBorders>
              <w:bottom w:val="single" w:sz="8" w:color="0000FF"/>
            </w:tcBorders>
            <w:gridSpan w:val="19"/>
          </w:tcPr>
          <w:p>
            <w:pPr>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Form of Indemnification Agreement, (filed as Exhibit 10.1 to the Company's Current Report on Form 8-K filed on December 22, 2008,</w:t>
              </w:r>
            </w:hyperlink>
          </w:p>
        </w:tc>
        <w:tc>
          <w:tcPr>
            <w:tcW w:w="200" w:type="dxa"/>
            <w:vAlign w:val="bottom"/>
            <w:gridSpan w:val="7"/>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880" w:type="dxa"/>
            <w:vAlign w:val="bottom"/>
            <w:gridSpan w:val="26"/>
          </w:tcPr>
          <w:p>
            <w:pPr>
              <w:spacing w:after="0" w:line="195" w:lineRule="exact"/>
              <w:rPr>
                <w:rFonts w:ascii="Arial" w:cs="Arial" w:eastAsia="Arial" w:hAnsi="Arial"/>
                <w:sz w:val="18"/>
                <w:szCs w:val="18"/>
                <w:color w:val="0000FF"/>
              </w:rPr>
            </w:pPr>
            <w:hyperlink r:id="rId280">
              <w:r>
                <w:rPr>
                  <w:rFonts w:ascii="Arial" w:cs="Arial" w:eastAsia="Arial" w:hAnsi="Arial"/>
                  <w:sz w:val="18"/>
                  <w:szCs w:val="18"/>
                  <w:color w:val="0000FF"/>
                </w:rPr>
                <w:t>and incorporated by reference herein)</w:t>
              </w:r>
            </w:hyperlink>
          </w:p>
        </w:tc>
      </w:tr>
      <w:tr>
        <w:trPr>
          <w:trHeight w:val="20"/>
        </w:trPr>
        <w:tc>
          <w:tcPr>
            <w:tcW w:w="136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600" w:type="dxa"/>
            <w:vAlign w:val="bottom"/>
            <w:tcBorders>
              <w:bottom w:val="single" w:sz="8" w:color="0000FF"/>
            </w:tcBorders>
            <w:gridSpan w:val="16"/>
          </w:tcPr>
          <w:p>
            <w:pPr>
              <w:spacing w:after="0"/>
              <w:rPr>
                <w:rFonts w:ascii="Arial" w:cs="Arial" w:eastAsia="Arial" w:hAnsi="Arial"/>
                <w:sz w:val="18"/>
                <w:szCs w:val="18"/>
                <w:color w:val="0000FF"/>
                <w:w w:val="90"/>
              </w:rPr>
            </w:pPr>
            <w:hyperlink r:id="rId281">
              <w:r>
                <w:rPr>
                  <w:rFonts w:ascii="Arial" w:cs="Arial" w:eastAsia="Arial" w:hAnsi="Arial"/>
                  <w:sz w:val="18"/>
                  <w:szCs w:val="18"/>
                  <w:color w:val="0000FF"/>
                  <w:w w:val="90"/>
                </w:rPr>
                <w:t>Euronet Worldwide, Inc. 2006 Stock Incentive Plan, as amended and restated (filed as Appendix A to the Company's Definitive Proxy</w:t>
              </w:r>
            </w:hyperlink>
          </w:p>
        </w:tc>
        <w:tc>
          <w:tcPr>
            <w:tcW w:w="280" w:type="dxa"/>
            <w:vAlign w:val="bottom"/>
            <w:gridSpan w:val="10"/>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5440" w:type="dxa"/>
            <w:vAlign w:val="bottom"/>
            <w:tcBorders>
              <w:bottom w:val="single" w:sz="8" w:color="0000FF"/>
            </w:tcBorders>
            <w:gridSpan w:val="7"/>
          </w:tcPr>
          <w:p>
            <w:pPr>
              <w:spacing w:after="0" w:line="195" w:lineRule="exact"/>
              <w:rPr>
                <w:rFonts w:ascii="Arial" w:cs="Arial" w:eastAsia="Arial" w:hAnsi="Arial"/>
                <w:sz w:val="18"/>
                <w:szCs w:val="18"/>
                <w:color w:val="0000FF"/>
                <w:w w:val="90"/>
              </w:rPr>
            </w:pPr>
            <w:hyperlink r:id="rId281">
              <w:r>
                <w:rPr>
                  <w:rFonts w:ascii="Arial" w:cs="Arial" w:eastAsia="Arial" w:hAnsi="Arial"/>
                  <w:sz w:val="18"/>
                  <w:szCs w:val="18"/>
                  <w:color w:val="0000FF"/>
                  <w:w w:val="90"/>
                </w:rPr>
                <w:t>Statement filed on April 15, 2013, and incorporated by reference herein) (2)</w:t>
              </w:r>
            </w:hyperlink>
          </w:p>
        </w:tc>
        <w:tc>
          <w:tcPr>
            <w:tcW w:w="4440" w:type="dxa"/>
            <w:vAlign w:val="bottom"/>
            <w:gridSpan w:val="19"/>
          </w:tcPr>
          <w:p>
            <w:pPr>
              <w:spacing w:after="0"/>
              <w:rPr>
                <w:sz w:val="16"/>
                <w:szCs w:val="16"/>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760" w:type="dxa"/>
            <w:vAlign w:val="bottom"/>
            <w:tcBorders>
              <w:bottom w:val="single" w:sz="8" w:color="0000FF"/>
            </w:tcBorders>
            <w:gridSpan w:val="22"/>
          </w:tcPr>
          <w:p>
            <w:pPr>
              <w:spacing w:after="0"/>
              <w:rPr>
                <w:rFonts w:ascii="Arial" w:cs="Arial" w:eastAsia="Arial" w:hAnsi="Arial"/>
                <w:sz w:val="18"/>
                <w:szCs w:val="18"/>
                <w:color w:val="0000FF"/>
                <w:w w:val="90"/>
              </w:rPr>
            </w:pPr>
            <w:hyperlink r:id="rId282">
              <w:r>
                <w:rPr>
                  <w:rFonts w:ascii="Arial" w:cs="Arial" w:eastAsia="Arial" w:hAnsi="Arial"/>
                  <w:sz w:val="18"/>
                  <w:szCs w:val="18"/>
                  <w:color w:val="0000FF"/>
                  <w:w w:val="90"/>
                </w:rPr>
                <w:t>Form of Employee Restricted Stock Unit Agreement, as amended, pursuant to Euronet Worldwide, Inc. 2006 Stock Incentive Plan (filed</w:t>
              </w:r>
            </w:hyperlink>
          </w:p>
        </w:tc>
        <w:tc>
          <w:tcPr>
            <w:tcW w:w="120" w:type="dxa"/>
            <w:vAlign w:val="bottom"/>
            <w:gridSpan w:val="4"/>
          </w:tcPr>
          <w:p>
            <w:pPr>
              <w:spacing w:after="0"/>
              <w:rPr>
                <w:sz w:val="24"/>
                <w:szCs w:val="24"/>
                <w:color w:val="auto"/>
              </w:rPr>
            </w:pPr>
          </w:p>
        </w:tc>
      </w:tr>
      <w:tr>
        <w:trPr>
          <w:trHeight w:val="233"/>
        </w:trPr>
        <w:tc>
          <w:tcPr>
            <w:tcW w:w="1360" w:type="dxa"/>
            <w:vAlign w:val="bottom"/>
          </w:tcPr>
          <w:p>
            <w:pPr>
              <w:spacing w:after="0"/>
              <w:rPr>
                <w:sz w:val="20"/>
                <w:szCs w:val="20"/>
                <w:color w:val="auto"/>
              </w:rPr>
            </w:pPr>
          </w:p>
        </w:tc>
        <w:tc>
          <w:tcPr>
            <w:tcW w:w="9880" w:type="dxa"/>
            <w:vAlign w:val="bottom"/>
            <w:gridSpan w:val="26"/>
          </w:tcPr>
          <w:p>
            <w:pPr>
              <w:spacing w:after="0"/>
              <w:rPr>
                <w:rFonts w:ascii="Arial" w:cs="Arial" w:eastAsia="Arial" w:hAnsi="Arial"/>
                <w:sz w:val="18"/>
                <w:szCs w:val="18"/>
                <w:u w:val="single" w:color="auto"/>
                <w:color w:val="0000FF"/>
                <w:w w:val="96"/>
              </w:rPr>
            </w:pPr>
            <w:hyperlink r:id="rId282">
              <w:r>
                <w:rPr>
                  <w:rFonts w:ascii="Arial" w:cs="Arial" w:eastAsia="Arial" w:hAnsi="Arial"/>
                  <w:sz w:val="18"/>
                  <w:szCs w:val="18"/>
                  <w:u w:val="single" w:color="auto"/>
                  <w:color w:val="0000FF"/>
                  <w:w w:val="96"/>
                </w:rPr>
                <w:t>as Exhibit 10.1 to the Company's Quarterly Report on Form 10-Q filed on May 7, 2010 and incorporated by reference herein) (2)</w:t>
              </w:r>
            </w:hyperlink>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580" w:type="dxa"/>
            <w:vAlign w:val="bottom"/>
            <w:tcBorders>
              <w:bottom w:val="single" w:sz="8" w:color="0000FF"/>
            </w:tcBorders>
            <w:gridSpan w:val="15"/>
          </w:tcPr>
          <w:p>
            <w:pPr>
              <w:spacing w:after="0"/>
              <w:rPr>
                <w:rFonts w:ascii="Arial" w:cs="Arial" w:eastAsia="Arial" w:hAnsi="Arial"/>
                <w:sz w:val="18"/>
                <w:szCs w:val="18"/>
                <w:color w:val="0000FF"/>
                <w:w w:val="90"/>
              </w:rPr>
            </w:pPr>
            <w:hyperlink r:id="rId283">
              <w:r>
                <w:rPr>
                  <w:rFonts w:ascii="Arial" w:cs="Arial" w:eastAsia="Arial" w:hAnsi="Arial"/>
                  <w:sz w:val="18"/>
                  <w:szCs w:val="18"/>
                  <w:color w:val="0000FF"/>
                  <w:w w:val="90"/>
                </w:rPr>
                <w:t>Form of Nonqualified Stock Option Agreement, as amended, pursuant to Euronet Worldwide, Inc. 2006 Stock Incentive Plan (filed as</w:t>
              </w:r>
            </w:hyperlink>
          </w:p>
        </w:tc>
        <w:tc>
          <w:tcPr>
            <w:tcW w:w="300" w:type="dxa"/>
            <w:vAlign w:val="bottom"/>
            <w:gridSpan w:val="11"/>
          </w:tcPr>
          <w:p>
            <w:pPr>
              <w:spacing w:after="0"/>
              <w:rPr>
                <w:sz w:val="24"/>
                <w:szCs w:val="24"/>
                <w:color w:val="auto"/>
              </w:rPr>
            </w:pPr>
          </w:p>
        </w:tc>
      </w:tr>
      <w:tr>
        <w:trPr>
          <w:trHeight w:val="233"/>
        </w:trPr>
        <w:tc>
          <w:tcPr>
            <w:tcW w:w="1360" w:type="dxa"/>
            <w:vAlign w:val="bottom"/>
          </w:tcPr>
          <w:p>
            <w:pPr>
              <w:spacing w:after="0"/>
              <w:rPr>
                <w:sz w:val="20"/>
                <w:szCs w:val="20"/>
                <w:color w:val="auto"/>
              </w:rPr>
            </w:pPr>
          </w:p>
        </w:tc>
        <w:tc>
          <w:tcPr>
            <w:tcW w:w="9880" w:type="dxa"/>
            <w:vAlign w:val="bottom"/>
            <w:gridSpan w:val="26"/>
          </w:tcPr>
          <w:p>
            <w:pPr>
              <w:spacing w:after="0"/>
              <w:rPr>
                <w:rFonts w:ascii="Arial" w:cs="Arial" w:eastAsia="Arial" w:hAnsi="Arial"/>
                <w:sz w:val="18"/>
                <w:szCs w:val="18"/>
                <w:u w:val="single" w:color="auto"/>
                <w:color w:val="0000FF"/>
                <w:w w:val="99"/>
              </w:rPr>
            </w:pPr>
            <w:hyperlink r:id="rId283">
              <w:r>
                <w:rPr>
                  <w:rFonts w:ascii="Arial" w:cs="Arial" w:eastAsia="Arial" w:hAnsi="Arial"/>
                  <w:sz w:val="18"/>
                  <w:szCs w:val="18"/>
                  <w:u w:val="single" w:color="auto"/>
                  <w:color w:val="0000FF"/>
                  <w:w w:val="99"/>
                </w:rPr>
                <w:t>Exhibit 10.2 to the Company's Quarterly Report on Form 10-Q filed on May 7, 2010 and incorporated by reference herein) (2)</w:t>
              </w:r>
            </w:hyperlink>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10.11.1</w:t>
            </w:r>
          </w:p>
        </w:tc>
        <w:tc>
          <w:tcPr>
            <w:tcW w:w="9880" w:type="dxa"/>
            <w:vAlign w:val="bottom"/>
            <w:gridSpan w:val="26"/>
          </w:tcPr>
          <w:p>
            <w:pPr>
              <w:spacing w:after="0"/>
              <w:rPr>
                <w:rFonts w:ascii="Arial" w:cs="Arial" w:eastAsia="Arial" w:hAnsi="Arial"/>
                <w:sz w:val="18"/>
                <w:szCs w:val="18"/>
                <w:color w:val="0000FF"/>
                <w:w w:val="98"/>
              </w:rPr>
            </w:pPr>
            <w:hyperlink r:id="rId284">
              <w:r>
                <w:rPr>
                  <w:rFonts w:ascii="Arial" w:cs="Arial" w:eastAsia="Arial" w:hAnsi="Arial"/>
                  <w:sz w:val="18"/>
                  <w:szCs w:val="18"/>
                  <w:color w:val="0000FF"/>
                  <w:w w:val="98"/>
                </w:rPr>
                <w:t>Employment Agreement dated May 21, 2018 between Euronet Worldwide, Inc. and Nikos Fountas (filed as Exhibit 10.1 to the</w:t>
              </w:r>
            </w:hyperlink>
          </w:p>
        </w:tc>
      </w:tr>
      <w:tr>
        <w:trPr>
          <w:trHeight w:val="233"/>
        </w:trPr>
        <w:tc>
          <w:tcPr>
            <w:tcW w:w="1360" w:type="dxa"/>
            <w:vAlign w:val="bottom"/>
          </w:tcPr>
          <w:p>
            <w:pPr>
              <w:spacing w:after="0"/>
              <w:rPr>
                <w:sz w:val="20"/>
                <w:szCs w:val="20"/>
                <w:color w:val="auto"/>
              </w:rPr>
            </w:pPr>
          </w:p>
        </w:tc>
        <w:tc>
          <w:tcPr>
            <w:tcW w:w="906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284">
              <w:r>
                <w:rPr>
                  <w:rFonts w:ascii="Arial" w:cs="Arial" w:eastAsia="Arial" w:hAnsi="Arial"/>
                  <w:sz w:val="18"/>
                  <w:szCs w:val="18"/>
                  <w:u w:val="single" w:color="auto"/>
                  <w:color w:val="0000FF"/>
                </w:rPr>
                <w:t>Company's Current Report on Form 8-K filed on May 23, 2018 and incorporated by reference herein) (2)</w:t>
              </w:r>
            </w:hyperlink>
          </w:p>
        </w:tc>
        <w:tc>
          <w:tcPr>
            <w:tcW w:w="820" w:type="dxa"/>
            <w:vAlign w:val="bottom"/>
            <w:gridSpan w:val="17"/>
          </w:tcPr>
          <w:p>
            <w:pPr>
              <w:spacing w:after="0"/>
              <w:rPr>
                <w:sz w:val="20"/>
                <w:szCs w:val="20"/>
                <w:color w:val="auto"/>
              </w:rPr>
            </w:pPr>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10.11.2</w:t>
            </w:r>
          </w:p>
        </w:tc>
        <w:tc>
          <w:tcPr>
            <w:tcW w:w="9880" w:type="dxa"/>
            <w:vAlign w:val="bottom"/>
            <w:gridSpan w:val="26"/>
          </w:tcPr>
          <w:p>
            <w:pPr>
              <w:spacing w:after="0"/>
              <w:rPr>
                <w:rFonts w:ascii="Arial" w:cs="Arial" w:eastAsia="Arial" w:hAnsi="Arial"/>
                <w:sz w:val="18"/>
                <w:szCs w:val="18"/>
                <w:color w:val="0000FF"/>
                <w:w w:val="90"/>
              </w:rPr>
            </w:pPr>
            <w:hyperlink r:id="rId285">
              <w:r>
                <w:rPr>
                  <w:rFonts w:ascii="Arial" w:cs="Arial" w:eastAsia="Arial" w:hAnsi="Arial"/>
                  <w:sz w:val="18"/>
                  <w:szCs w:val="18"/>
                  <w:color w:val="0000FF"/>
                  <w:w w:val="90"/>
                </w:rPr>
                <w:t>Deed of Amendment to the Service Agreement dated May 21, 2018 between Euronet Worldwide, Inc. and Nikos Fountas (filed as Exhibit</w:t>
              </w:r>
            </w:hyperlink>
          </w:p>
        </w:tc>
      </w:tr>
      <w:tr>
        <w:trPr>
          <w:trHeight w:val="233"/>
        </w:trPr>
        <w:tc>
          <w:tcPr>
            <w:tcW w:w="1360" w:type="dxa"/>
            <w:vAlign w:val="bottom"/>
          </w:tcPr>
          <w:p>
            <w:pPr>
              <w:spacing w:after="0"/>
              <w:rPr>
                <w:sz w:val="20"/>
                <w:szCs w:val="20"/>
                <w:color w:val="auto"/>
              </w:rPr>
            </w:pPr>
          </w:p>
        </w:tc>
        <w:tc>
          <w:tcPr>
            <w:tcW w:w="9860" w:type="dxa"/>
            <w:vAlign w:val="bottom"/>
            <w:tcBorders>
              <w:top w:val="single" w:sz="8" w:color="0000FF"/>
            </w:tcBorders>
            <w:gridSpan w:val="25"/>
          </w:tcPr>
          <w:p>
            <w:pPr>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10.2 to the Company's Quarterly Report on Form 10-Q filed on August 3, 2018 and incorporated by reference herein) (2)</w:t>
              </w:r>
            </w:hyperlink>
          </w:p>
        </w:tc>
        <w:tc>
          <w:tcPr>
            <w:tcW w:w="20" w:type="dxa"/>
            <w:vAlign w:val="bottom"/>
          </w:tcPr>
          <w:p>
            <w:pPr>
              <w:spacing w:after="0"/>
              <w:rPr>
                <w:sz w:val="20"/>
                <w:szCs w:val="20"/>
                <w:color w:val="auto"/>
              </w:rPr>
            </w:pPr>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400" w:type="dxa"/>
            <w:vAlign w:val="bottom"/>
            <w:tcBorders>
              <w:bottom w:val="single" w:sz="8" w:color="0000FF"/>
            </w:tcBorders>
            <w:gridSpan w:val="12"/>
          </w:tcPr>
          <w:p>
            <w:pPr>
              <w:spacing w:after="0"/>
              <w:rPr>
                <w:rFonts w:ascii="Arial" w:cs="Arial" w:eastAsia="Arial" w:hAnsi="Arial"/>
                <w:sz w:val="18"/>
                <w:szCs w:val="18"/>
                <w:color w:val="0000FF"/>
                <w:w w:val="90"/>
              </w:rPr>
            </w:pPr>
            <w:hyperlink r:id="rId286">
              <w:r>
                <w:rPr>
                  <w:rFonts w:ascii="Arial" w:cs="Arial" w:eastAsia="Arial" w:hAnsi="Arial"/>
                  <w:sz w:val="18"/>
                  <w:szCs w:val="18"/>
                  <w:color w:val="0000FF"/>
                  <w:w w:val="90"/>
                </w:rPr>
                <w:t>Bonus Compensation Agreement between Euronet Worldwide, Inc. and Nikos Fountas, Senior Vice President - Managing Director,</w:t>
              </w:r>
            </w:hyperlink>
          </w:p>
        </w:tc>
        <w:tc>
          <w:tcPr>
            <w:tcW w:w="480" w:type="dxa"/>
            <w:vAlign w:val="bottom"/>
            <w:gridSpan w:val="14"/>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9720" w:type="dxa"/>
            <w:vAlign w:val="bottom"/>
            <w:tcBorders>
              <w:bottom w:val="single" w:sz="8" w:color="0000FF"/>
            </w:tcBorders>
            <w:gridSpan w:val="20"/>
          </w:tcPr>
          <w:p>
            <w:pPr>
              <w:spacing w:after="0" w:line="195" w:lineRule="exact"/>
              <w:rPr>
                <w:rFonts w:ascii="Arial" w:cs="Arial" w:eastAsia="Arial" w:hAnsi="Arial"/>
                <w:sz w:val="18"/>
                <w:szCs w:val="18"/>
                <w:color w:val="0000FF"/>
                <w:w w:val="90"/>
              </w:rPr>
            </w:pPr>
            <w:hyperlink r:id="rId286">
              <w:r>
                <w:rPr>
                  <w:rFonts w:ascii="Arial" w:cs="Arial" w:eastAsia="Arial" w:hAnsi="Arial"/>
                  <w:sz w:val="18"/>
                  <w:szCs w:val="18"/>
                  <w:color w:val="0000FF"/>
                  <w:w w:val="90"/>
                </w:rPr>
                <w:t>Europe EFT Processing Segment (filed as Exhibit 10.26 to the Company's Annual Report on Form 10-K filed on February 25, 2011 and</w:t>
              </w:r>
            </w:hyperlink>
          </w:p>
        </w:tc>
        <w:tc>
          <w:tcPr>
            <w:tcW w:w="160" w:type="dxa"/>
            <w:vAlign w:val="bottom"/>
            <w:gridSpan w:val="6"/>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2640" w:type="dxa"/>
            <w:vAlign w:val="bottom"/>
            <w:tcBorders>
              <w:bottom w:val="single" w:sz="8" w:color="0000FF"/>
            </w:tcBorders>
            <w:gridSpan w:val="3"/>
          </w:tcPr>
          <w:p>
            <w:pPr>
              <w:spacing w:after="0" w:line="195" w:lineRule="exact"/>
              <w:rPr>
                <w:rFonts w:ascii="Arial" w:cs="Arial" w:eastAsia="Arial" w:hAnsi="Arial"/>
                <w:sz w:val="18"/>
                <w:szCs w:val="18"/>
                <w:color w:val="0000FF"/>
                <w:w w:val="89"/>
              </w:rPr>
            </w:pPr>
            <w:hyperlink r:id="rId286">
              <w:r>
                <w:rPr>
                  <w:rFonts w:ascii="Arial" w:cs="Arial" w:eastAsia="Arial" w:hAnsi="Arial"/>
                  <w:sz w:val="18"/>
                  <w:szCs w:val="18"/>
                  <w:color w:val="0000FF"/>
                  <w:w w:val="89"/>
                </w:rPr>
                <w:t>incorporated by reference herein) (2)</w:t>
              </w:r>
            </w:hyperlink>
          </w:p>
        </w:tc>
        <w:tc>
          <w:tcPr>
            <w:tcW w:w="7240" w:type="dxa"/>
            <w:vAlign w:val="bottom"/>
            <w:gridSpan w:val="23"/>
          </w:tcPr>
          <w:p>
            <w:pPr>
              <w:spacing w:after="0"/>
              <w:rPr>
                <w:sz w:val="16"/>
                <w:szCs w:val="16"/>
                <w:color w:val="auto"/>
              </w:rPr>
            </w:pPr>
          </w:p>
        </w:tc>
      </w:tr>
      <w:tr>
        <w:trPr>
          <w:trHeight w:val="394"/>
        </w:trPr>
        <w:tc>
          <w:tcPr>
            <w:tcW w:w="1360" w:type="dxa"/>
            <w:vAlign w:val="bottom"/>
          </w:tcPr>
          <w:p>
            <w:pPr>
              <w:spacing w:after="0"/>
              <w:rPr>
                <w:sz w:val="24"/>
                <w:szCs w:val="24"/>
                <w:color w:val="auto"/>
              </w:rPr>
            </w:pPr>
          </w:p>
        </w:tc>
        <w:tc>
          <w:tcPr>
            <w:tcW w:w="4540" w:type="dxa"/>
            <w:vAlign w:val="bottom"/>
            <w:gridSpan w:val="6"/>
          </w:tcPr>
          <w:p>
            <w:pPr>
              <w:ind w:left="4140"/>
              <w:spacing w:after="0"/>
              <w:rPr>
                <w:sz w:val="20"/>
                <w:szCs w:val="20"/>
                <w:color w:val="auto"/>
              </w:rPr>
            </w:pPr>
            <w:r>
              <w:rPr>
                <w:rFonts w:ascii="Arial" w:cs="Arial" w:eastAsia="Arial" w:hAnsi="Arial"/>
                <w:sz w:val="18"/>
                <w:szCs w:val="18"/>
                <w:color w:val="auto"/>
              </w:rPr>
              <w:t>116</w:t>
            </w:r>
          </w:p>
        </w:tc>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p>
      <w:pPr>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289">
        <w:r>
          <w:rPr>
            <w:rFonts w:ascii="Arial" w:cs="Arial" w:eastAsia="Arial" w:hAnsi="Arial"/>
            <w:sz w:val="16"/>
            <w:szCs w:val="16"/>
            <w:u w:val="single" w:color="auto"/>
            <w:color w:val="0000FF"/>
          </w:rPr>
          <w:t>Euronet Worldwide, Inc. Employee Stock Purchase Plan, as amended (filed as Exhibit 10.18 to the Company's Annual Report on Form</w:t>
        </w:r>
      </w:hyperlink>
    </w:p>
    <w:p>
      <w:pPr>
        <w:spacing w:after="0" w:line="7" w:lineRule="exact"/>
        <w:rPr>
          <w:sz w:val="20"/>
          <w:szCs w:val="20"/>
          <w:color w:val="auto"/>
        </w:rPr>
      </w:pPr>
    </w:p>
    <w:p>
      <w:pPr>
        <w:ind w:left="1360"/>
        <w:spacing w:after="0"/>
        <w:rPr>
          <w:rFonts w:ascii="Arial" w:cs="Arial" w:eastAsia="Arial" w:hAnsi="Arial"/>
          <w:sz w:val="18"/>
          <w:szCs w:val="18"/>
          <w:u w:val="single" w:color="auto"/>
          <w:color w:val="0000FF"/>
        </w:rPr>
      </w:pPr>
      <w:hyperlink r:id="rId289">
        <w:r>
          <w:rPr>
            <w:rFonts w:ascii="Arial" w:cs="Arial" w:eastAsia="Arial" w:hAnsi="Arial"/>
            <w:sz w:val="18"/>
            <w:szCs w:val="18"/>
            <w:u w:val="single" w:color="auto"/>
            <w:color w:val="0000FF"/>
          </w:rPr>
          <w:t>10-K filed on February 26, 2016 and incorporated by reference herein) (2)</w:t>
        </w:r>
      </w:hyperlink>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860" w:type="dxa"/>
            <w:vAlign w:val="bottom"/>
            <w:gridSpan w:val="16"/>
          </w:tcPr>
          <w:p>
            <w:pPr>
              <w:spacing w:after="0"/>
              <w:rPr>
                <w:rFonts w:ascii="Arial" w:cs="Arial" w:eastAsia="Arial" w:hAnsi="Arial"/>
                <w:sz w:val="18"/>
                <w:szCs w:val="18"/>
                <w:color w:val="0000FF"/>
                <w:w w:val="93"/>
              </w:rPr>
            </w:pPr>
            <w:hyperlink r:id="rId290">
              <w:r>
                <w:rPr>
                  <w:rFonts w:ascii="Arial" w:cs="Arial" w:eastAsia="Arial" w:hAnsi="Arial"/>
                  <w:sz w:val="18"/>
                  <w:szCs w:val="18"/>
                  <w:color w:val="0000FF"/>
                  <w:w w:val="93"/>
                </w:rPr>
                <w:t>Euronet Worldwide, Inc. Executive Annual Incentive Plan, as amended and restated (filed as Appendix B to the Company's Definitive</w:t>
              </w:r>
            </w:hyperlink>
          </w:p>
        </w:tc>
      </w:tr>
      <w:tr>
        <w:trPr>
          <w:trHeight w:val="194"/>
        </w:trPr>
        <w:tc>
          <w:tcPr>
            <w:tcW w:w="1360" w:type="dxa"/>
            <w:vAlign w:val="bottom"/>
          </w:tcPr>
          <w:p>
            <w:pPr>
              <w:spacing w:after="0"/>
              <w:rPr>
                <w:sz w:val="16"/>
                <w:szCs w:val="16"/>
                <w:color w:val="auto"/>
              </w:rPr>
            </w:pPr>
          </w:p>
        </w:tc>
        <w:tc>
          <w:tcPr>
            <w:tcW w:w="7160" w:type="dxa"/>
            <w:vAlign w:val="bottom"/>
            <w:tcBorders>
              <w:top w:val="single" w:sz="8" w:color="0000FF"/>
              <w:bottom w:val="single" w:sz="8" w:color="0000FF"/>
            </w:tcBorders>
            <w:gridSpan w:val="8"/>
          </w:tcPr>
          <w:p>
            <w:pPr>
              <w:spacing w:after="0" w:line="195" w:lineRule="exact"/>
              <w:rPr>
                <w:rFonts w:ascii="Arial" w:cs="Arial" w:eastAsia="Arial" w:hAnsi="Arial"/>
                <w:sz w:val="18"/>
                <w:szCs w:val="18"/>
                <w:color w:val="0000FF"/>
                <w:w w:val="90"/>
              </w:rPr>
            </w:pPr>
            <w:hyperlink r:id="rId290">
              <w:r>
                <w:rPr>
                  <w:rFonts w:ascii="Arial" w:cs="Arial" w:eastAsia="Arial" w:hAnsi="Arial"/>
                  <w:sz w:val="18"/>
                  <w:szCs w:val="18"/>
                  <w:color w:val="0000FF"/>
                  <w:w w:val="90"/>
                </w:rPr>
                <w:t>Proxy Statement on Form DEF 14A filed on April 8, 2016 and incorporated by reference herein) (2)</w:t>
              </w:r>
            </w:hyperlink>
          </w:p>
        </w:tc>
        <w:tc>
          <w:tcPr>
            <w:tcW w:w="72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180" w:type="dxa"/>
            <w:vAlign w:val="bottom"/>
            <w:gridSpan w:val="11"/>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Credit agreement dated as of October 17, 2018 among Euronet Worldwide, Inc. and certain subsidiaries, as borrowers, certain</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8980" w:type="dxa"/>
            <w:vAlign w:val="bottom"/>
            <w:gridSpan w:val="10"/>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1360" w:type="dxa"/>
            <w:vAlign w:val="bottom"/>
          </w:tcPr>
          <w:p>
            <w:pPr>
              <w:spacing w:after="0"/>
              <w:rPr>
                <w:sz w:val="16"/>
                <w:szCs w:val="16"/>
                <w:color w:val="auto"/>
              </w:rPr>
            </w:pPr>
          </w:p>
        </w:tc>
        <w:tc>
          <w:tcPr>
            <w:tcW w:w="9280" w:type="dxa"/>
            <w:vAlign w:val="bottom"/>
            <w:tcBorders>
              <w:bottom w:val="single" w:sz="8" w:color="0000FF"/>
            </w:tcBorders>
            <w:gridSpan w:val="12"/>
          </w:tcPr>
          <w:p>
            <w:pPr>
              <w:spacing w:after="0" w:line="195" w:lineRule="exact"/>
              <w:rPr>
                <w:rFonts w:ascii="Arial" w:cs="Arial" w:eastAsia="Arial" w:hAnsi="Arial"/>
                <w:sz w:val="18"/>
                <w:szCs w:val="18"/>
                <w:color w:val="0000FF"/>
                <w:w w:val="89"/>
              </w:rPr>
            </w:pPr>
            <w:hyperlink r:id="rId291">
              <w:r>
                <w:rPr>
                  <w:rFonts w:ascii="Arial" w:cs="Arial" w:eastAsia="Arial" w:hAnsi="Arial"/>
                  <w:sz w:val="18"/>
                  <w:szCs w:val="18"/>
                  <w:color w:val="0000FF"/>
                  <w:w w:val="89"/>
                </w:rPr>
                <w:t>subsidiaries, as guarantors, the lenders party thereto, Bank of America, N.A., as administrative agent, Wells Fargo Bank, National</w:t>
              </w:r>
            </w:hyperlink>
          </w:p>
        </w:tc>
        <w:tc>
          <w:tcPr>
            <w:tcW w:w="580" w:type="dxa"/>
            <w:vAlign w:val="bottom"/>
            <w:gridSpan w:val="4"/>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9860" w:type="dxa"/>
            <w:vAlign w:val="bottom"/>
            <w:tcBorders>
              <w:bottom w:val="single" w:sz="8" w:color="0000FF"/>
            </w:tcBorders>
            <w:gridSpan w:val="16"/>
          </w:tcPr>
          <w:p>
            <w:pPr>
              <w:spacing w:after="0" w:line="195" w:lineRule="exact"/>
              <w:rPr>
                <w:rFonts w:ascii="Arial" w:cs="Arial" w:eastAsia="Arial" w:hAnsi="Arial"/>
                <w:sz w:val="18"/>
                <w:szCs w:val="18"/>
                <w:color w:val="0000FF"/>
                <w:w w:val="90"/>
              </w:rPr>
            </w:pPr>
            <w:hyperlink r:id="rId291">
              <w:r>
                <w:rPr>
                  <w:rFonts w:ascii="Arial" w:cs="Arial" w:eastAsia="Arial" w:hAnsi="Arial"/>
                  <w:sz w:val="18"/>
                  <w:szCs w:val="18"/>
                  <w:color w:val="0000FF"/>
                  <w:w w:val="90"/>
                </w:rPr>
                <w:t>Association and U.S. Bank National Association, as co-syndication agents, et al. (filed as Exhibit 10.1 to the Company's Quarterly Report</w:t>
              </w:r>
            </w:hyperlink>
          </w:p>
        </w:tc>
      </w:tr>
      <w:tr>
        <w:trPr>
          <w:trHeight w:val="194"/>
        </w:trPr>
        <w:tc>
          <w:tcPr>
            <w:tcW w:w="1360" w:type="dxa"/>
            <w:vAlign w:val="bottom"/>
          </w:tcPr>
          <w:p>
            <w:pPr>
              <w:spacing w:after="0"/>
              <w:rPr>
                <w:sz w:val="16"/>
                <w:szCs w:val="16"/>
                <w:color w:val="auto"/>
              </w:rPr>
            </w:pPr>
          </w:p>
        </w:tc>
        <w:tc>
          <w:tcPr>
            <w:tcW w:w="5740" w:type="dxa"/>
            <w:vAlign w:val="bottom"/>
            <w:tcBorders>
              <w:bottom w:val="single" w:sz="8" w:color="0000FF"/>
            </w:tcBorders>
            <w:gridSpan w:val="6"/>
          </w:tcPr>
          <w:p>
            <w:pPr>
              <w:spacing w:after="0" w:line="195" w:lineRule="exact"/>
              <w:rPr>
                <w:rFonts w:ascii="Arial" w:cs="Arial" w:eastAsia="Arial" w:hAnsi="Arial"/>
                <w:sz w:val="18"/>
                <w:szCs w:val="18"/>
                <w:color w:val="0000FF"/>
                <w:w w:val="90"/>
              </w:rPr>
            </w:pPr>
            <w:hyperlink r:id="rId291">
              <w:r>
                <w:rPr>
                  <w:rFonts w:ascii="Arial" w:cs="Arial" w:eastAsia="Arial" w:hAnsi="Arial"/>
                  <w:sz w:val="18"/>
                  <w:szCs w:val="18"/>
                  <w:color w:val="0000FF"/>
                  <w:w w:val="90"/>
                </w:rPr>
                <w:t>on Form 10-Q filed on November 2, 2018 and incorporated by reference herein)</w:t>
              </w:r>
            </w:hyperlink>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63"/>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gridSpan w:val="16"/>
          </w:tcPr>
          <w:p>
            <w:pPr>
              <w:spacing w:after="0"/>
              <w:rPr>
                <w:rFonts w:ascii="Arial" w:cs="Arial" w:eastAsia="Arial" w:hAnsi="Arial"/>
                <w:sz w:val="18"/>
                <w:szCs w:val="18"/>
                <w:color w:val="0000FF"/>
                <w:w w:val="93"/>
              </w:rPr>
            </w:pPr>
            <w:hyperlink r:id="rId292">
              <w:r>
                <w:rPr>
                  <w:rFonts w:ascii="Arial" w:cs="Arial" w:eastAsia="Arial" w:hAnsi="Arial"/>
                  <w:sz w:val="18"/>
                  <w:szCs w:val="18"/>
                  <w:color w:val="0000FF"/>
                  <w:w w:val="93"/>
                </w:rPr>
                <w:t>Form of Nonqualified Stock Option Agreement, as amended, pursuant to Euronet Worldwide, Inc. 2006 Stock Incentive Plan (filed as</w:t>
              </w:r>
            </w:hyperlink>
          </w:p>
        </w:tc>
      </w:tr>
      <w:tr>
        <w:trPr>
          <w:trHeight w:val="233"/>
        </w:trPr>
        <w:tc>
          <w:tcPr>
            <w:tcW w:w="1360" w:type="dxa"/>
            <w:vAlign w:val="bottom"/>
          </w:tcPr>
          <w:p>
            <w:pPr>
              <w:spacing w:after="0"/>
              <w:rPr>
                <w:sz w:val="20"/>
                <w:szCs w:val="20"/>
                <w:color w:val="auto"/>
              </w:rPr>
            </w:pPr>
          </w:p>
        </w:tc>
        <w:tc>
          <w:tcPr>
            <w:tcW w:w="9180" w:type="dxa"/>
            <w:vAlign w:val="bottom"/>
            <w:tcBorders>
              <w:top w:val="single" w:sz="8" w:color="0000FF"/>
            </w:tcBorders>
            <w:gridSpan w:val="11"/>
          </w:tcPr>
          <w:p>
            <w:pPr>
              <w:spacing w:after="0"/>
              <w:rPr>
                <w:rFonts w:ascii="Arial" w:cs="Arial" w:eastAsia="Arial" w:hAnsi="Arial"/>
                <w:sz w:val="18"/>
                <w:szCs w:val="18"/>
                <w:u w:val="single" w:color="auto"/>
                <w:color w:val="0000FF"/>
                <w:w w:val="91"/>
              </w:rPr>
            </w:pPr>
            <w:hyperlink r:id="rId292">
              <w:r>
                <w:rPr>
                  <w:rFonts w:ascii="Arial" w:cs="Arial" w:eastAsia="Arial" w:hAnsi="Arial"/>
                  <w:sz w:val="18"/>
                  <w:szCs w:val="18"/>
                  <w:u w:val="single" w:color="auto"/>
                  <w:color w:val="0000FF"/>
                  <w:w w:val="91"/>
                </w:rPr>
                <w:t>Exhibit 10.19 to the Company's Annual Report on Form 10-K filed on March 1, 2018 and incorporated by reference herein) (2)</w:t>
              </w:r>
            </w:hyperlink>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gridSpan w:val="16"/>
          </w:tcPr>
          <w:p>
            <w:pPr>
              <w:spacing w:after="0"/>
              <w:rPr>
                <w:rFonts w:ascii="Arial" w:cs="Arial" w:eastAsia="Arial" w:hAnsi="Arial"/>
                <w:sz w:val="18"/>
                <w:szCs w:val="18"/>
                <w:color w:val="0000FF"/>
                <w:w w:val="91"/>
              </w:rPr>
            </w:pPr>
            <w:hyperlink r:id="rId293">
              <w:r>
                <w:rPr>
                  <w:rFonts w:ascii="Arial" w:cs="Arial" w:eastAsia="Arial" w:hAnsi="Arial"/>
                  <w:sz w:val="18"/>
                  <w:szCs w:val="18"/>
                  <w:color w:val="0000FF"/>
                  <w:w w:val="91"/>
                </w:rPr>
                <w:t>Form of Restricted Stock Unit Agreement, as amended, pursuant to Euronet Worldwide, Inc. 2006 Stock Incentive Plan (filed as Exhibit</w:t>
              </w:r>
            </w:hyperlink>
          </w:p>
        </w:tc>
      </w:tr>
      <w:tr>
        <w:trPr>
          <w:trHeight w:val="233"/>
        </w:trPr>
        <w:tc>
          <w:tcPr>
            <w:tcW w:w="1360" w:type="dxa"/>
            <w:vAlign w:val="bottom"/>
          </w:tcPr>
          <w:p>
            <w:pPr>
              <w:spacing w:after="0"/>
              <w:rPr>
                <w:sz w:val="20"/>
                <w:szCs w:val="20"/>
                <w:color w:val="auto"/>
              </w:rPr>
            </w:pPr>
          </w:p>
        </w:tc>
        <w:tc>
          <w:tcPr>
            <w:tcW w:w="9180" w:type="dxa"/>
            <w:vAlign w:val="bottom"/>
            <w:tcBorders>
              <w:top w:val="single" w:sz="8" w:color="0000FF"/>
            </w:tcBorders>
            <w:gridSpan w:val="11"/>
          </w:tcPr>
          <w:p>
            <w:pPr>
              <w:spacing w:after="0"/>
              <w:rPr>
                <w:rFonts w:ascii="Arial" w:cs="Arial" w:eastAsia="Arial" w:hAnsi="Arial"/>
                <w:sz w:val="18"/>
                <w:szCs w:val="18"/>
                <w:u w:val="single" w:color="auto"/>
                <w:color w:val="0000FF"/>
                <w:w w:val="97"/>
              </w:rPr>
            </w:pPr>
            <w:hyperlink r:id="rId293">
              <w:r>
                <w:rPr>
                  <w:rFonts w:ascii="Arial" w:cs="Arial" w:eastAsia="Arial" w:hAnsi="Arial"/>
                  <w:sz w:val="18"/>
                  <w:szCs w:val="18"/>
                  <w:u w:val="single" w:color="auto"/>
                  <w:color w:val="0000FF"/>
                  <w:w w:val="97"/>
                </w:rPr>
                <w:t>10.20 to the Company's Annual Report on Form 10-K filed on March 1, 2018 and incorporated by reference herein) (2)</w:t>
              </w:r>
            </w:hyperlink>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r>
      <w:tr>
        <w:trPr>
          <w:trHeight w:val="444"/>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89"/>
              </w:rPr>
            </w:pPr>
            <w:hyperlink r:id="rId294">
              <w:r>
                <w:rPr>
                  <w:rFonts w:ascii="Arial" w:cs="Arial" w:eastAsia="Arial" w:hAnsi="Arial"/>
                  <w:sz w:val="18"/>
                  <w:szCs w:val="18"/>
                  <w:color w:val="0000EE"/>
                  <w:w w:val="89"/>
                </w:rPr>
                <w:t>Letter Amendment No. 2 dated as of September 17, 2020 to the Credit Agreement dated as of October 17, 2018, as Amended by Letter</w:t>
              </w:r>
            </w:hyperlink>
          </w:p>
        </w:tc>
        <w:tc>
          <w:tcPr>
            <w:tcW w:w="200" w:type="dxa"/>
            <w:vAlign w:val="bottom"/>
            <w:gridSpan w:val="2"/>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0000EE"/>
              </w:rPr>
              <w:t>A</w:t>
            </w:r>
          </w:p>
        </w:tc>
        <w:tc>
          <w:tcPr>
            <w:tcW w:w="440" w:type="dxa"/>
            <w:vAlign w:val="bottom"/>
          </w:tcPr>
          <w:p>
            <w:pPr>
              <w:ind w:left="160"/>
              <w:spacing w:after="0"/>
              <w:rPr>
                <w:sz w:val="20"/>
                <w:szCs w:val="20"/>
                <w:color w:val="auto"/>
              </w:rPr>
            </w:pPr>
            <w:r>
              <w:rPr>
                <w:rFonts w:ascii="Arial" w:cs="Arial" w:eastAsia="Arial" w:hAnsi="Arial"/>
                <w:sz w:val="18"/>
                <w:szCs w:val="18"/>
                <w:color w:val="0000EE"/>
              </w:rPr>
              <w:t>d</w:t>
            </w:r>
          </w:p>
        </w:tc>
        <w:tc>
          <w:tcPr>
            <w:tcW w:w="1200" w:type="dxa"/>
            <w:vAlign w:val="bottom"/>
          </w:tcPr>
          <w:p>
            <w:pPr>
              <w:ind w:left="200"/>
              <w:spacing w:after="0"/>
              <w:rPr>
                <w:sz w:val="20"/>
                <w:szCs w:val="20"/>
                <w:color w:val="auto"/>
              </w:rPr>
            </w:pPr>
            <w:r>
              <w:rPr>
                <w:rFonts w:ascii="Arial" w:cs="Arial" w:eastAsia="Arial" w:hAnsi="Arial"/>
                <w:sz w:val="18"/>
                <w:szCs w:val="18"/>
                <w:color w:val="0000EE"/>
              </w:rPr>
              <w:t>N  1 d  d</w:t>
            </w:r>
          </w:p>
        </w:tc>
        <w:tc>
          <w:tcPr>
            <w:tcW w:w="640" w:type="dxa"/>
            <w:vAlign w:val="bottom"/>
          </w:tcPr>
          <w:p>
            <w:pPr>
              <w:ind w:left="160"/>
              <w:spacing w:after="0"/>
              <w:rPr>
                <w:sz w:val="20"/>
                <w:szCs w:val="20"/>
                <w:color w:val="auto"/>
              </w:rPr>
            </w:pPr>
            <w:r>
              <w:rPr>
                <w:rFonts w:ascii="Arial" w:cs="Arial" w:eastAsia="Arial" w:hAnsi="Arial"/>
                <w:sz w:val="18"/>
                <w:szCs w:val="18"/>
                <w:color w:val="0000EE"/>
              </w:rPr>
              <w:t>f A</w:t>
            </w:r>
          </w:p>
        </w:tc>
        <w:tc>
          <w:tcPr>
            <w:tcW w:w="2500" w:type="dxa"/>
            <w:vAlign w:val="bottom"/>
          </w:tcPr>
          <w:p>
            <w:pPr>
              <w:ind w:left="200"/>
              <w:spacing w:after="0"/>
              <w:rPr>
                <w:sz w:val="20"/>
                <w:szCs w:val="20"/>
                <w:color w:val="auto"/>
              </w:rPr>
            </w:pPr>
            <w:r>
              <w:rPr>
                <w:rFonts w:ascii="Arial" w:cs="Arial" w:eastAsia="Arial" w:hAnsi="Arial"/>
                <w:sz w:val="18"/>
                <w:szCs w:val="18"/>
                <w:color w:val="0000EE"/>
              </w:rPr>
              <w:t>26 2019 (fil d   E hibi 10 1</w:t>
            </w:r>
          </w:p>
        </w:tc>
        <w:tc>
          <w:tcPr>
            <w:tcW w:w="680" w:type="dxa"/>
            <w:vAlign w:val="bottom"/>
          </w:tcPr>
          <w:p>
            <w:pPr>
              <w:ind w:left="140"/>
              <w:spacing w:after="0"/>
              <w:rPr>
                <w:sz w:val="20"/>
                <w:szCs w:val="20"/>
                <w:color w:val="auto"/>
              </w:rPr>
            </w:pPr>
            <w:r>
              <w:rPr>
                <w:rFonts w:ascii="Arial" w:cs="Arial" w:eastAsia="Arial" w:hAnsi="Arial"/>
                <w:sz w:val="18"/>
                <w:szCs w:val="18"/>
                <w:color w:val="0000EE"/>
              </w:rPr>
              <w:t>h  C</w:t>
            </w:r>
          </w:p>
        </w:tc>
        <w:tc>
          <w:tcPr>
            <w:tcW w:w="880" w:type="dxa"/>
            <w:vAlign w:val="bottom"/>
          </w:tcPr>
          <w:p>
            <w:pPr>
              <w:ind w:left="380"/>
              <w:spacing w:after="0"/>
              <w:rPr>
                <w:sz w:val="20"/>
                <w:szCs w:val="20"/>
                <w:color w:val="auto"/>
              </w:rPr>
            </w:pPr>
            <w:r>
              <w:rPr>
                <w:rFonts w:ascii="Arial" w:cs="Arial" w:eastAsia="Arial" w:hAnsi="Arial"/>
                <w:sz w:val="18"/>
                <w:szCs w:val="18"/>
                <w:color w:val="0000EE"/>
              </w:rPr>
              <w:t>' C</w:t>
            </w:r>
          </w:p>
        </w:tc>
        <w:tc>
          <w:tcPr>
            <w:tcW w:w="540" w:type="dxa"/>
            <w:vAlign w:val="bottom"/>
          </w:tcPr>
          <w:p>
            <w:pPr>
              <w:ind w:left="240"/>
              <w:spacing w:after="0"/>
              <w:rPr>
                <w:sz w:val="20"/>
                <w:szCs w:val="20"/>
                <w:color w:val="auto"/>
              </w:rPr>
            </w:pPr>
            <w:r>
              <w:rPr>
                <w:rFonts w:ascii="Arial" w:cs="Arial" w:eastAsia="Arial" w:hAnsi="Arial"/>
                <w:sz w:val="18"/>
                <w:szCs w:val="18"/>
                <w:color w:val="0000EE"/>
              </w:rPr>
              <w:t>R</w:t>
            </w:r>
          </w:p>
        </w:tc>
        <w:tc>
          <w:tcPr>
            <w:tcW w:w="720" w:type="dxa"/>
            <w:vAlign w:val="bottom"/>
          </w:tcPr>
          <w:p>
            <w:pPr>
              <w:ind w:left="440"/>
              <w:spacing w:after="0"/>
              <w:rPr>
                <w:sz w:val="20"/>
                <w:szCs w:val="20"/>
                <w:color w:val="auto"/>
              </w:rPr>
            </w:pPr>
            <w:r>
              <w:rPr>
                <w:rFonts w:ascii="Arial" w:cs="Arial" w:eastAsia="Arial" w:hAnsi="Arial"/>
                <w:sz w:val="18"/>
                <w:szCs w:val="18"/>
                <w:color w:val="0000EE"/>
              </w:rPr>
              <w:t>F</w:t>
            </w:r>
          </w:p>
        </w:tc>
        <w:tc>
          <w:tcPr>
            <w:tcW w:w="1300" w:type="dxa"/>
            <w:vAlign w:val="bottom"/>
            <w:gridSpan w:val="2"/>
          </w:tcPr>
          <w:p>
            <w:pPr>
              <w:ind w:left="160"/>
              <w:spacing w:after="0"/>
              <w:rPr>
                <w:sz w:val="20"/>
                <w:szCs w:val="20"/>
                <w:color w:val="auto"/>
              </w:rPr>
            </w:pPr>
            <w:r>
              <w:rPr>
                <w:rFonts w:ascii="Arial" w:cs="Arial" w:eastAsia="Arial" w:hAnsi="Arial"/>
                <w:sz w:val="18"/>
                <w:szCs w:val="18"/>
                <w:color w:val="0000EE"/>
              </w:rPr>
              <w:t>8 K fil d S</w:t>
            </w:r>
          </w:p>
        </w:tc>
        <w:tc>
          <w:tcPr>
            <w:tcW w:w="680" w:type="dxa"/>
            <w:vAlign w:val="bottom"/>
            <w:gridSpan w:val="5"/>
          </w:tcPr>
          <w:p>
            <w:pPr>
              <w:ind w:left="80"/>
              <w:spacing w:after="0"/>
              <w:rPr>
                <w:sz w:val="20"/>
                <w:szCs w:val="20"/>
                <w:color w:val="auto"/>
              </w:rPr>
            </w:pPr>
            <w:r>
              <w:rPr>
                <w:rFonts w:ascii="Arial" w:cs="Arial" w:eastAsia="Arial" w:hAnsi="Arial"/>
                <w:sz w:val="18"/>
                <w:szCs w:val="18"/>
                <w:color w:val="0000EE"/>
              </w:rPr>
              <w:t>b  18</w:t>
            </w:r>
          </w:p>
        </w:tc>
      </w:tr>
      <w:tr>
        <w:trPr>
          <w:trHeight w:val="321"/>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2560" w:type="dxa"/>
            <w:vAlign w:val="bottom"/>
            <w:gridSpan w:val="4"/>
          </w:tcPr>
          <w:p>
            <w:pPr>
              <w:spacing w:after="0"/>
              <w:rPr>
                <w:rFonts w:ascii="Arial" w:cs="Arial" w:eastAsia="Arial" w:hAnsi="Arial"/>
                <w:sz w:val="18"/>
                <w:szCs w:val="18"/>
                <w:u w:val="single" w:color="auto"/>
                <w:color w:val="0000EE"/>
                <w:w w:val="96"/>
              </w:rPr>
            </w:pPr>
            <w:hyperlink w:anchor="page123">
              <w:r>
                <w:rPr>
                  <w:rFonts w:ascii="Arial" w:cs="Arial" w:eastAsia="Arial" w:hAnsi="Arial"/>
                  <w:sz w:val="18"/>
                  <w:szCs w:val="18"/>
                  <w:u w:val="single" w:color="auto"/>
                  <w:color w:val="0000EE"/>
                  <w:w w:val="96"/>
                </w:rPr>
                <w:t>Subsidiaries of the Registrant (1)</w:t>
              </w:r>
            </w:hyperlink>
          </w:p>
        </w:tc>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5060" w:type="dxa"/>
            <w:vAlign w:val="bottom"/>
            <w:gridSpan w:val="5"/>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Consent of Independent Registered Public Accounting Firm (1)</w:t>
              </w:r>
            </w:hyperlink>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5060" w:type="dxa"/>
            <w:vAlign w:val="bottom"/>
            <w:gridSpan w:val="5"/>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Section 302 — Certification of Chief Executive Officer (1)</w:t>
              </w:r>
            </w:hyperlink>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9"/>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5060" w:type="dxa"/>
            <w:vAlign w:val="bottom"/>
            <w:gridSpan w:val="5"/>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Section 302 — Certification of Chief Financial Officer (1)</w:t>
              </w:r>
            </w:hyperlink>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9"/>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5060" w:type="dxa"/>
            <w:vAlign w:val="bottom"/>
            <w:gridSpan w:val="5"/>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Section 906 Certification of Chief Executive Officer (3)</w:t>
              </w:r>
            </w:hyperlink>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9"/>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5060" w:type="dxa"/>
            <w:vAlign w:val="bottom"/>
            <w:gridSpan w:val="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906 Certification of Chief Financial Officer (3)</w:t>
              </w:r>
            </w:hyperlink>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2" w:lineRule="exact"/>
        <w:rPr>
          <w:sz w:val="20"/>
          <w:szCs w:val="20"/>
          <w:color w:val="auto"/>
        </w:rPr>
      </w:pPr>
    </w:p>
    <w:p>
      <w:pPr>
        <w:ind w:left="1360" w:right="100" w:hanging="1353"/>
        <w:spacing w:after="0" w:line="288" w:lineRule="auto"/>
        <w:tabs>
          <w:tab w:leader="none" w:pos="1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Annual Report on Form 10-K for the year ended December 31, 2020, formatted inline XBRL (eXtensible Business Reporting Language): (i) Consolidated Balance Sheets at December 31, 2020 and 2019,</w:t>
      </w:r>
    </w:p>
    <w:p>
      <w:pPr>
        <w:ind w:left="1360" w:right="80"/>
        <w:spacing w:after="0" w:line="271" w:lineRule="auto"/>
        <w:rPr>
          <w:rFonts w:ascii="Arial" w:cs="Arial" w:eastAsia="Arial" w:hAnsi="Arial"/>
          <w:sz w:val="16"/>
          <w:szCs w:val="16"/>
          <w:color w:val="auto"/>
        </w:rPr>
      </w:pPr>
      <w:r>
        <w:rPr>
          <w:rFonts w:ascii="Arial" w:cs="Arial" w:eastAsia="Arial" w:hAnsi="Arial"/>
          <w:sz w:val="17"/>
          <w:szCs w:val="17"/>
          <w:color w:val="auto"/>
        </w:rPr>
        <w:t>(ii) Consolidated Statements of Income for the years ended December 31, 2020, 2019 and 2018, (iii) Consolidated Statements of Comprehensive Income for the years ended December 31, 2020, 2019 and 2018, (iv) Consolidated Statements of Changes in Equity for the years ended December 31, 2020, 2019 and 2018, (v) Consolidated Statements of Cash Flows for the years ended December 31, 2020, 2019 and 2018, and (vi) Notes to the Consolidated Financial Statements.</w:t>
      </w:r>
    </w:p>
    <w:p>
      <w:pPr>
        <w:spacing w:after="0" w:line="204" w:lineRule="exact"/>
        <w:rPr>
          <w:sz w:val="20"/>
          <w:szCs w:val="20"/>
          <w:color w:val="auto"/>
        </w:rPr>
      </w:pPr>
    </w:p>
    <w:p>
      <w:pPr>
        <w:ind w:left="1360" w:hanging="1353"/>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(contained in Exhibit 101)</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156" w:lineRule="exact"/>
        <w:rPr>
          <w:sz w:val="20"/>
          <w:szCs w:val="20"/>
          <w:color w:val="auto"/>
        </w:rPr>
      </w:pPr>
    </w:p>
    <w:p>
      <w:pPr>
        <w:ind w:left="460" w:hanging="426"/>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5" w:lineRule="exact"/>
        <w:rPr>
          <w:rFonts w:ascii="Arial" w:cs="Arial" w:eastAsia="Arial" w:hAnsi="Arial"/>
          <w:sz w:val="18"/>
          <w:szCs w:val="18"/>
          <w:color w:val="auto"/>
        </w:rPr>
      </w:pPr>
    </w:p>
    <w:p>
      <w:pPr>
        <w:ind w:left="440" w:hanging="393"/>
        <w:spacing w:after="0"/>
        <w:tabs>
          <w:tab w:leader="none" w:pos="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95" w:lineRule="exact"/>
        <w:rPr>
          <w:rFonts w:ascii="Arial" w:cs="Arial" w:eastAsia="Arial" w:hAnsi="Arial"/>
          <w:sz w:val="18"/>
          <w:szCs w:val="18"/>
          <w:color w:val="auto"/>
        </w:rPr>
      </w:pPr>
    </w:p>
    <w:p>
      <w:pPr>
        <w:ind w:left="440" w:hanging="393"/>
        <w:spacing w:after="0"/>
        <w:tabs>
          <w:tab w:leader="none" w:pos="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ectPr>
          <w:pgSz w:w="11900" w:h="16838" w:orient="portrait"/>
          <w:cols w:equalWidth="0" w:num="1">
            <w:col w:w="11240"/>
          </w:cols>
          <w:pgMar w:left="320" w:top="125"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3359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16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31115</wp:posOffset>
            </wp:positionV>
            <wp:extent cx="3422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3422015" cy="8255"/>
                    </a:xfrm>
                    <a:prstGeom prst="rect">
                      <a:avLst/>
                    </a:prstGeom>
                    <a:noFill/>
                  </pic:spPr>
                </pic:pic>
              </a:graphicData>
            </a:graphic>
          </wp:anchor>
        </w:drawing>
      </w:r>
    </w:p>
    <w:p>
      <w:pPr>
        <w:spacing w:after="0" w:line="51"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Michael J. Brown</w:t>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gridSpan w:val="9"/>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660" w:type="dxa"/>
            <w:vAlign w:val="bottom"/>
          </w:tcPr>
          <w:p>
            <w:pPr>
              <w:spacing w:after="0"/>
              <w:rPr>
                <w:sz w:val="14"/>
                <w:szCs w:val="14"/>
                <w:color w:val="auto"/>
              </w:rPr>
            </w:pPr>
          </w:p>
        </w:tc>
      </w:tr>
      <w:tr>
        <w:trPr>
          <w:trHeight w:val="489"/>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4"/>
          </w:tcPr>
          <w:p>
            <w:pPr>
              <w:jc w:val="center"/>
              <w:ind w:right="1040"/>
              <w:spacing w:after="0"/>
              <w:rPr>
                <w:sz w:val="20"/>
                <w:szCs w:val="20"/>
                <w:color w:val="auto"/>
              </w:rPr>
            </w:pPr>
            <w:r>
              <w:rPr>
                <w:rFonts w:ascii="Arial" w:cs="Arial" w:eastAsia="Arial" w:hAnsi="Arial"/>
                <w:sz w:val="18"/>
                <w:szCs w:val="18"/>
                <w:color w:val="auto"/>
                <w:w w:val="91"/>
              </w:rPr>
              <w:t>/s/ Michael J. Brown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2"/>
              </w:rPr>
              <w:t>Michael J. Brown</w:t>
            </w:r>
          </w:p>
        </w:tc>
        <w:tc>
          <w:tcPr>
            <w:tcW w:w="1060" w:type="dxa"/>
            <w:vAlign w:val="bottom"/>
            <w:gridSpan w:val="6"/>
          </w:tcPr>
          <w:p>
            <w:pPr>
              <w:spacing w:after="0"/>
              <w:rPr>
                <w:sz w:val="19"/>
                <w:szCs w:val="19"/>
                <w:color w:val="auto"/>
              </w:rPr>
            </w:pP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w w:val="93"/>
              </w:rPr>
              <w:t>Chairman of the Board of Directors, Chief Executive Officer, President and</w:t>
            </w: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 (principal executive officer)</w:t>
            </w:r>
          </w:p>
        </w:tc>
      </w:tr>
      <w:tr>
        <w:trPr>
          <w:trHeight w:val="498"/>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11"/>
          </w:tcPr>
          <w:p>
            <w:pPr>
              <w:jc w:val="center"/>
              <w:ind w:right="1180"/>
              <w:spacing w:after="0"/>
              <w:rPr>
                <w:sz w:val="20"/>
                <w:szCs w:val="20"/>
                <w:color w:val="auto"/>
              </w:rPr>
            </w:pPr>
            <w:r>
              <w:rPr>
                <w:rFonts w:ascii="Arial" w:cs="Arial" w:eastAsia="Arial" w:hAnsi="Arial"/>
                <w:sz w:val="18"/>
                <w:szCs w:val="18"/>
                <w:color w:val="auto"/>
                <w:w w:val="93"/>
              </w:rPr>
              <w:t>/s/ Rick L. Weller</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180" w:type="dxa"/>
            <w:vAlign w:val="bottom"/>
            <w:gridSpan w:val="8"/>
          </w:tcPr>
          <w:p>
            <w:pPr>
              <w:spacing w:after="0"/>
              <w:rPr>
                <w:sz w:val="19"/>
                <w:szCs w:val="19"/>
                <w:color w:val="auto"/>
              </w:rPr>
            </w:pP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w w:val="99"/>
              </w:rPr>
              <w:t>Chief Financial Officer and Chief Accounting Officer (principal financial</w:t>
            </w: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officer and principal accounting officer)</w:t>
            </w:r>
          </w:p>
        </w:tc>
      </w:tr>
      <w:tr>
        <w:trPr>
          <w:trHeight w:val="524"/>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3"/>
          </w:tcPr>
          <w:p>
            <w:pPr>
              <w:jc w:val="center"/>
              <w:ind w:right="1060"/>
              <w:spacing w:after="0"/>
              <w:rPr>
                <w:sz w:val="20"/>
                <w:szCs w:val="20"/>
                <w:color w:val="auto"/>
              </w:rPr>
            </w:pPr>
            <w:r>
              <w:rPr>
                <w:rFonts w:ascii="Arial" w:cs="Arial" w:eastAsia="Arial" w:hAnsi="Arial"/>
                <w:sz w:val="18"/>
                <w:szCs w:val="18"/>
                <w:color w:val="auto"/>
                <w:w w:val="89"/>
              </w:rPr>
              <w:t>/s/ Paul S. Althasen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Paul S. Althasen</w:t>
            </w:r>
          </w:p>
        </w:tc>
        <w:tc>
          <w:tcPr>
            <w:tcW w:w="1100" w:type="dxa"/>
            <w:vAlign w:val="bottom"/>
            <w:gridSpan w:val="7"/>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524"/>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gridSpan w:val="13"/>
          </w:tcPr>
          <w:p>
            <w:pPr>
              <w:jc w:val="center"/>
              <w:ind w:right="20"/>
              <w:spacing w:after="0"/>
              <w:rPr>
                <w:sz w:val="20"/>
                <w:szCs w:val="20"/>
                <w:color w:val="auto"/>
              </w:rPr>
            </w:pPr>
            <w:r>
              <w:rPr>
                <w:rFonts w:ascii="Arial" w:cs="Arial" w:eastAsia="Arial" w:hAnsi="Arial"/>
                <w:sz w:val="18"/>
                <w:szCs w:val="18"/>
                <w:color w:val="auto"/>
                <w:w w:val="92"/>
              </w:rPr>
              <w:t>/s/ Andrzej Olechowski</w:t>
            </w:r>
          </w:p>
        </w:tc>
        <w:tc>
          <w:tcPr>
            <w:tcW w:w="940" w:type="dxa"/>
            <w:vAlign w:val="bottom"/>
            <w:gridSpan w:val="3"/>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gridSpan w:val="15"/>
          </w:tcPr>
          <w:p>
            <w:pPr>
              <w:jc w:val="center"/>
              <w:ind w:right="1000"/>
              <w:spacing w:after="0"/>
              <w:rPr>
                <w:sz w:val="20"/>
                <w:szCs w:val="20"/>
                <w:color w:val="auto"/>
              </w:rPr>
            </w:pPr>
            <w:r>
              <w:rPr>
                <w:rFonts w:ascii="Arial" w:cs="Arial" w:eastAsia="Arial" w:hAnsi="Arial"/>
                <w:sz w:val="18"/>
                <w:szCs w:val="18"/>
                <w:b w:val="1"/>
                <w:bCs w:val="1"/>
                <w:color w:val="auto"/>
                <w:w w:val="91"/>
              </w:rPr>
              <w:t>Andrzej Olechowski</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524"/>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93"/>
              </w:rPr>
              <w:t>/s/ Michael N. Frumkin</w:t>
            </w:r>
          </w:p>
        </w:tc>
        <w:tc>
          <w:tcPr>
            <w:tcW w:w="960" w:type="dxa"/>
            <w:vAlign w:val="bottom"/>
            <w:gridSpan w:val="4"/>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0" w:type="dxa"/>
            <w:vAlign w:val="bottom"/>
            <w:gridSpan w:val="15"/>
          </w:tcPr>
          <w:p>
            <w:pPr>
              <w:jc w:val="center"/>
              <w:ind w:right="1000"/>
              <w:spacing w:after="0"/>
              <w:rPr>
                <w:sz w:val="20"/>
                <w:szCs w:val="20"/>
                <w:color w:val="auto"/>
              </w:rPr>
            </w:pPr>
            <w:r>
              <w:rPr>
                <w:rFonts w:ascii="Arial" w:cs="Arial" w:eastAsia="Arial" w:hAnsi="Arial"/>
                <w:sz w:val="18"/>
                <w:szCs w:val="18"/>
                <w:b w:val="1"/>
                <w:bCs w:val="1"/>
                <w:color w:val="auto"/>
                <w:w w:val="94"/>
              </w:rPr>
              <w:t>Michael N. Frumkin</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498"/>
        </w:trPr>
        <w:tc>
          <w:tcPr>
            <w:tcW w:w="1880" w:type="dxa"/>
            <w:vAlign w:val="bottom"/>
          </w:tcPr>
          <w:p>
            <w:pPr>
              <w:spacing w:after="0"/>
              <w:rPr>
                <w:sz w:val="24"/>
                <w:szCs w:val="24"/>
                <w:color w:val="auto"/>
              </w:rPr>
            </w:pPr>
          </w:p>
        </w:tc>
        <w:tc>
          <w:tcPr>
            <w:tcW w:w="2740" w:type="dxa"/>
            <w:vAlign w:val="bottom"/>
            <w:gridSpan w:val="17"/>
          </w:tcPr>
          <w:p>
            <w:pPr>
              <w:jc w:val="center"/>
              <w:ind w:right="880"/>
              <w:spacing w:after="0"/>
              <w:rPr>
                <w:sz w:val="20"/>
                <w:szCs w:val="20"/>
                <w:color w:val="auto"/>
              </w:rPr>
            </w:pPr>
            <w:r>
              <w:rPr>
                <w:rFonts w:ascii="Arial" w:cs="Arial" w:eastAsia="Arial" w:hAnsi="Arial"/>
                <w:sz w:val="18"/>
                <w:szCs w:val="18"/>
                <w:color w:val="auto"/>
                <w:w w:val="92"/>
              </w:rPr>
              <w:t>/s/ Thomas A. McDonnell</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860" w:type="dxa"/>
            <w:vAlign w:val="bottom"/>
            <w:tcBorders>
              <w:top w:val="single" w:sz="8" w:color="auto"/>
            </w:tcBorders>
            <w:gridSpan w:val="15"/>
          </w:tcPr>
          <w:p>
            <w:pPr>
              <w:jc w:val="center"/>
              <w:spacing w:after="0"/>
              <w:rPr>
                <w:sz w:val="20"/>
                <w:szCs w:val="20"/>
                <w:color w:val="auto"/>
              </w:rPr>
            </w:pPr>
            <w:r>
              <w:rPr>
                <w:rFonts w:ascii="Arial" w:cs="Arial" w:eastAsia="Arial" w:hAnsi="Arial"/>
                <w:sz w:val="18"/>
                <w:szCs w:val="18"/>
                <w:b w:val="1"/>
                <w:bCs w:val="1"/>
                <w:color w:val="auto"/>
                <w:w w:val="91"/>
              </w:rPr>
              <w:t>Thomas A. McDonnell</w:t>
            </w:r>
          </w:p>
        </w:tc>
        <w:tc>
          <w:tcPr>
            <w:tcW w:w="880" w:type="dxa"/>
            <w:vAlign w:val="bottom"/>
            <w:gridSpan w:val="2"/>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498"/>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2"/>
              </w:rPr>
              <w:t>/s/ Andrew B. Schmitt</w:t>
            </w:r>
          </w:p>
        </w:tc>
        <w:tc>
          <w:tcPr>
            <w:tcW w:w="1000" w:type="dxa"/>
            <w:vAlign w:val="bottom"/>
            <w:gridSpan w:val="5"/>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3"/>
          </w:tcPr>
          <w:p>
            <w:pPr>
              <w:jc w:val="center"/>
              <w:ind w:right="1080"/>
              <w:spacing w:after="0"/>
              <w:rPr>
                <w:sz w:val="20"/>
                <w:szCs w:val="20"/>
                <w:color w:val="auto"/>
              </w:rPr>
            </w:pPr>
            <w:r>
              <w:rPr>
                <w:rFonts w:ascii="Arial" w:cs="Arial" w:eastAsia="Arial" w:hAnsi="Arial"/>
                <w:sz w:val="18"/>
                <w:szCs w:val="18"/>
                <w:b w:val="1"/>
                <w:bCs w:val="1"/>
                <w:color w:val="auto"/>
                <w:w w:val="91"/>
              </w:rPr>
              <w:t>Andrew B. Schmitt</w:t>
            </w: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498"/>
        </w:trPr>
        <w:tc>
          <w:tcPr>
            <w:tcW w:w="4620" w:type="dxa"/>
            <w:vAlign w:val="bottom"/>
            <w:gridSpan w:val="18"/>
          </w:tcPr>
          <w:p>
            <w:pPr>
              <w:jc w:val="center"/>
              <w:ind w:left="931"/>
              <w:spacing w:after="0"/>
              <w:rPr>
                <w:sz w:val="20"/>
                <w:szCs w:val="20"/>
                <w:color w:val="auto"/>
              </w:rPr>
            </w:pPr>
            <w:r>
              <w:rPr>
                <w:rFonts w:ascii="Arial" w:cs="Arial" w:eastAsia="Arial" w:hAnsi="Arial"/>
                <w:sz w:val="18"/>
                <w:szCs w:val="18"/>
                <w:color w:val="auto"/>
                <w:w w:val="89"/>
              </w:rPr>
              <w:t>/s/ M. Jeannine Strandjord</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880" w:type="dxa"/>
            <w:vAlign w:val="bottom"/>
            <w:tcBorders>
              <w:top w:val="single" w:sz="8" w:color="auto"/>
            </w:tcBorders>
            <w:gridSpan w:val="16"/>
          </w:tcPr>
          <w:p>
            <w:pPr>
              <w:jc w:val="center"/>
              <w:spacing w:after="0"/>
              <w:rPr>
                <w:sz w:val="20"/>
                <w:szCs w:val="20"/>
                <w:color w:val="auto"/>
              </w:rPr>
            </w:pPr>
            <w:r>
              <w:rPr>
                <w:rFonts w:ascii="Arial" w:cs="Arial" w:eastAsia="Arial" w:hAnsi="Arial"/>
                <w:sz w:val="18"/>
                <w:szCs w:val="18"/>
                <w:b w:val="1"/>
                <w:bCs w:val="1"/>
                <w:color w:val="auto"/>
                <w:w w:val="92"/>
              </w:rPr>
              <w:t>M. Jeannine Strandjord</w:t>
            </w:r>
          </w:p>
        </w:tc>
        <w:tc>
          <w:tcPr>
            <w:tcW w:w="8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498"/>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4"/>
          </w:tcPr>
          <w:p>
            <w:pPr>
              <w:jc w:val="center"/>
              <w:ind w:right="1060"/>
              <w:spacing w:after="0"/>
              <w:rPr>
                <w:sz w:val="20"/>
                <w:szCs w:val="20"/>
                <w:color w:val="auto"/>
              </w:rPr>
            </w:pPr>
            <w:r>
              <w:rPr>
                <w:rFonts w:ascii="Arial" w:cs="Arial" w:eastAsia="Arial" w:hAnsi="Arial"/>
                <w:sz w:val="18"/>
                <w:szCs w:val="18"/>
                <w:color w:val="auto"/>
                <w:w w:val="91"/>
              </w:rPr>
              <w:t>/s/ Mark R. Callegari</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5"/>
              </w:rPr>
              <w:t>Mark R. Callegari</w:t>
            </w:r>
          </w:p>
        </w:tc>
        <w:tc>
          <w:tcPr>
            <w:tcW w:w="1060" w:type="dxa"/>
            <w:vAlign w:val="bottom"/>
            <w:gridSpan w:val="6"/>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7"/>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gridSpan w:val="12"/>
          </w:tcPr>
          <w:p>
            <w:pPr>
              <w:jc w:val="center"/>
              <w:ind w:right="1100"/>
              <w:spacing w:after="0"/>
              <w:rPr>
                <w:sz w:val="20"/>
                <w:szCs w:val="20"/>
                <w:color w:val="auto"/>
              </w:rPr>
            </w:pPr>
            <w:r>
              <w:rPr>
                <w:rFonts w:ascii="Arial" w:cs="Arial" w:eastAsia="Arial" w:hAnsi="Arial"/>
                <w:sz w:val="18"/>
                <w:szCs w:val="18"/>
                <w:color w:val="auto"/>
                <w:w w:val="89"/>
              </w:rPr>
              <w:t>February 19, 2021</w:t>
            </w:r>
          </w:p>
        </w:tc>
        <w:tc>
          <w:tcPr>
            <w:tcW w:w="6620" w:type="dxa"/>
            <w:vAlign w:val="bottom"/>
            <w:gridSpan w:val="3"/>
          </w:tcPr>
          <w:p>
            <w:pPr>
              <w:ind w:left="1040"/>
              <w:spacing w:after="0"/>
              <w:rPr>
                <w:sz w:val="20"/>
                <w:szCs w:val="20"/>
                <w:color w:val="auto"/>
              </w:rPr>
            </w:pPr>
            <w:r>
              <w:rPr>
                <w:rFonts w:ascii="Arial" w:cs="Arial" w:eastAsia="Arial" w:hAnsi="Arial"/>
                <w:sz w:val="18"/>
                <w:szCs w:val="18"/>
                <w:color w:val="auto"/>
              </w:rPr>
              <w:t>Director</w:t>
            </w:r>
          </w:p>
        </w:tc>
      </w:tr>
      <w:tr>
        <w:trPr>
          <w:trHeight w:val="483"/>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29"/>
        </w:trPr>
        <w:tc>
          <w:tcPr>
            <w:tcW w:w="1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Euronet's wholly owned subsidiaries were:</w:t>
      </w:r>
    </w:p>
    <w:p>
      <w:pPr>
        <w:spacing w:after="0" w:line="222" w:lineRule="exact"/>
        <w:rPr>
          <w:sz w:val="20"/>
          <w:szCs w:val="20"/>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0"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SAS, incorporated in France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 Free France S.A.S.U., incorporated in France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PT Euronet Technologies Indonesia, incorporated in Indonesia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Easycash (Ireland) Limited, incorporated in Ireland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Euronet 360 Payments Limited, incorporated in Ireland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359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w:t>
      </w:r>
    </w:p>
    <w:p>
      <w:pPr>
        <w:spacing w:after="0" w:line="20"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Taxfree Italy S.R.L., incorporated in Italy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Lithuania UAB, incorporated in Lithuania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Transfers de Mexico, S. de R.L. de C.V., incorporated in Mexico</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Netherlands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Hanco Automated Teller Machines Holdings B.V., incorporated in the Netherlands</w:t>
      </w:r>
    </w:p>
    <w:p>
      <w:pPr>
        <w:spacing w:after="0" w:line="30" w:lineRule="exact"/>
        <w:rPr>
          <w:rFonts w:ascii="Arial" w:cs="Arial" w:eastAsia="Arial" w:hAnsi="Arial"/>
          <w:sz w:val="16"/>
          <w:szCs w:val="16"/>
          <w:color w:val="auto"/>
        </w:rPr>
      </w:pPr>
    </w:p>
    <w:p>
      <w:pPr>
        <w:ind w:left="331" w:hanging="331"/>
        <w:spacing w:after="0"/>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30" w:lineRule="exact"/>
        <w:rPr>
          <w:rFonts w:ascii="Arial" w:cs="Arial" w:eastAsia="Arial" w:hAnsi="Arial"/>
          <w:sz w:val="16"/>
          <w:szCs w:val="16"/>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Taxfree Netherlands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XE Europe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CT202 Spółka z o.o., incorporated in Poland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MT101 Spółka z o.o., incorporated in Poland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 Free Portugal Unipessoal Lda, incorporated in Portugal</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Singapore Pte. Ltd., incorporated in Singapore</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Magazine S.L.,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Taxfree Group, S.L.,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 Taxfree Spain, S.L.,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7" w:lineRule="exact"/>
        <w:rPr>
          <w:rFonts w:ascii="Arial" w:cs="Arial" w:eastAsia="Arial" w:hAnsi="Arial"/>
          <w:sz w:val="18"/>
          <w:szCs w:val="18"/>
          <w:color w:val="auto"/>
        </w:rPr>
      </w:pPr>
    </w:p>
    <w:p>
      <w:pPr>
        <w:ind w:left="331" w:hanging="331"/>
        <w:spacing w:after="0"/>
        <w:tabs>
          <w:tab w:leader="none" w:pos="3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22" w:lineRule="exact"/>
        <w:rPr>
          <w:sz w:val="20"/>
          <w:szCs w:val="20"/>
          <w:color w:val="auto"/>
        </w:rPr>
      </w:pPr>
    </w:p>
    <w:p>
      <w:pPr>
        <w:ind w:left="52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90170</wp:posOffset>
            </wp:positionV>
            <wp:extent cx="713359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810"/>
          </w:cols>
          <w:pgMar w:left="649" w:top="340" w:right="1440" w:bottom="1440" w:gutter="0" w:footer="0" w:header="0"/>
        </w:sectPr>
      </w:pPr>
    </w:p>
    <w:bookmarkStart w:id="124" w:name="page125"/>
    <w:bookmarkEnd w:id="124"/>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20"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Innova Tax Free (UK)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Dolphin Debit Access, LLC, incorporated in Texas,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Euronet also had shareholdings in the following companies that are not wholly owned:</w:t>
      </w:r>
    </w:p>
    <w:p>
      <w:pPr>
        <w:spacing w:after="0" w:line="20" w:lineRule="exact"/>
        <w:rPr>
          <w:sz w:val="20"/>
          <w:szCs w:val="20"/>
          <w:color w:val="auto"/>
        </w:rPr>
      </w:pPr>
    </w:p>
    <w:p>
      <w:pPr>
        <w:ind w:left="660" w:hanging="33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7" w:lineRule="exact"/>
        <w:rPr>
          <w:rFonts w:ascii="Arial" w:cs="Arial" w:eastAsia="Arial" w:hAnsi="Arial"/>
          <w:sz w:val="18"/>
          <w:szCs w:val="18"/>
          <w:color w:val="auto"/>
        </w:rPr>
      </w:pPr>
    </w:p>
    <w:p>
      <w:pPr>
        <w:ind w:left="660" w:right="140" w:hanging="331"/>
        <w:spacing w:after="0" w:line="248"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85% is owned by Euronet Asia Holdings Limited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 of which 65.09% is owned by Euronet Services India Pvt. Ltd.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0" w:lineRule="exact"/>
        <w:rPr>
          <w:rFonts w:ascii="Arial" w:cs="Arial" w:eastAsia="Arial" w:hAnsi="Arial"/>
          <w:sz w:val="16"/>
          <w:szCs w:val="16"/>
          <w:color w:val="auto"/>
        </w:rPr>
      </w:pPr>
    </w:p>
    <w:p>
      <w:pPr>
        <w:ind w:left="660" w:hanging="33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ectPr>
          <w:pgSz w:w="11900" w:h="16838" w:orient="portrait"/>
          <w:cols w:equalWidth="0" w:num="1">
            <w:col w:w="10900"/>
          </w:cols>
          <w:pgMar w:left="320" w:top="340" w:right="6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consent to the incorporation by reference in the registration statement (Nos. 333-84046, 333-105478, 333-111361, 333-111363, 333-117948, 333-128228 and 333-231252) on Form S-3, (No. 333-116938) on Form S-4, and (Nos. 333-24539, 333-83555, 333-44890, 333-64634, 333-71766, 333-98013, 333-102875, 333-116920, 333-136485, 333-161245, 333-176238, and 333-190337) on Form S-8 of Euronet Worldwide, Inc. and subsidiaries (the Company) of our report dated February 19, 2021, with respect to the consolidated balance sheets of the Company as of December 31, 2020, and 2019, and the related consolidated statements of operations, comprehensive income, changes in equity, and cash flows for each of the years in the three-year period</w:t>
      </w:r>
    </w:p>
    <w:p>
      <w:pPr>
        <w:ind w:right="140"/>
        <w:spacing w:after="0" w:line="319" w:lineRule="auto"/>
        <w:rPr>
          <w:sz w:val="20"/>
          <w:szCs w:val="20"/>
          <w:color w:val="auto"/>
        </w:rPr>
      </w:pPr>
      <w:r>
        <w:rPr>
          <w:rFonts w:ascii="Arial" w:cs="Arial" w:eastAsia="Arial" w:hAnsi="Arial"/>
          <w:sz w:val="16"/>
          <w:szCs w:val="16"/>
          <w:color w:val="auto"/>
        </w:rPr>
        <w:t>ended December 31, 2020, and the related notes (collectively, the consolidated financial statements), and the effectiveness of internal control over financial reporting as of December 31, 2020, which report appears in the December 31, 2020 annual report on Form 10-K of Euronet Worldwide,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report refers to the Company’s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6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221" w:lineRule="exact"/>
        <w:rPr>
          <w:rFonts w:ascii="Arial" w:cs="Arial" w:eastAsia="Arial" w:hAnsi="Arial"/>
          <w:sz w:val="18"/>
          <w:szCs w:val="18"/>
          <w:color w:val="auto"/>
        </w:rPr>
      </w:pPr>
    </w:p>
    <w:p>
      <w:pPr>
        <w:ind w:left="340" w:right="20" w:hanging="332"/>
        <w:spacing w:after="0" w:line="33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340" w:right="480" w:hanging="332"/>
        <w:spacing w:after="0" w:line="302"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340" w:right="100" w:hanging="332"/>
        <w:spacing w:after="0" w:line="26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8"/>
          <w:szCs w:val="18"/>
          <w:color w:val="auto"/>
        </w:rPr>
      </w:pPr>
    </w:p>
    <w:p>
      <w:pPr>
        <w:jc w:val="both"/>
        <w:ind w:left="980" w:right="160" w:hanging="328"/>
        <w:spacing w:after="0" w:line="26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980" w:right="440" w:hanging="328"/>
        <w:spacing w:after="0" w:line="26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980" w:right="600" w:hanging="328"/>
        <w:spacing w:after="0" w:line="336"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980" w:right="200" w:hanging="328"/>
        <w:spacing w:after="0" w:line="26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8"/>
          <w:szCs w:val="18"/>
          <w:color w:val="auto"/>
        </w:rPr>
      </w:pPr>
    </w:p>
    <w:p>
      <w:pPr>
        <w:ind w:left="340" w:right="420" w:hanging="332"/>
        <w:spacing w:after="0" w:line="302"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7" w:lineRule="exact"/>
        <w:rPr>
          <w:rFonts w:ascii="Arial" w:cs="Arial" w:eastAsia="Arial" w:hAnsi="Arial"/>
          <w:sz w:val="17"/>
          <w:szCs w:val="17"/>
          <w:color w:val="auto"/>
        </w:rPr>
      </w:pPr>
    </w:p>
    <w:p>
      <w:pPr>
        <w:ind w:left="980" w:right="80" w:hanging="328"/>
        <w:spacing w:after="0" w:line="302"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980" w:right="60" w:hanging="328"/>
        <w:spacing w:after="0" w:line="272"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29"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6690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6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68" w:lineRule="exact"/>
        <w:rPr>
          <w:rFonts w:ascii="Arial" w:cs="Arial" w:eastAsia="Arial" w:hAnsi="Arial"/>
          <w:sz w:val="18"/>
          <w:szCs w:val="18"/>
          <w:color w:val="auto"/>
        </w:rPr>
      </w:pPr>
    </w:p>
    <w:p>
      <w:pPr>
        <w:ind w:left="340" w:right="20" w:hanging="332"/>
        <w:spacing w:after="0" w:line="33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6"/>
          <w:szCs w:val="16"/>
          <w:color w:val="auto"/>
        </w:rPr>
      </w:pPr>
    </w:p>
    <w:p>
      <w:pPr>
        <w:ind w:left="340" w:right="480" w:hanging="332"/>
        <w:spacing w:after="0" w:line="302"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7"/>
          <w:szCs w:val="17"/>
          <w:color w:val="auto"/>
        </w:rPr>
      </w:pPr>
    </w:p>
    <w:p>
      <w:pPr>
        <w:ind w:left="340" w:right="100" w:hanging="332"/>
        <w:spacing w:after="0" w:line="26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8"/>
          <w:szCs w:val="18"/>
          <w:color w:val="auto"/>
        </w:rPr>
      </w:pPr>
    </w:p>
    <w:p>
      <w:pPr>
        <w:jc w:val="both"/>
        <w:ind w:left="980" w:right="160" w:hanging="328"/>
        <w:spacing w:after="0" w:line="260"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8"/>
          <w:szCs w:val="18"/>
          <w:color w:val="auto"/>
        </w:rPr>
      </w:pPr>
    </w:p>
    <w:p>
      <w:pPr>
        <w:ind w:left="980" w:right="440" w:hanging="328"/>
        <w:spacing w:after="0" w:line="260"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8"/>
          <w:szCs w:val="18"/>
          <w:color w:val="auto"/>
        </w:rPr>
      </w:pPr>
    </w:p>
    <w:p>
      <w:pPr>
        <w:ind w:left="980" w:right="600" w:hanging="328"/>
        <w:spacing w:after="0" w:line="336"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6"/>
          <w:szCs w:val="16"/>
          <w:color w:val="auto"/>
        </w:rPr>
      </w:pPr>
    </w:p>
    <w:p>
      <w:pPr>
        <w:ind w:left="980" w:right="200" w:hanging="328"/>
        <w:spacing w:after="0" w:line="260"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9" w:lineRule="exact"/>
        <w:rPr>
          <w:rFonts w:ascii="Arial" w:cs="Arial" w:eastAsia="Arial" w:hAnsi="Arial"/>
          <w:sz w:val="18"/>
          <w:szCs w:val="18"/>
          <w:color w:val="auto"/>
        </w:rPr>
      </w:pPr>
    </w:p>
    <w:p>
      <w:pPr>
        <w:ind w:left="280" w:right="480" w:hanging="272"/>
        <w:spacing w:after="0" w:line="302" w:lineRule="auto"/>
        <w:tabs>
          <w:tab w:leader="none" w:pos="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7" w:lineRule="exact"/>
        <w:rPr>
          <w:rFonts w:ascii="Arial" w:cs="Arial" w:eastAsia="Arial" w:hAnsi="Arial"/>
          <w:sz w:val="17"/>
          <w:szCs w:val="17"/>
          <w:color w:val="auto"/>
        </w:rPr>
      </w:pPr>
    </w:p>
    <w:p>
      <w:pPr>
        <w:ind w:left="980" w:right="80" w:hanging="328"/>
        <w:spacing w:after="0" w:line="302"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5" w:lineRule="exact"/>
        <w:rPr>
          <w:rFonts w:ascii="Arial" w:cs="Arial" w:eastAsia="Arial" w:hAnsi="Arial"/>
          <w:sz w:val="17"/>
          <w:szCs w:val="17"/>
          <w:color w:val="auto"/>
        </w:rPr>
      </w:pPr>
    </w:p>
    <w:p>
      <w:pPr>
        <w:ind w:left="940" w:right="80" w:hanging="288"/>
        <w:spacing w:after="0" w:line="272"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83"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6690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2020 as filed with the Securities and Exchange Commission on the date hereof (the “Report”), the undersigned hereby certifies, pursuant to 18 U.S.C. Section 1350, as adopted pursuant to Section 906 of the Sarbanes-Oxley Act of 2002, that: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and</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6690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Michael J. Brown</w:t>
      </w:r>
    </w:p>
    <w:p>
      <w:pPr>
        <w:spacing w:after="0" w:line="6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Executive Officer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2020 as filed with the Securities and Exchange Commission on the date hereof (the “Report”), the undersigned hereby certifies, pursuant to 18 U.S.C. Section 1350, as adopted pursuant to Section 906 of the Sarbanes-Oxley Act of 2002, that:</w:t>
      </w:r>
    </w:p>
    <w:p>
      <w:pPr>
        <w:spacing w:after="0" w:line="78" w:lineRule="exact"/>
        <w:rPr>
          <w:sz w:val="20"/>
          <w:szCs w:val="20"/>
          <w:color w:val="auto"/>
        </w:rPr>
      </w:pPr>
    </w:p>
    <w:p>
      <w:pPr>
        <w:ind w:left="660" w:hanging="33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4" w:lineRule="exact"/>
        <w:rPr>
          <w:rFonts w:ascii="Arial" w:cs="Arial" w:eastAsia="Arial" w:hAnsi="Arial"/>
          <w:sz w:val="18"/>
          <w:szCs w:val="18"/>
          <w:color w:val="auto"/>
        </w:rPr>
      </w:pPr>
    </w:p>
    <w:p>
      <w:pPr>
        <w:ind w:left="660" w:hanging="330"/>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6690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Rick L. Weller</w:t>
      </w:r>
    </w:p>
    <w:p>
      <w:pPr>
        <w:spacing w:after="0" w:line="61" w:lineRule="exact"/>
        <w:rPr>
          <w:sz w:val="20"/>
          <w:szCs w:val="20"/>
          <w:color w:val="auto"/>
        </w:rPr>
      </w:pPr>
    </w:p>
    <w:p>
      <w:pPr>
        <w:jc w:val="center"/>
        <w:ind w:right="5460"/>
        <w:spacing w:after="0"/>
        <w:rPr>
          <w:sz w:val="20"/>
          <w:szCs w:val="20"/>
          <w:color w:val="auto"/>
        </w:rPr>
      </w:pPr>
      <w:r>
        <w:rPr>
          <w:rFonts w:ascii="Arial" w:cs="Arial" w:eastAsia="Arial" w:hAnsi="Arial"/>
          <w:sz w:val="18"/>
          <w:szCs w:val="18"/>
          <w:b w:val="1"/>
          <w:bCs w:val="1"/>
          <w:color w:val="auto"/>
        </w:rPr>
        <w:t>Chief Financial Officer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1"/>
      <w:numFmt w:val="decimal"/>
      <w:start w:val="101"/>
    </w:lvl>
  </w:abstractNum>
  <w:abstractNum w:abstractNumId="14">
    <w:nsid w:val="7C83E458"/>
    <w:multiLevelType w:val="hybridMultilevel"/>
    <w:lvl w:ilvl="0">
      <w:lvlJc w:val="left"/>
      <w:lvlText w:val="%1"/>
      <w:numFmt w:val="decimal"/>
      <w:start w:val="104"/>
    </w:lvl>
  </w:abstractNum>
  <w:abstractNum w:abstractNumId="15">
    <w:nsid w:val="257130A3"/>
    <w:multiLevelType w:val="hybridMultilevel"/>
    <w:lvl w:ilvl="0">
      <w:lvlJc w:val="left"/>
      <w:lvlText w:val="(%1)"/>
      <w:numFmt w:val="decimal"/>
      <w:start w:val="1"/>
    </w:lvl>
    <w:lvl w:ilvl="1">
      <w:lvlJc w:val="left"/>
      <w:lvlText w:val="(%2)"/>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265" Type="http://schemas.openxmlformats.org/officeDocument/2006/relationships/hyperlink" Target="http://www.sec.gov/Archives/edgar/data/1029199/000101410809000126/ewi-ex32toform8k_8353998v3.htm" TargetMode="External"/><Relationship Id="rId266" Type="http://schemas.openxmlformats.org/officeDocument/2006/relationships/hyperlink" Target="http://www.sec.gov/Archives/edgar/data/1029199/000101410809000126/ewi-ex31toform8k_8353998v3.htm" TargetMode="External"/><Relationship Id="rId267" Type="http://schemas.openxmlformats.org/officeDocument/2006/relationships/hyperlink" Target="http://www.sec.gov/Archives/edgar/data/1029199/000101410813000094/ex31-certofrights.htm" TargetMode="External"/><Relationship Id="rId268" Type="http://schemas.openxmlformats.org/officeDocument/2006/relationships/hyperlink" Target="http://www.sec.gov/Archives/edgar/data/1029199/000102919917000004/exhibit32-amendedandrestat.htm" TargetMode="External"/><Relationship Id="rId269" Type="http://schemas.openxmlformats.org/officeDocument/2006/relationships/hyperlink" Target="http://www.sec.gov/Archives/edgar/data/1029199/000119312514398639/d817126dex41.htm" TargetMode="External"/><Relationship Id="rId270" Type="http://schemas.openxmlformats.org/officeDocument/2006/relationships/hyperlink" Target="http://www.sec.gov/Archives/edgar/data/1029199/000102919919000025/exhibit41indenture.htm" TargetMode="External"/><Relationship Id="rId273" Type="http://schemas.openxmlformats.org/officeDocument/2006/relationships/hyperlink" Target="http://www.sec.gov/Archives/edgar/data/1029199/000102919920000009/eeft12312019ex46.htm" TargetMode="External"/><Relationship Id="rId274" Type="http://schemas.openxmlformats.org/officeDocument/2006/relationships/hyperlink" Target="http://www.sec.gov/Archives/edgar/data/1029199/000095013706008670/c07036exv10w8.htm" TargetMode="External"/><Relationship Id="rId275" Type="http://schemas.openxmlformats.org/officeDocument/2006/relationships/hyperlink" Target="http://www.sec.gov/Archives/edgar/data/1029199/000095013707002990/c11971exv10w39.htm" TargetMode="External"/><Relationship Id="rId276" Type="http://schemas.openxmlformats.org/officeDocument/2006/relationships/hyperlink" Target="http://www.sec.gov/Archives/edgar/data/1029199/000101410807000144/ewi-ex101toform8k_7640045.htm" TargetMode="External"/><Relationship Id="rId277" Type="http://schemas.openxmlformats.org/officeDocument/2006/relationships/hyperlink" Target="http://www.sec.gov/Archives/edgar/data/1029199/000095013708007169/c26311exv10w3.htm" TargetMode="External"/><Relationship Id="rId278" Type="http://schemas.openxmlformats.org/officeDocument/2006/relationships/hyperlink" Target="http://www.sec.gov/Archives/edgar/data/1029199/000095013708007169/c26311exv10w4.htm" TargetMode="External"/><Relationship Id="rId279" Type="http://schemas.openxmlformats.org/officeDocument/2006/relationships/hyperlink" Target="http://www.sec.gov/Archives/edgar/data/1029199/000095013708007169/c26311exv10w6.htm" TargetMode="External"/><Relationship Id="rId280" Type="http://schemas.openxmlformats.org/officeDocument/2006/relationships/hyperlink" Target="http://www.sec.gov/Archives/edgar/data/1029199/000095015208010588/c48372exv10w1.htm" TargetMode="External"/><Relationship Id="rId281" Type="http://schemas.openxmlformats.org/officeDocument/2006/relationships/hyperlink" Target="http://www.sec.gov/Archives/edgar/data/1029199/000102919913000010/pre14aproxystatement.htm" TargetMode="External"/><Relationship Id="rId282" Type="http://schemas.openxmlformats.org/officeDocument/2006/relationships/hyperlink" Target="http://www.sec.gov/Archives/edgar/data/1029199/000095012310046071/c57991exv10w1.htm" TargetMode="External"/><Relationship Id="rId283" Type="http://schemas.openxmlformats.org/officeDocument/2006/relationships/hyperlink" Target="http://www.sec.gov/Archives/edgar/data/1029199/000095012310046071/c57991exv10w2.htm" TargetMode="External"/><Relationship Id="rId284" Type="http://schemas.openxmlformats.org/officeDocument/2006/relationships/hyperlink" Target="http://www.sec.gov/Archives/edgar/data/1029199/000095012311018840/c61623exv10w25.htm" TargetMode="External"/><Relationship Id="rId285" Type="http://schemas.openxmlformats.org/officeDocument/2006/relationships/hyperlink" Target="http://www.sec.gov/Archives/edgar/data/1029199/000102919917000080/exhibit101nikosfountasempl.htm" TargetMode="External"/><Relationship Id="rId286" Type="http://schemas.openxmlformats.org/officeDocument/2006/relationships/hyperlink" Target="http://www.sec.gov/Archives/edgar/data/1029199/000095012311018840/c61623exv10w26.htm" TargetMode="External"/><Relationship Id="rId289" Type="http://schemas.openxmlformats.org/officeDocument/2006/relationships/hyperlink" Target="http://www.sec.gov/Archives/edgar/data/1029199/000102919916000143/eeft12312015ex1018.htm" TargetMode="External"/><Relationship Id="rId290" Type="http://schemas.openxmlformats.org/officeDocument/2006/relationships/hyperlink" Target="http://www.sec.gov/Archives/edgar/data/1029199/000102919916000159/def14aproxystatement-2016.htm" TargetMode="External"/><Relationship Id="rId291" Type="http://schemas.openxmlformats.org/officeDocument/2006/relationships/hyperlink" Target="http://www.sec.gov/Archives/edgar/data/1029199/000102919911000015/exhibit101creditagreement.htm" TargetMode="External"/><Relationship Id="rId292" Type="http://schemas.openxmlformats.org/officeDocument/2006/relationships/hyperlink" Target="http://www.sec.gov/Archives/edgar/data/1029199/000102919918000015/eeft12312017ex1019.htm" TargetMode="External"/><Relationship Id="rId293" Type="http://schemas.openxmlformats.org/officeDocument/2006/relationships/hyperlink" Target="http://www.sec.gov/Archives/edgar/data/1029199/000102919918000015/eeft12312017ex1020.htm" TargetMode="External"/><Relationship Id="rId294" Type="http://schemas.openxmlformats.org/officeDocument/2006/relationships/hyperlink" Target="http://www.sec.gov/Archives/edgar/data/1029199/000121390020027363/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2021-02-22T05:30:50Z</dcterms:created>
  <dcterms:modified xsi:type="dcterms:W3CDTF">2021-02-22T05:30:50Z</dcterms:modified>
</cp:coreProperties>
</file>