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July 31, 2012 was 50,830,210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169545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1"/>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9"/>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9"/>
          </w:tcPr>
          <w:p>
            <w:pPr>
              <w:spacing w:after="0"/>
              <w:rPr>
                <w:rFonts w:ascii="Arial" w:cs="Arial" w:eastAsia="Arial" w:hAnsi="Arial"/>
                <w:sz w:val="18"/>
                <w:szCs w:val="18"/>
                <w:b w:val="1"/>
                <w:bCs w:val="1"/>
                <w:color w:val="0000FF"/>
                <w:w w:val="99"/>
              </w:rPr>
            </w:pPr>
            <w:hyperlink w:anchor="page15">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1"/>
          </w:tcPr>
          <w:p>
            <w:pPr>
              <w:ind w:left="40"/>
              <w:spacing w:after="0"/>
              <w:rPr>
                <w:rFonts w:ascii="Arial" w:cs="Arial" w:eastAsia="Arial" w:hAnsi="Arial"/>
                <w:sz w:val="18"/>
                <w:szCs w:val="18"/>
                <w:color w:val="0000FF"/>
              </w:rPr>
            </w:pPr>
            <w:hyperlink w:anchor="page33">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30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33">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784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73,305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98,819</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$17,210 at June 30, 2012 and $14,787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2011</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286,721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349,543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61,640</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684,053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753,970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$190,190 at June 30, 2012 and $175,875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108,033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485,495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488,628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$128,549 at June 30, 2012 and $129,119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$21,807 at June 30, 2012 and $19,529 at December 31, 2011</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60,953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216,794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170,654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28,272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774,486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140,757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161,694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26,003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13,152</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882,969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979,584</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 $0.02 par value. 90,000,000 shares authorized; 52,413,515 issued at June 30, 2012 and 51,982,227</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issued at December 31, 2011</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766,221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Treasury stock, at cost, 1,590,477 shares at June 30, 2012 and 1,543,441 shares at December 31, 2011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538,187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520,435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542,724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526,745</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1,425,693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3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4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542,395</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192,589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175,392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386,587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346,276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43,758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27,073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50,286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29,723</w:t>
            </w:r>
          </w:p>
        </w:tc>
        <w:tc>
          <w:tcPr>
            <w:tcW w:w="0" w:type="dxa"/>
            <w:vAlign w:val="bottom"/>
          </w:tcPr>
          <w:p>
            <w:pPr>
              <w:spacing w:after="0"/>
              <w:rPr>
                <w:sz w:val="1"/>
                <w:szCs w:val="1"/>
                <w:color w:val="auto"/>
              </w:rPr>
            </w:pPr>
          </w:p>
        </w:tc>
      </w:tr>
      <w:tr>
        <w:trPr>
          <w:trHeight w:val="237"/>
        </w:trPr>
        <w:tc>
          <w:tcPr>
            <w:tcW w:w="49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282,523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261,002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564,303</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506,378</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36,017</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(losses) gains, net</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1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37"/>
        </w:trPr>
        <w:tc>
          <w:tcPr>
            <w:tcW w:w="4960" w:type="dxa"/>
            <w:vAlign w:val="bottom"/>
          </w:tcPr>
          <w:p>
            <w:pPr>
              <w:ind w:left="600"/>
              <w:spacing w:after="0"/>
              <w:rPr>
                <w:sz w:val="20"/>
                <w:szCs w:val="20"/>
                <w:color w:val="auto"/>
              </w:rPr>
            </w:pPr>
            <w:r>
              <w:rPr>
                <w:rFonts w:ascii="Arial" w:cs="Arial" w:eastAsia="Arial" w:hAnsi="Arial"/>
                <w:sz w:val="18"/>
                <w:szCs w:val="18"/>
                <w:color w:val="auto"/>
              </w:rPr>
              <w:t>Other (expense) income, net</w:t>
            </w:r>
          </w:p>
        </w:tc>
        <w:tc>
          <w:tcPr>
            <w:tcW w:w="1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42,875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Net loss (income) attributable to noncontrolling</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interests</w:t>
            </w: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10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5,747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11,889</w:t>
            </w: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18,919</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29,173</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40"/>
              <w:spacing w:after="0"/>
              <w:rPr>
                <w:sz w:val="20"/>
                <w:szCs w:val="20"/>
                <w:color w:val="auto"/>
              </w:rPr>
            </w:pPr>
            <w:r>
              <w:rPr>
                <w:rFonts w:ascii="Arial" w:cs="Arial" w:eastAsia="Arial" w:hAnsi="Arial"/>
                <w:sz w:val="18"/>
                <w:szCs w:val="18"/>
                <w:color w:val="auto"/>
              </w:rPr>
              <w:t>Earnings per share attributable to Euronet Worldwide, Inc.</w:t>
            </w:r>
          </w:p>
        </w:tc>
        <w:tc>
          <w:tcPr>
            <w:tcW w:w="12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7"/>
        </w:trPr>
        <w:tc>
          <w:tcPr>
            <w:tcW w:w="496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122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0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50,765,005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51,219,681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50,643,949</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51,144,154</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40"/>
              <w:spacing w:after="0"/>
              <w:rPr>
                <w:sz w:val="20"/>
                <w:szCs w:val="20"/>
                <w:color w:val="auto"/>
              </w:rPr>
            </w:pPr>
            <w:r>
              <w:rPr>
                <w:rFonts w:ascii="Arial" w:cs="Arial" w:eastAsia="Arial" w:hAnsi="Arial"/>
                <w:sz w:val="18"/>
                <w:szCs w:val="18"/>
                <w:color w:val="auto"/>
              </w:rPr>
              <w:t>Earnings per share attributable to Euronet Worldwide, Inc.</w:t>
            </w:r>
          </w:p>
        </w:tc>
        <w:tc>
          <w:tcPr>
            <w:tcW w:w="12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7"/>
        </w:trPr>
        <w:tc>
          <w:tcPr>
            <w:tcW w:w="4960" w:type="dxa"/>
            <w:vAlign w:val="bottom"/>
          </w:tcPr>
          <w:p>
            <w:pPr>
              <w:ind w:left="120"/>
              <w:spacing w:after="0"/>
              <w:rPr>
                <w:sz w:val="20"/>
                <w:szCs w:val="20"/>
                <w:color w:val="auto"/>
              </w:rPr>
            </w:pPr>
            <w:r>
              <w:rPr>
                <w:rFonts w:ascii="Arial" w:cs="Arial" w:eastAsia="Arial" w:hAnsi="Arial"/>
                <w:sz w:val="18"/>
                <w:szCs w:val="18"/>
                <w:color w:val="auto"/>
              </w:rPr>
              <w:t>stockholders — diluted</w:t>
            </w:r>
          </w:p>
        </w:tc>
        <w:tc>
          <w:tcPr>
            <w:tcW w:w="122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51,671,501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51,957,942</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51,483,148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51,950,613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12,294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29,925</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12,577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30,943</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24,871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60,868</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w w:val="98"/>
              </w:rPr>
              <w:t>Comprehensive loss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59,581</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29,925</w:t>
            </w:r>
          </w:p>
        </w:tc>
      </w:t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foreign exchange gain,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step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33,323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55,916</w:t>
            </w:r>
          </w:p>
        </w:tc>
      </w:tr>
      <w:tr>
        <w:trPr>
          <w:trHeight w:val="156"/>
        </w:trPr>
        <w:tc>
          <w:tcPr>
            <w:tcW w:w="85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6"/>
        </w:trPr>
        <w:tc>
          <w:tcPr>
            <w:tcW w:w="8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127,700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r>
      <w:tr>
        <w:trPr>
          <w:trHeight w:val="156"/>
        </w:trPr>
        <w:tc>
          <w:tcPr>
            <w:tcW w:w="85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9,239</w:t>
            </w:r>
          </w:p>
        </w:tc>
      </w:tr>
      <w:tr>
        <w:trPr>
          <w:trHeight w:val="156"/>
        </w:trPr>
        <w:tc>
          <w:tcPr>
            <w:tcW w:w="85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38,271</w:t>
            </w:r>
          </w:p>
        </w:tc>
      </w:t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187,235</w:t>
            </w:r>
          </w:p>
        </w:tc>
      </w:tr>
      <w:tr>
        <w:trPr>
          <w:trHeight w:val="162"/>
        </w:trPr>
        <w:tc>
          <w:tcPr>
            <w:tcW w:w="85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178,554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12,471</w:t>
            </w:r>
          </w:p>
        </w:tc>
      </w:tr>
      <w:tr>
        <w:trPr>
          <w:trHeight w:val="351"/>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3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638"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June 30, 2012, and the results of its operations for the three-and six-month periods ended June 30, 2012 and 2011 and cash flows for the six-month periods ended June 30, 2012 and 2011. The unaudited consolidated financial statements should be read in conjunction with the audited consolidated financial statements of Euronet for the year ended December 31, 2011, including the notes thereto, set forth in the Company’s 2011 Annual Report on Form 10-K.</w:t>
      </w:r>
    </w:p>
    <w:p>
      <w:pPr>
        <w:spacing w:after="0" w:line="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six-month periods ended June 30, 2012 are not necessarily indicative of the results to be expected for the full year ending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2011, the Financial Accounting Standards Board ("FASB") issued Accounting Standards Update ("ASU") 2011-08,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(Topic 350): Testing Goodwill for Impairment</w:t>
      </w:r>
      <w:r>
        <w:rPr>
          <w:rFonts w:ascii="Arial" w:cs="Arial" w:eastAsia="Arial" w:hAnsi="Arial"/>
          <w:sz w:val="18"/>
          <w:szCs w:val="18"/>
          <w:color w:val="auto"/>
        </w:rPr>
        <w:t>. ASU 2011-08 permits an entity to make a qualitative assessment of whether it is more likely than not</w:t>
      </w:r>
      <w:r>
        <w:rPr>
          <w:rFonts w:ascii="Arial" w:cs="Arial" w:eastAsia="Arial" w:hAnsi="Arial"/>
          <w:sz w:val="18"/>
          <w:szCs w:val="18"/>
          <w:i w:val="1"/>
          <w:iCs w:val="1"/>
          <w:color w:val="auto"/>
        </w:rPr>
        <w:t xml:space="preserve"> </w:t>
      </w:r>
      <w:r>
        <w:rPr>
          <w:rFonts w:ascii="Arial" w:cs="Arial" w:eastAsia="Arial" w:hAnsi="Arial"/>
          <w:sz w:val="18"/>
          <w:szCs w:val="18"/>
          <w:color w:val="auto"/>
        </w:rPr>
        <w:t>that a reporting unit's fair value is less than its carrying amount before applying the two-step goodwill impairment test. If an entity concludes that it is not more likely than not that the fair value of a reporting unit is less than its carrying amount, it would not be required to perform the two-step impairment test for that reporting unit. The qualitative assessment is applicable to the annual test of goodwill impairment as well as determining if an interim test of goodwill impairment is necessary. The Company adopted ASU 2011-08 effective January 1, 2012 and its adoption did not materially affect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the Company to money transfer recipients. As of June 30, 2012, the Company’s money transfer settlement obligations were $48.4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96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24"/>
                <w:szCs w:val="24"/>
                <w:color w:val="auto"/>
              </w:rPr>
            </w:pPr>
          </w:p>
        </w:tc>
      </w:tr>
      <w:tr>
        <w:trPr>
          <w:trHeight w:val="263"/>
        </w:trPr>
        <w:tc>
          <w:tcPr>
            <w:tcW w:w="5960" w:type="dxa"/>
            <w:vAlign w:val="bottom"/>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50,765,005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51,219,681</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50,643,949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51,144,154</w:t>
            </w:r>
          </w:p>
        </w:tc>
      </w:tr>
      <w:tr>
        <w:trPr>
          <w:trHeight w:val="229"/>
        </w:trPr>
        <w:tc>
          <w:tcPr>
            <w:tcW w:w="5960" w:type="dxa"/>
            <w:vAlign w:val="bottom"/>
          </w:tcPr>
          <w:p>
            <w:pPr>
              <w:ind w:left="180"/>
              <w:spacing w:after="0"/>
              <w:rPr>
                <w:sz w:val="20"/>
                <w:szCs w:val="20"/>
                <w:color w:val="auto"/>
              </w:rPr>
            </w:pPr>
            <w:r>
              <w:rPr>
                <w:rFonts w:ascii="Arial" w:cs="Arial" w:eastAsia="Arial" w:hAnsi="Arial"/>
                <w:sz w:val="18"/>
                <w:szCs w:val="18"/>
                <w:color w:val="auto"/>
                <w:w w:val="94"/>
              </w:rPr>
              <w:t>Incremental shares from assumed conversion of stock options and restricted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stock</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906,496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738,261</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839,199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806,459</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51,671,501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51,957,942</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51,483,148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51,950,613</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table includes the impact of all stock options and restricted stock that are dilutive to Euronet’s weighted average common shares outstanding during the periods. The calculation of diluted earnings per share excludes stock options or shares of restricted stock that are anti-dilutive to the Company’s weighted average common shares outstanding of approximately 3,496,000 and 3,662,000 for the three- and six-month periods ended June 30, 2012, respectively, and approximately 1,817,000 and 1,751,111 for the three- and six -month periods ended June 30, 2011, respectively.</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outstanding 3.50% debentures are convertible into 4.2 million shares of common stock only upon the occurrence of certain conditions. Under the if-converted method, the assumed conversion of the 3.50% debentures was anti-dilutive for the three- and six-month periods ended June 30, 2012 and 2011 and, accordingly, associated shares have been excluded from diluted weighted average shares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January 2012, the Company acquired the remaining 51% of the common stock, which it did not previously own, of Euronet Middle East W.L.L. The purchase price of approximately $6.4 million was paid from cash on hand. Accordingly, all assets and liabilities of Euronet Middle East W.L.L. were recorded at fair value which resulted in a $4.4 million gain on the increase of the book value of the 49% interest previously owned.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 in thousands)</w:t>
            </w:r>
          </w:p>
        </w:tc>
        <w:tc>
          <w:tcPr>
            <w:tcW w:w="6420" w:type="dxa"/>
            <w:vAlign w:val="bottom"/>
            <w:tcBorders>
              <w:bottom w:val="single" w:sz="8" w:color="auto"/>
            </w:tcBorders>
          </w:tcPr>
          <w:p>
            <w:pPr>
              <w:jc w:val="center"/>
              <w:ind w:left="4633"/>
              <w:spacing w:after="0"/>
              <w:rPr>
                <w:sz w:val="20"/>
                <w:szCs w:val="20"/>
                <w:color w:val="auto"/>
              </w:rPr>
            </w:pPr>
            <w:r>
              <w:rPr>
                <w:rFonts w:ascii="Arial" w:cs="Arial" w:eastAsia="Arial" w:hAnsi="Arial"/>
                <w:sz w:val="14"/>
                <w:szCs w:val="14"/>
                <w:b w:val="1"/>
                <w:bCs w:val="1"/>
                <w:color w:val="auto"/>
                <w:w w:val="94"/>
              </w:rPr>
              <w:t>Estimated Life</w:t>
            </w: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8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87"/>
              </w:rPr>
              <w:t>3-5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6800" w:type="dxa"/>
            <w:vAlign w:val="bottom"/>
            <w:tcBorders>
              <w:bottom w:val="single" w:sz="8" w:color="CCEEFF"/>
            </w:tcBorders>
            <w:gridSpan w:val="2"/>
            <w:shd w:val="clear" w:color="auto" w:fill="CCEEFF"/>
          </w:tcPr>
          <w:p>
            <w:pPr>
              <w:jc w:val="center"/>
              <w:ind w:left="4273"/>
              <w:spacing w:after="0"/>
              <w:rPr>
                <w:sz w:val="20"/>
                <w:szCs w:val="20"/>
                <w:color w:val="auto"/>
              </w:rPr>
            </w:pPr>
            <w:r>
              <w:rPr>
                <w:rFonts w:ascii="Arial" w:cs="Arial" w:eastAsia="Arial" w:hAnsi="Arial"/>
                <w:sz w:val="18"/>
                <w:szCs w:val="18"/>
                <w:color w:val="auto"/>
                <w:w w:val="88"/>
              </w:rPr>
              <w:t>8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Fair value of net assets</w:t>
            </w:r>
          </w:p>
        </w:tc>
        <w:tc>
          <w:tcPr>
            <w:tcW w:w="64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420" w:type="dxa"/>
            <w:vAlign w:val="bottom"/>
            <w:vMerge w:val="restart"/>
          </w:tcPr>
          <w:p>
            <w:pPr>
              <w:jc w:val="right"/>
              <w:ind w:right="431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89,613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485,495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575,108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2012, is expected to total $22.2 million for 2012, $17.5 million for 2013, $14.9 million for 2014, $9.7 million for 2015, $8.1 million for 2016 and $6.7 million for 2017.</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2011 resulted in no impairment charges.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2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338,775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gain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321,332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(177,499)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June 30,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69,257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71,500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143,833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3.50% convertible debentures had principal amounts outstanding of $171.4 million and unamortized discounts outstanding of $2.3 million and $6.3 million as of June 30, 2012 and December 31, 2011, respectively. The discount will be amortized through October 15, 2012. Interest expense, including contractual interest and discount accretion, was $3.5 million and $3.4 million for the three-month periods ended June 30, 2012 and 2011, respectively, and $6.9 million and $6.8 million for the six-month periods ended June 30, 2012 and 2011, respectively. The effective interest rate was 8.4% for the three- and six-month periods ended June 30, 2012 and 2011.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As of June 30, 2012, the Company had foreign currency forward contracts outstanding with a notional value of $80.6 million, primarily in euros and Mexican pesos, which were not designated as hedges and had a weighted average remaining maturity of 3 days.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At June 30, 2012 and December 31, 2011, the embedded derivative is recorded at fair value in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93"/>
              </w:rPr>
              <w:t>Fair Values of Derivative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Instruments as of</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5"/>
          </w:tcPr>
          <w:p>
            <w:pPr>
              <w:jc w:val="center"/>
              <w:ind w:left="79"/>
              <w:spacing w:after="0" w:line="153" w:lineRule="exact"/>
              <w:rPr>
                <w:sz w:val="20"/>
                <w:szCs w:val="20"/>
                <w:color w:val="auto"/>
              </w:rPr>
            </w:pPr>
            <w:r>
              <w:rPr>
                <w:rFonts w:ascii="Arial" w:cs="Arial" w:eastAsia="Arial" w:hAnsi="Arial"/>
                <w:sz w:val="14"/>
                <w:szCs w:val="14"/>
                <w:b w:val="1"/>
                <w:bCs w:val="1"/>
                <w:color w:val="auto"/>
                <w:w w:val="91"/>
              </w:rPr>
              <w:t>Consolidated Balance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restart"/>
          </w:tcPr>
          <w:p>
            <w:pPr>
              <w:jc w:val="right"/>
              <w:ind w:right="22"/>
              <w:spacing w:after="0"/>
              <w:rPr>
                <w:sz w:val="20"/>
                <w:szCs w:val="20"/>
                <w:color w:val="auto"/>
              </w:rPr>
            </w:pPr>
            <w:r>
              <w:rPr>
                <w:rFonts w:ascii="Arial" w:cs="Arial" w:eastAsia="Arial" w:hAnsi="Arial"/>
                <w:sz w:val="14"/>
                <w:szCs w:val="14"/>
                <w:b w:val="1"/>
                <w:bCs w:val="1"/>
                <w:color w:val="auto"/>
              </w:rPr>
              <w:t>June 30, 2012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5"/>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89"/>
              </w:rPr>
              <w:t>Sheet Location</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40" w:type="dxa"/>
            <w:vAlign w:val="bottom"/>
            <w:gridSpan w:val="10"/>
          </w:tcPr>
          <w:p>
            <w:pPr>
              <w:jc w:val="center"/>
              <w:ind w:right="440"/>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96"/>
              <w:spacing w:after="0"/>
              <w:rPr>
                <w:sz w:val="20"/>
                <w:szCs w:val="20"/>
                <w:color w:val="auto"/>
              </w:rPr>
            </w:pPr>
            <w:r>
              <w:rPr>
                <w:rFonts w:ascii="Arial" w:cs="Arial" w:eastAsia="Arial" w:hAnsi="Arial"/>
                <w:sz w:val="18"/>
                <w:szCs w:val="18"/>
                <w:color w:val="auto"/>
                <w:w w:val="92"/>
              </w:rPr>
              <w:t>Other 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6"/>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96"/>
              <w:spacing w:after="0"/>
              <w:rPr>
                <w:sz w:val="20"/>
                <w:szCs w:val="20"/>
                <w:color w:val="auto"/>
              </w:rPr>
            </w:pPr>
            <w:r>
              <w:rPr>
                <w:rFonts w:ascii="Arial" w:cs="Arial" w:eastAsia="Arial" w:hAnsi="Arial"/>
                <w:sz w:val="18"/>
                <w:szCs w:val="18"/>
                <w:color w:val="auto"/>
                <w:w w:val="92"/>
              </w:rPr>
              <w:t>Other current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5"/>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left="34"/>
              <w:spacing w:after="0"/>
              <w:rPr>
                <w:sz w:val="20"/>
                <w:szCs w:val="20"/>
                <w:color w:val="auto"/>
              </w:rPr>
            </w:pPr>
            <w:r>
              <w:rPr>
                <w:rFonts w:ascii="Arial" w:cs="Arial" w:eastAsia="Arial" w:hAnsi="Arial"/>
                <w:sz w:val="18"/>
                <w:szCs w:val="18"/>
                <w:color w:val="auto"/>
                <w:w w:val="96"/>
              </w:rPr>
              <w:t>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Other long-term</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6"/>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80" w:type="dxa"/>
            <w:vAlign w:val="bottom"/>
            <w:gridSpan w:val="13"/>
          </w:tcPr>
          <w:p>
            <w:pPr>
              <w:jc w:val="right"/>
              <w:ind w:right="210"/>
              <w:spacing w:after="0"/>
              <w:rPr>
                <w:sz w:val="20"/>
                <w:szCs w:val="20"/>
                <w:color w:val="auto"/>
              </w:rPr>
            </w:pPr>
            <w:r>
              <w:rPr>
                <w:rFonts w:ascii="Arial" w:cs="Arial" w:eastAsia="Arial" w:hAnsi="Arial"/>
                <w:sz w:val="14"/>
                <w:szCs w:val="14"/>
                <w:b w:val="1"/>
                <w:bCs w:val="1"/>
                <w:color w:val="auto"/>
                <w:w w:val="92"/>
              </w:rPr>
              <w:t>Amount of Gain (Loss) Recognized</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in Income on Derivative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Location of (Loss) Gain Recognized</w:t>
            </w:r>
          </w:p>
        </w:tc>
        <w:tc>
          <w:tcPr>
            <w:tcW w:w="180" w:type="dxa"/>
            <w:vAlign w:val="bottom"/>
          </w:tcPr>
          <w:p>
            <w:pPr>
              <w:spacing w:after="0"/>
              <w:rPr>
                <w:sz w:val="22"/>
                <w:szCs w:val="22"/>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22"/>
                <w:szCs w:val="22"/>
                <w:color w:val="auto"/>
              </w:rPr>
            </w:pPr>
          </w:p>
        </w:tc>
        <w:tc>
          <w:tcPr>
            <w:tcW w:w="19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89"/>
              </w:rPr>
              <w:t>2011</w:t>
            </w:r>
          </w:p>
        </w:tc>
        <w:tc>
          <w:tcPr>
            <w:tcW w:w="9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3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in Income on Derivative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 under ASC Topic 815</w:t>
            </w:r>
          </w:p>
        </w:tc>
        <w:tc>
          <w:tcPr>
            <w:tcW w:w="1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1"/>
                <w:szCs w:val="21"/>
                <w:color w:val="auto"/>
              </w:rPr>
            </w:pPr>
          </w:p>
        </w:tc>
        <w:tc>
          <w:tcPr>
            <w:tcW w:w="3480" w:type="dxa"/>
            <w:vAlign w:val="bottom"/>
            <w:gridSpan w:val="3"/>
          </w:tcPr>
          <w:p>
            <w:pPr>
              <w:ind w:left="40"/>
              <w:spacing w:after="0"/>
              <w:rPr>
                <w:sz w:val="20"/>
                <w:szCs w:val="20"/>
                <w:color w:val="auto"/>
              </w:rPr>
            </w:pPr>
            <w:r>
              <w:rPr>
                <w:rFonts w:ascii="Arial" w:cs="Arial" w:eastAsia="Arial" w:hAnsi="Arial"/>
                <w:sz w:val="18"/>
                <w:szCs w:val="18"/>
                <w:color w:val="auto"/>
              </w:rPr>
              <w:t>Foreign currency exchange (loss)gain,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(621)</w:t>
            </w:r>
          </w:p>
        </w:tc>
        <w:tc>
          <w:tcPr>
            <w:tcW w:w="74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709</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804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disclosed above for the Company's convertible debentures are based on quoted prices in active markets for identical assets and liabilities (Level 1). The Company’s assets and liabilities recorded at fair value on a recurring basis using significant other observable inputs (Level 2)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4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2012 and 2011:</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44,809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282,523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 June 30, 2011</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43,758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261,002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Six Months Ended June 30, 2012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599,999</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386,587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89,075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564,303</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For the Six Months Ended June 30, 2011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Money</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Services,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542,395</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346,276</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50,286</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29,723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506,378</w:t>
            </w:r>
          </w:p>
        </w:tc>
        <w:tc>
          <w:tcPr>
            <w:tcW w:w="0" w:type="dxa"/>
            <w:vAlign w:val="bottom"/>
          </w:tcPr>
          <w:p>
            <w:pPr>
              <w:spacing w:after="0"/>
              <w:rPr>
                <w:sz w:val="1"/>
                <w:szCs w:val="1"/>
                <w:color w:val="auto"/>
              </w:rPr>
            </w:pPr>
          </w:p>
        </w:tc>
      </w:tr>
      <w:tr>
        <w:trPr>
          <w:trHeight w:val="257"/>
        </w:trPr>
        <w:tc>
          <w:tcPr>
            <w:tcW w:w="394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2012, the Company had $89.2 million of stand-by letters of credit/bank guarantees issued on its behalf, of which $34.4 million are outstanding under the revolving credit facility. The remaining stand-by letters of credit/bank guarantees are collateralized by $14.8 million of cash deposits held by the respective issuing banks.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2012, the Company had granted off balance sheet guarantees for cash in various ATM networks amounting to $16.5 million over the terms of the cash supply agreements and performance guarantees amounting to approximately $27.5 million over the terms of the agreements with the customers.</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10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2012, the balance of ATM network cash for which the Company was responsible was approximately $315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36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160" w:hanging="648"/>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jurisdictions in which the Company has money transfer operations. The Company has obtained surety bonds in compliance with money transfer licensing requirements of the applicable governmental authorities.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2012 or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tax rates were 47.5% and 35.7% for the three-month periods ended June 30, 2012 and 2011, respectively, and 35.9% and 30.2% for the six-month periods ended June 30, 2012, and 2011, respectively. The effective tax rates were significantly influenced by the foreign currency exchange gains and losses, $4.4 million gain on acquisition during the six-month period ended June 30, 2012 and a $1.0 million gain on legal settlement during the six-month period ended June 30, 2011. Excluding these items from pre-tax income, as well as the related tax effects for these items, the Company’s effective tax rates were 33.6% and 44.2% for the three-month periods ended June 30, 2012 and 2011, respectively, and 38.1% and 44.5% for the six-month periods ended June 30, 2012 and 2011, respectively.</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effective tax rate, as adjusted, for the second quarter of 2012 was lower than the applicable statutory rate of 35% primarily because of the recognition of previously unrecognized tax benefits and tax return true ups in foreign jurisdictions. The Company's effective tax rate, as adjusted, for the first half of 2012 was higher than the applicable statutory rate of 35% primarily because of our U.S. income tax positions, partly offset by the recognition of previously unrecognized tax benefits and tax return true ups in foreign jurisdictions. For the six-month period ended June 30, 2012,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in these periods.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Bank card association rules provide a process by which loss and expense arising from such breaches is allocated among card issuers, acquirers and service providers such as Euronet. The Company expects that some claims may be asserted against it under such rules or under its agreements with acquiring banks. However, the Company believes that any liability under such claims will be limited by a number of factors including the fact that the majority of cards processed by the affected business were EMV compliant chip and PIN cards to which such rules either do not apply or apply a lower level of liability. Losses from fraudulent card activity appear to have been limited to magnetic stripe transactions processed on the affected systems. In addition, the Company maintains insurance to cover the financial exposure for response costs, losses by card issuers and fines or penalties from such incidents.</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this time, the Company is unable to predict the possible range of loss, if any, associated with the resolution of claims against it in connection with the breach. However, the Company does not at this time expect the net financial impact of loss or expense from the breach after the probable insurance recovery to be material.</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continuing to take aggressive measures to strengthen its security controls, and is working closely with computer security specialists in this regard.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Expenses related to the breach were $0.5 million in the first half of 2012, net of $1.7 million in amounts recovered from our insurance carrier and expected additional insurance recoveries of $0.2 million.</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Antitrust Investigation</w:t>
      </w:r>
      <w:r>
        <w:rPr>
          <w:rFonts w:ascii="Arial" w:cs="Arial" w:eastAsia="Arial" w:hAnsi="Arial"/>
          <w:sz w:val="17"/>
          <w:szCs w:val="17"/>
          <w:color w:val="auto"/>
        </w:rPr>
        <w:t xml:space="preserve"> - 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 CES foreign exchange transactions between the U.S and the D.R. generated approximately 0.3% of the Company’s 2009 consolidated revenues. The Company and CES are fully cooperating with the DOJ in its investigation.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During the three- and six-month periods ended June 30, 2012, no significant fees were incurred related to this investigation and related matters. In addition, the Company may incur in the future significant fees and expenses in connection with the DOJ investigation and related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Euronet Worldwide, Inc. and its subsidiaries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June 30, 2012, we operate in the following three principal operating segments:</w:t>
      </w:r>
    </w:p>
    <w:p>
      <w:pPr>
        <w:spacing w:after="0" w:line="80"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17,048 ATMs and approximately 69,000 POS terminals across Europe, the Middle East and Asia Pacific. We provide comprehensive electronic payment solutions consisting of ATM cash withdrawal services, ATM network participation, outsourced ATM and POS management solutions, credit and debit card outsourcing, and value added services, including dynamic currency conversion.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20" w:hanging="648"/>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epay Segment, which provides distribution, processing and collection services for prepaid mobile airtime and other electronic payment products. Including terminals operated by unconsolidated subsidiaries, we operate a network of approximately 617,000 POS terminals providing electronic processing of prepaid mobile airtime top-up services and other electronic payment products in Europe, the Middle East, Asia Pacific, North America and South America. We also provide vouchers and physical gift fulfillment services in Europe.</w:t>
      </w:r>
    </w:p>
    <w:p>
      <w:pPr>
        <w:spacing w:after="0" w:line="63" w:lineRule="exact"/>
        <w:rPr>
          <w:rFonts w:ascii="Arial" w:cs="Arial" w:eastAsia="Arial" w:hAnsi="Arial"/>
          <w:sz w:val="17"/>
          <w:szCs w:val="17"/>
          <w:color w:val="auto"/>
        </w:rPr>
      </w:pPr>
    </w:p>
    <w:p>
      <w:pPr>
        <w:ind w:left="980" w:right="2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158,000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28 principal offices in Europe, six in North America, nine in Asia Pacific, one in South America, and two in Africa. Our executive offices are located in Leawood, Kansas, USA. With approximately 77%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revenues are described below.</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18% of total consolidated revenues for the first half</w:t>
      </w:r>
      <w:r>
        <w:rPr>
          <w:rFonts w:ascii="Arial" w:cs="Arial" w:eastAsia="Arial" w:hAnsi="Arial"/>
          <w:sz w:val="16"/>
          <w:szCs w:val="16"/>
          <w:i w:val="1"/>
          <w:iCs w:val="1"/>
          <w:color w:val="auto"/>
        </w:rPr>
        <w:t xml:space="preserve"> </w:t>
      </w:r>
      <w:r>
        <w:rPr>
          <w:rFonts w:ascii="Arial" w:cs="Arial" w:eastAsia="Arial" w:hAnsi="Arial"/>
          <w:sz w:val="16"/>
          <w:szCs w:val="16"/>
          <w:color w:val="auto"/>
        </w:rPr>
        <w:t>of 2012,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and other value added services such as advertising, money transfers and foreign currency exchange margin on dynamic currency conversion transactions provided over ATMs. Through our proprietary network, we generally charge fees or earn margin on four types of ATM transactions: i) cash withdrawals, ii) balance inquiries, iii) transactions not completed because the relevant card issuer did not give authorization, and iv) value 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57% of total consolidated revenues for the first half of 2012, are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derived from commissions or processing fees received from mobile phone operators for the sale and distribution of prepaid mobile airtime. We also generate revenues from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2012,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8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use of third-party providers such as ourselves to supply electronic processing solutions for existing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additional content;</w:t>
      </w:r>
    </w:p>
    <w:p>
      <w:pPr>
        <w:spacing w:after="0" w:line="131"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six-month periods ended June 30, 2012 and 2011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1"/>
              </w:rPr>
              <w:t>Revenues for the Three Months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1"/>
              </w:rPr>
              <w:t>Revenues for the Six Months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Ended June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1"/>
              </w:rPr>
              <w:t>Ended June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(Decrease)</w:t>
            </w:r>
          </w:p>
        </w:tc>
        <w:tc>
          <w:tcPr>
            <w:tcW w:w="12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gridSpan w:val="2"/>
          </w:tcPr>
          <w:p>
            <w:pPr>
              <w:spacing w:after="0"/>
              <w:rPr>
                <w:sz w:val="24"/>
                <w:szCs w:val="2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108,226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94,739</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156,479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343,014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311,592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31,422</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77,483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148,918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136,182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4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302,463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279,862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22,601</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600,158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542,513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57,645</w:t>
            </w:r>
          </w:p>
        </w:tc>
        <w:tc>
          <w:tcPr>
            <w:tcW w:w="40" w:type="dxa"/>
            <w:vAlign w:val="bottom"/>
            <w:tcBorders>
              <w:top w:val="single" w:sz="8" w:color="auto"/>
            </w:tcBorders>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42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279,802</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22,575</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599,999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542,395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57,604</w:t>
            </w:r>
          </w:p>
        </w:tc>
        <w:tc>
          <w:tcPr>
            <w:tcW w:w="4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6"/>
              </w:rPr>
              <w:t>Operating Income (Loss) for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vMerge w:val="restart"/>
          </w:tcPr>
          <w:p>
            <w:pPr>
              <w:jc w:val="right"/>
              <w:ind w:right="255"/>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160" w:type="dxa"/>
            <w:vAlign w:val="bottom"/>
            <w:gridSpan w:val="8"/>
          </w:tcPr>
          <w:p>
            <w:pPr>
              <w:ind w:left="60"/>
              <w:spacing w:after="0"/>
              <w:rPr>
                <w:sz w:val="20"/>
                <w:szCs w:val="20"/>
                <w:color w:val="auto"/>
              </w:rPr>
            </w:pPr>
            <w:r>
              <w:rPr>
                <w:rFonts w:ascii="Arial" w:cs="Arial" w:eastAsia="Arial" w:hAnsi="Arial"/>
                <w:sz w:val="14"/>
                <w:szCs w:val="14"/>
                <w:b w:val="1"/>
                <w:bCs w:val="1"/>
                <w:color w:val="auto"/>
                <w:w w:val="97"/>
              </w:rPr>
              <w:t>Operating Income (Loss) for the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133"/>
              <w:spacing w:after="0"/>
              <w:rPr>
                <w:sz w:val="20"/>
                <w:szCs w:val="20"/>
                <w:color w:val="auto"/>
              </w:rPr>
            </w:pPr>
            <w:r>
              <w:rPr>
                <w:rFonts w:ascii="Arial" w:cs="Arial" w:eastAsia="Arial" w:hAnsi="Arial"/>
                <w:sz w:val="14"/>
                <w:szCs w:val="14"/>
                <w:b w:val="1"/>
                <w:bCs w:val="1"/>
                <w:color w:val="auto"/>
                <w:w w:val="94"/>
              </w:rPr>
              <w:t>Six Months Ended 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15,324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1,049</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9,990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13,485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23,191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26,615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(3,424)</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6,674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3,180</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7"/>
        </w:trPr>
        <w:tc>
          <w:tcPr>
            <w:tcW w:w="24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27,005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50,536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49,731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(13,714)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7"/>
        </w:trPr>
        <w:tc>
          <w:tcPr>
            <w:tcW w:w="242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19,854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18,800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35,696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36,017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Compared to most of the currencies of the foreign countries in which we operate, the U.S. dollar was stronger during the second quarter and first half of 2012 than it was during the comparable 2011 periods. Because our revenues and local expenses are recorded in the functional currencies of our operating entities, amounts we earned for the second quarter and first half of 2012 reflected a negative impact due to the weaker foreign currencies. Considering the results by country and the associated functional currency, we estimate that our consolidated operating income for the second quarter and first half of 2012 was approximately 11% and 8% lower, respectively, when compared to the same periods of 2011 as a result of changes in foreign currency exchange rates. If significant, in our discussion we will refer to the impact of fluctuations in foreign currency exchange rates in our comparison of operating segment results for the three- and six-month periods ended June 30, 2012 and 2011. To provide further perspective on the impact of foreign currency exchange rates, the following table shows the changes in currency values relative to the U.S. dollar from the second quarter and first half of 2011 to the same periods of 2012 for the countries and regions in which we have our most significant operations: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June 30, 2012</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June 30, 2011</w:t>
            </w:r>
          </w:p>
        </w:tc>
        <w:tc>
          <w:tcPr>
            <w:tcW w:w="120" w:type="dxa"/>
            <w:vAlign w:val="bottom"/>
            <w:vMerge w:val="restart"/>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4"/>
                <w:szCs w:val="14"/>
                <w:color w:val="auto"/>
              </w:rPr>
            </w:pPr>
          </w:p>
        </w:tc>
        <w:tc>
          <w:tcPr>
            <w:tcW w:w="13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June 30, 2012</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June 30, 2011</w:t>
            </w:r>
          </w:p>
        </w:tc>
        <w:tc>
          <w:tcPr>
            <w:tcW w:w="100" w:type="dxa"/>
            <w:vAlign w:val="bottom"/>
            <w:vMerge w:val="restart"/>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 (dollars per foreign currency)</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1.0626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1.0327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1.0343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0.6136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1.5826</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1.6313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1.5772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0.0054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0.0052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0.0223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0.3021</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0.3640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0.3064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0.3556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2012 AND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2012 and 2011 for our EFT Processing Segment: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22"/>
                <w:szCs w:val="22"/>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9,191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4,990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4,990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revenues for the second quarter and first half of 2012 increased when compared to the same periods of 2011, primarily due to an increase in the number of ATMs under management, including those added from 2011 acquisitions, and growth in value added services, including dynamic currency conversion. These increases were partly offset by the impact of the weaker foreign currencies in 2012. The increase for the first half was also partly offset by the $1.2 million previously deferred revenue recognized in the first quarter of 2011 related to a customer discontinuing a certain product in Greece.</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Average monthly revenue per ATM was $1,160 for the second quarter and $1,129 for the first half of 2012 compared to $1,436 for the second quarter and $1,395 for the first half of 2011. These decreases were primarily the result of ATM and transaction growth in India and Pakistan, where revenues per ATM and revenues per transaction are generally lower than those in Europe, and the impact of the weaker foreign currencies. Revenue per transaction was $0.20 for the second quarter and $0.19 for the first half of 2012 compared to $0.22 each for the second quarter and the first half of 2011. These decreases were primarily due to transaction growth in India and Pakistan along with the impact of the weaker foreign currencies in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the second quarter and first half of 2012 compared to the same periods of 2011, primarily due to the increase in the number of ATMs under management, partly offset by the impact of the weaker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$30.1 million for the second quarter and $54.3 million for the first half of 2012 compared to $27.0 million for the second quarter and $49.3 million for the first half of 2011. The increase for the second quarter of 2012 was primarily due to the increase in ATMs under management and the growth in value added services, partly offset by the impact of the weaker foreign currencies. The increase for the first half of 2012 was also partly offset by the additional revenue recognized in Greece in the first quarter of 2011. Gross profit as a percentage of revenues (“gross margin”) was 52% for the second quarter and 50% for the first half of 2012 compared to 54% for the second quarter and 52% for the first half of 2011; these decreases were largely due to the greater number of newly installed ATMs in the second quarter and first half of 2012 compared to the same periods of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increases in salaries and benefits for the second quarter and first half of 2012 was primarily due to adding employees to support the growth in ATMs under management, including those obtained through acquisitions, partly offset by the impact of the weaker foreign currencies. As a percentage of revenues, these costs decreased to 14.4% for the second quarter and 14.6% for the first half of 2012 compared to 15.9% for the second quarter and 15.7% for the first half of 2011; these decreases resulted from revenue growth that did not require similar increases in support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increases in selling, general and administrative expenses for the second quarter and first half of 2012 compared to the same periods of 2011 was primarily due to increased costs in growing markets, including those in which acquisitions were made in the past year. These increases were partly offset by the impact of the weaker foreign currencies. As a percentage of revenues, selling, general and administrative expenses decreased to 8.6% for the second quarter and</w:t>
      </w:r>
    </w:p>
    <w:p>
      <w:pPr>
        <w:ind w:right="20"/>
        <w:spacing w:after="0" w:line="261" w:lineRule="auto"/>
        <w:rPr>
          <w:sz w:val="20"/>
          <w:szCs w:val="20"/>
          <w:color w:val="auto"/>
        </w:rPr>
      </w:pPr>
      <w:r>
        <w:rPr>
          <w:rFonts w:ascii="Arial" w:cs="Arial" w:eastAsia="Arial" w:hAnsi="Arial"/>
          <w:sz w:val="18"/>
          <w:szCs w:val="18"/>
          <w:color w:val="auto"/>
        </w:rPr>
        <w:t>9.2% for the first half of 2012 from 8.9% for the second quarter and 9.3% for the first half of 2011. These decreases were primarily due to the growth in value added services, including dynamic currency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increased for the second quarter and first half of 2012 compared to the same periods of 2011, primarily due to the increase in ATMs under management and the amortization of intangible assets related to recent acquisitions, partly offset by the impact of the weaker foreign currencies. As a percentage of revenues, depreciation and amortization expense increased to 10.8% for the second quarter and 11.3% for the first half of 2012 compared to 10.4% for the second quarter and 10.7% for the first half of 2011, mainly as a result of the amortization of intangible assets related to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Operating income increased for the second quarter and first half of 2012 compared to the same periods of 2011, primarily due to an increase in ATMs under management and growth in value added services, including dynamic currency conversion, partly offset by the impact of the weaker foreign currencies. The increase for the first half of 2012 was also partly offset by the additional revenue recognized in Greece in the first quarter of 2011. Operating income per transaction was $0.04 for both the second quarter of 2012 and 2011 and $0.03 for both the first half of 2012 and 2011. Operating income as a percentage of revenues (“operating margin”) decreased to 17.7% for the second quarter and 15.1% for the first half of 2012 compared to 18.2% for the second quarter and 16.2% for the first half of 2011. These decreases reflect the increase in amortization of intangible assets related to recent acquisitions and the transaction growth in India, where the revenues per ATM and revenues per transaction are generally lower than Europe. The decrease for the first half of 2012 also reflects the additional revenues recognized in Greece in the first quarter of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six-month periods ended June 30, 2012 and 2011 for our epay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343,014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311,592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24,721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907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25,692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3,752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1,141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319,823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284,977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13,485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23,191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26,615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increase in revenues for the second quarter and first half of 2012 compared to the same periods of 2011 was primarily due to the impact of our third quarter 2011 acquisition of cadooz Holding GmbH ("cadooz") and an increase in transactions processed in Germany – mainly from increased demand for non-mobile products – and the U.S. These increases were partly offset by revenue declines in Australia, Brazil, Spain and the U.K., as well as the impact of the weaker foreign currencies. Revenues in Brazil decreased for the second quarter and first half of 2012 compared to the same period of 2011 due to certain mobile operators modifying their distribution strategies beginning in the fourth quarter of 2011. These mobile operator changes are expected to negatively impact revenues for the remainder of 2012. The revenue declines in Spain and the U.K. were mostly driven by economic and competitive pressures. Revenues in Australia decreased for the second quarter and first half of 2012 compared to the same periods of 2011 primarily due to the impact of certain large retailers entering into direct agreements with two mobile operators during the second half of 2011.</w:t>
      </w:r>
    </w:p>
    <w:p>
      <w:pPr>
        <w:spacing w:after="0" w:line="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certain markets, our revenues have declined or growth has slowed due to mobile phone operators driving competitive reductions in commissions or removing us from the airtime distribution chain by using alternative distribution strategies,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 and commercially appropriate.</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Revenues per transaction were $0.61 for the second quarter and $0.64 for the first half of 2012 compared to $0.59 for the second quarter and $0.61 for the first half of 2011. The increase in revenues per transaction was mainly due to the impact of cadooz transactions, which are recorded at gross value, in contrast to our other electronic payment products which are recorded at net value. This increase was partly offset by the impact of the weaker foreign currencies and other changes in the mix of transactions, particularly due to growth in India, and our ATX subsidiary. ATX and India provide only transaction processing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services without significant direct costs and other operating costs related to installing and managing terminals; therefore, the revenues we recognize from these transactions are a fraction of those recognized on average transactions, but with strong contribution to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was primarily attributable to the impact of cadooz transactions, as well as the growth in transactions in Germany and the U.S., partly offset by the decrease in the number of transactions processed in Australia, Brazil, and Spain, lower commission costs in the U.K. and the impact of the weaker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Gross profit, which represents revenues less direct costs, was $38.7 million for the second quarter and $79.8 million for the first half of 2012 compared to $37.9 million for the second quarter and $73.1 million for the first half of 2011. The primary factors behind the increase in gross profit are the impact of cadooz transactions and the increased transaction volumes in Germany – mainly from increased demand for non-mobile products – and the U.S. These increases were partly offset by a decline in transaction volume in Australia, Brazil, and Spain and the impact of weaker foreign currencies. Gross margin declined to 23% for the second quarter of 2012 from 24% in the same period of 2011, reflecting the impact of the cadooz transactions and lower gross margins in Brazil and Spain. Gross margin was flat at 23% for both the first half of 2012 and 2011. Gross profit per transaction was flat at $0.14 for the second quarter of 2012 and 2011. Gross profit per transaction increased to $0.15 for the first half of 2012 compared to $0.14 for the first half of 2011. This increase reflects the impact of cadooz transactions, partly offset by the impact of weaker foreign currencies and a higher percentage of lower profit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the second quarter and first half of 2012 compared to the same periods of 2011 was primarily due to the impact of the cadooz acquisition, growth of sales staff and additional headcount to support development of new products and growing markets, partly offset by the impact of the weaker foreign currencies. As a percentage of revenues, salaries and benefits increased to 7.5% for both the second quarter and the first half of 2012 from 7.4% for the second quarter and 7.0% the first half of 2011. These increases were primarily due to a decrease in revenues in Australia and Brazil for the first half of 2012 compared to the same period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increase in selling, general and administrative expenses for the second quarter and first half of 2012 compared to the same periods of 2011 was mainly due to the impacts of the cadooz acquisition and increased bad debt expense in certain countries, partly offset by the impact of the weaker foreign currencies. As a percentage of revenues, these expenses increased to 6.7% for the second quarter and 6.1% for the first half of 2012 from 5.4% for the second quarter and 5.0% for the first half of 2011, primarily because of the decreases in epay Australia's and epay Spain's revenues for the second quarter and first half of 2012. The increase for the second quarter of 2012 was also due to the increase in bad debt expense compared to the second quarter of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the second quarter and first half of 2012 compared to the same periods of 2011 mainly due to the impact of the cadooz acquisition, including amortization of acquired intangible assets, and the addition of POS terminals in growing markets. These increases were partly offset by decreased expense in markets where acquired intangible assets became fully amortized, as well as the impact of the weaker foreign currencies. As a percentage of revenues, these expenses increased slightly to 3.0% for both the second quarter and the first half of 2012 from 2.9% in the same periods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decrease in operating income for the second quarter and first half of 2012 compared to the same periods of 2011 was primarily due to transaction volume and revenue declines in Australia, Brazil, and Spain, and the impact of the weaker foreign currencies. The declines in volume and revenue in Brazil were due to certain mobile operators modifying their distribution strategies beginning in the fourth quarter of 2011. These mobile operator changes are expected to negatively impact revenues for the remainder of 2012. The declines in volume and revenue in Spain were mostly driven by economic and competitive pressures. In addition, the declines in volume and revenues in Australia were due to certain large retailers entering into direct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agreements with two mobile operators during the second half of 2011. These decreases were partly offset by increases in transaction volumes in the U.S. and Germany and the impact of the cadooz acquisition. Operating margin was 6.0% for the second quarter and 6.8% for the first half of 2012 compared to 8.6% for the second quarter and 8.5% for the first half of 2011. These decreases were primarily due to the inclusion of cadooz revenues at gross value and the increase in bad debt expense. Also contributing to these decreases were the revenue declines in Australia, Brazil, and Spain for both the second quarter and first half of 2012 compared to 2011. Operating income per transaction declined to $0.04 for both second quarter and first half of 2012 and compared to $0.05 for the same periods of 2011, primarily due to the declines in operating income discussed above.</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earlier, in our epay Brazil operations, operating expenses have increased significantly and revenues are expected to be negatively impacted by certain mobile operators' distribution strategies throughout 2012. To regain our desired profitability in Brazil, we are adjusting our strategy and making changes in the business to better align costs with its revenues. Additionally, we expect to introduce other electronic payment products in this market during 2013 to increase revenues. However, if we are unable to achieve adequate profitability within epay Brazil in the longer term, it is possible that the goodwill or other acquired intangible assets of this reporting unit could become impaired.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results of operations for the three- and six-month periods ended June 30, 2012 and 2011 for the Money Transfer Segment: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3"/>
        </w:trPr>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7"/>
                <w:szCs w:val="17"/>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136,182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12,736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17,360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33,365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3,252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137,946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9,556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7,792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3,180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Transactions processed (millions)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increase in revenues for the second quarter and first half of 2012 compared to the same periods of 2011 was primarily due to increase in the number of transactions processed and growth in other products such as mobile top-up, check cashing and bill payment, partly offset by the impact of the weaker foreign currencies. The growth in transactions processed was driven by a 10% and 12% increase in money transfers, including a 11% and 13% increase from the U.S. and 9% and 10% from non-U.S. markets in the second quarter and first half of 2012, respectively. The increase in transfers from the U.S. was primarily the result of the continued recovery of U.S. to Mexico money transfer activity and the expansion of the number of company-owned stores and agents. The increase in transfers from non-U.S. markets was due to the expansion of our agent and correspondent payout networks.</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Revenues per transaction decreased to $10.47 for the second quarter and $10.56 for the first half of 2012 from $11.97 for the second quarter and $11.95 for the first half of 2011. The growth rate of transactions exceeded the revenue growth rate for the second quarter and first half of 2012 compared to the same periods of 2011, largely because of the increase in the number of non-money transfer transactions, which generate considerably lower revenues per transaction than money transfers, and the impact of the weaker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beneficiary, together with less significant costs, such as telecommunication costs and bank depository fees. The increase in direct operating costs in the second quarter and first half of 2012 compared to the same periods of 2011 was primarily due to the growth in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processed.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which represents revenues less direct costs, was $41.0 million for the second quarter and $79.3 for the first half of 2012 compared to $39.5 million for the second quarter and $73.7 million for the first half of 2011. These increases were primarily due to the growth in money transfer transactions and the addition of new products. Gross margin was 53% for both the second quarter and first half of 2012 compared to 54% for the same periods of 2011. These declines were primarily due to the increase in the number of non-money transfer transactions, which generate considerably lower revenues and margin per transaction than money transfers.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salaries and benefits for the second quarter and first half of 2012 compared to the same periods of 2011 was due to the increased expenditures we incurred to support expansion of our operations in the U.S and internationally. As a percentage of revenues, salaries and benefits remained flat at 23.8% for the second quarter of 2012 compared to the same period of 2011. For the first half of 2012 salaries and benefits as a percentage of revenues increased slightly to 24.6% from 24.5% in same period of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Selling, general and administrative expenses decreased for the second quarter of 2012 compared to the same period of 2011, primarily as the result of cost control measures implemented during second quarter of 2012, both in the U.S. and internationally, and the impact of weaker foreign currencies. Selling, general and administrative expenses increased slightly for the first half of 2012 compared to the same period of 2011 primarily due to first quarter costs for expansion being largely offset by the cost control measures discussed above implemented during second quarter of 2012. As a percentage of revenues, selling, general and administrative expenses decreased to 14.6% for the second quarter and 15.0% for the first half of 2012 from 16.7% for the second quarter and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16.3% for the first half of 2011, primarily due to the decrease in expenditures for the second quarter of 2012 discussed above combined with the increases in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second quarter and first half of 2012, depreciation and amortization decreased compared to the same periods in 2011, primarily as a result of certain acquired intangible assets becoming fully amortized at the end of the first quarter of 2012 and 2011. As a percentage of revenues, depreciation and amortization decreased to 6.0% for the second quarter and 6.3% for the first half of 2012 from 6.8% for the second quarter and 7.6% for the first half of 2011, primarily due to the decrease in depreciation and amortization discussed above combined with the increases in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Operating income increased by $1.7 million for the second quarter and $3.2 million for the first half of 2012 compared to the same periods of 2011. These increases reflect the growth in transactions processed, the acquired intangible assets becoming fully amortized and the addition of new products, partly offset by increased salaries and benefits expense. As a result, operating margin increased to 8.6% for the second quarter and 7.4% for the first half of 2012 from</w:t>
      </w:r>
    </w:p>
    <w:p>
      <w:pPr>
        <w:ind w:right="40"/>
        <w:spacing w:after="0" w:line="261" w:lineRule="auto"/>
        <w:rPr>
          <w:sz w:val="20"/>
          <w:szCs w:val="20"/>
          <w:color w:val="auto"/>
        </w:rPr>
      </w:pPr>
      <w:r>
        <w:rPr>
          <w:rFonts w:ascii="Arial" w:cs="Arial" w:eastAsia="Arial" w:hAnsi="Arial"/>
          <w:sz w:val="18"/>
          <w:szCs w:val="18"/>
          <w:color w:val="auto"/>
        </w:rPr>
        <w:t>6.9% for the second quarter and 5.7% for the first half of 2011, while operating income per transaction increased to $0.90 for the second quarter and $0.78 for the first half of 2012 from $0.82 for the second quarter and $0.68 for the first half of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2012 and 2011 for Corporate Services: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w w:val="86"/>
              </w:rPr>
              <w:t>(Decrease)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w w:val="98"/>
              </w:rPr>
              <w:t>Increase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2"/>
                <w:szCs w:val="12"/>
                <w:color w:val="auto"/>
              </w:rPr>
            </w:pPr>
          </w:p>
        </w:tc>
        <w:tc>
          <w:tcPr>
            <w:tcW w:w="7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14,840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1,126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Overall, operating expenses for Corporate Services decreased for the second quarter of 2012 compared to the same period of 2011, mostly due to a decrease in salaries and benefits and selling, general, and administration expenses. The decrease in salaries and benefits was primarily the result of lower share-based compensation and bonus expense due to poorer performance relative to the award criteria. The decrease in selling, general and administrative expenses was due mainly to lower professional fees. Operating expenses for Corporate Services increased for the first half of 2012 compared to the same period of 2011, mostly due to an overall increase in salaries and benefits expenses. This increase was primarily the result of an increase in share-based compensation expense recognized in the first quarter of 2012 compared to 2011, partly offset by a decrease in bonus expense.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Legal settlement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(losses) gains, net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(loss)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740" w:type="dxa"/>
            <w:vAlign w:val="bottom"/>
            <w:gridSpan w:val="2"/>
          </w:tcPr>
          <w:p>
            <w:pPr>
              <w:ind w:left="200"/>
              <w:spacing w:after="0"/>
              <w:rPr>
                <w:sz w:val="20"/>
                <w:szCs w:val="20"/>
                <w:color w:val="auto"/>
              </w:rPr>
            </w:pPr>
            <w:r>
              <w:rPr>
                <w:rFonts w:ascii="Arial" w:cs="Arial" w:eastAsia="Arial" w:hAnsi="Arial"/>
                <w:sz w:val="18"/>
                <w:szCs w:val="18"/>
                <w:color w:val="auto"/>
              </w:rPr>
              <w:t>gain, net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(8,444)</w:t>
            </w:r>
          </w:p>
        </w:tc>
        <w:tc>
          <w:tcPr>
            <w:tcW w:w="120" w:type="dxa"/>
            <w:vAlign w:val="bottom"/>
          </w:tcPr>
          <w:p>
            <w:pPr>
              <w:spacing w:after="0"/>
              <w:rPr>
                <w:sz w:val="20"/>
                <w:szCs w:val="20"/>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(15,593)</w:t>
            </w:r>
          </w:p>
        </w:tc>
        <w:tc>
          <w:tcPr>
            <w:tcW w:w="120" w:type="dxa"/>
            <w:vAlign w:val="bottom"/>
          </w:tcPr>
          <w:p>
            <w:pPr>
              <w:spacing w:after="0"/>
              <w:rPr>
                <w:sz w:val="20"/>
                <w:szCs w:val="20"/>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decrease in interest income for the second quarter of 2012 compared to the same period of 2011 was primarily due to less interest earned on overnight deposits in Australia and Brazil and the impact of weaker foreign currencies, partly offset by an increase in interest earned on overnight deposits in Poland that began in the second half of 2011. The increase in interest income for the first half of 2012 compared to the same period of 2011 was primarily due to the increase in interest earned in Poland, as discussed above, exceeding the decreases in interest income earned in Australia and Brazil during the first quarter of 2012, partly offset by the impact of weaker foreign currencies.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interest expense for the second quarter and first half of 2012 from the same periods of 2011 was primarily related to having larger amounts outstanding under the credit facility during both periods of 2012 than during the same periods of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unconsolidated affiliates primarily represents the equity in income of our 40% equity investment in epay Malaysia and our 49% investment in Euronet Middle East during 2011 before our acquisition of the remaining 51% interest in January 2012. The decrease in income from unconsolidated affiliates was nearly all the result of consolidating Euronet Middle East's results beginning in January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we recorded a $1.0 million gain from the settlement of a class action lawsuit related to losses on MoneyGram International,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we formerly held.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(losses) gains, net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second quarter and first half of 2012, we recorded an investment in marketable securities at fair value which resulted in a loss of $0.15 million and $0.2 million, respectively.</w:t>
      </w:r>
    </w:p>
    <w:p>
      <w:pPr>
        <w:spacing w:after="0" w:line="6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Additionally, our acquisition of the remaining 51% interest in Euronet Middle East in January 2012 resulted in Euronet obtaining control of the entity and, therefore, was considered a business combination. Accordingly, we valued all assets and liabilities at fair value which resulted in a $4.4 million gain on the increase of the book value of the 49% interest previously owned.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recorded a net foreign currency exchange loss of $4.8 million in the second quarter and $2.7 million in the first half of 2012 compared to a net foreign currency exchange gain of $3.7 million in the second quarter and $12.9 million in the first half of 2011.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0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42,875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(6,825)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(12,950)</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12,294</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18,824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29,925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42,875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Adjust: Foreign currency exchange (loss) gain, net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3,652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12,937</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 Other (loss) gains, net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Adjust: Legal settlement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1,000</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15,859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15,467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27,863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28,938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(6,825)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(12,950)</w:t>
            </w:r>
          </w:p>
        </w:tc>
      </w:tr>
      <w:tr>
        <w:trPr>
          <w:trHeight w:val="256"/>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Adjust: Income tax expense (benefit) attributable to foreign currency exchange</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2"/>
        </w:trPr>
        <w:tc>
          <w:tcPr>
            <w:tcW w:w="6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gain, net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r>
      <w:tr>
        <w:trPr>
          <w:trHeight w:val="257"/>
        </w:trPr>
        <w:tc>
          <w:tcPr>
            <w:tcW w:w="6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(6,839)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(10,617)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(12,880)</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effective tax rates were 47.5% and 35.7% for the three-month periods ended June 30, 2012 and 2011, respectively, and were 35.9% and 30.2% for the six-month periods ended June 30, 2012 and 2011. The effective tax rates were significantly influenced by the foreign currency exchange gains and losses and other non-operating gains and losses in the respective periods. Excluding these items from pre-tax income, as well as the related tax effects for these items, our effective tax rates were 33.6% and 44.2% for the three months ended June 30, 2012 and 2011, respectively, and were 38.1% and 44.5% for the six months ended June 30, 2012 and 2011, respectively.</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effective tax rate, as adjusted, for the second quarter of 2012 was lower than the applicable statutory rate of 35% primarily because of the recognition of previously unrecognized tax benefits and tax return true-ups in foreign jurisdictions. The effective tax rate, as adjusted, for the first half of 2012 was higher than the applicable statutory rate of 35% primarily because of our U.S. income tax positions, partly offset by the recognition of previously unrecognized tax benefits and tax return true-ups in foreign jurisdictions. For the six-month period ended June 30, 2012,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in these periods.</w:t>
      </w:r>
    </w:p>
    <w:p>
      <w:pPr>
        <w:spacing w:after="0" w:line="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decrease in the effective tax rate, as adjusted, for the second quarter and first half of 2012 from the same periods of 2011 was primarily due to a smaller proportion of the Company's income being earned in countries with higher tax rates. The recognition of previously unrecognized tax benefits and tax return true-ups in foreign jurisdictions in the second quarter and first half of 2012 provided further reductions to the effective tax rate.</w:t>
      </w:r>
    </w:p>
    <w:p>
      <w:pPr>
        <w:spacing w:after="0" w:line="5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net loss attributable to noncontrolling interests was $0.02 million for the second quarter and $0.1 million for the first half of 2012 compared to net income attributable to noncontrolling interests of $0.4 million for the second quarter and $0.8 million for the first half of 2011. These losses were are primarily due to decreased profitability at our Movilcarga and ATX subsidiaries. Noncontrolling interests represents the elimination of net income or loss attributable to the minority shareholders’ portion of the following consolidated subsidiaries that are not wholly owned: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attributable to Euronet Worldwide, Inc. was $5.7 million for the second quarter and $18.9 million for first half of 2012 compared to $11.9 million for the second quarter and $29.2 million for the first half of 2011. As more fully discussed above, the decrease in net income of $10.3 million for the first half of 2012 as compared to the same period in 2011 was primarily the result of a foreign currency exchange loss of $2.7 million in the first half of 2012 compared to a gain of $12.9 million in the same period of 2011, a $0.3 million decrease in operating income, and the recognition of a gain on settlement of $1.0 million during the first quarter of 2011. These decreases were partly offset by a $4.2 million increase in other non-operating gains, a $2.4 million decrease in income tax expense and the $0.9 million decrease in net income attributable to noncontrolling interests. Other items decreased net income by $0.9 million during the first half of 2012 compared to the same period of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2012, we had negative working capital, which is calculated as the difference between total current assets and total current liabilities, of $18.4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compared to negative working capital of $20.5 million as of December 31, 2011. Our ratio of current assets to current liabilities was 0.97 at both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2012 and December 31, 2011. The increase in working capital was primarily due to working capital produced by operations during the first 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mostly offset by the acquisition of Euronet Middle East, repayments of borrowings under the revolving credit facility and capital expenditures. Working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was negative June 30, 2012 and December 31, 2011, primarily due to the inclusion in current maturities of long-term debt of $169.1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$165.2 million, respectively, the of 3.50% convertible debentures. Holders of the debentures have the option to require us to purchase their debentures at par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October 15, 2012, 2015 and 2020. As of June 30, 2012, the convertible price per share is significantly greater than the current trading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stock; therefore, we expect the bondholders to exercise their option on October 15, 2012. We believe we will have sufficient cash on hand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available under our revolving credit facility to fund these required repurchases as well as our other current obligations.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require substantial working capital to finance operations. The Money Transfer Segment funds the correspondent distribution network before receiving the benefit of amounts collected from customers by agents. Working capital needs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increase due to weekends and international banking holidays. As a result, we may report more or less working capital for the Money Transfer Segment based solely upon the day on which the reporting period ends. As of June 30, 2012, working capital in the Money Transfer Segment was $77.5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8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$178.6 million at June 30, 2012, of which $131.8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Cash flows provided by operating activities were $61.7 million for the first half of 2012 compared to $55.9 million for the first half of 2011. The increase was primarily due to improved operating results as adjusted for non-cash charges, as well as fluctuations in working capital mainly associated with the timing of the settlement processes with mobile operators in the epay Segment and with correspondents in the Money Transfer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flows used in investing activities were $32.4 million for the first half of 2012 compared to $21.3 million for the first half of 2011. During the first half of 2012, we used $5.9 million for acquisitions compared to $3.4 million in the first half of 2011. Purchases of property and equipment used $24.8 million and $16.7 million of cash for the first half of 2012 and 2011, respectively. Additionally, cash used for other investing activities totaled $1.8 million and $1.1 million for the first half of 2012 and 2011,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Cash flows used in financing activities were $20.0 million during the first half of 2012 compared to $5.6 million during the first half of 2011. Our financing activities for the first half of 2012 consisted primarily of net repayments of debt obligations of $21.1 million compared to $2.6 million for the first half of 2011.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half of 2012 we had a total of $179.7 million in borrowings and $197.4 million in repayments under our revolving credit facilities. During the first half of 2012, we paid $0.9 million in debt issuance costs associated with the amendment of our credit facility in 2011. In addition, during the first half of 2012 and 2011 we had $2.0 million and $1.0 million in repayments under our term loan, respectively. Additionally, for the six months ended June 30, 2012 and 2011, we paid $1.4 million and $1.6 million, respectively, for capital lease obligations. During the first half of 2011, we paid $5.5 million in settlement of contingent consideration amounts recorded at the time of two different acquisitions. Further, we received $1.9 million in proceeds from the issuance of shares for each of the periods ended June 30, 2012 and 2011.</w:t>
      </w:r>
    </w:p>
    <w:p>
      <w:pPr>
        <w:spacing w:after="0" w:line="61"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color w:val="auto"/>
        </w:rPr>
        <w:t xml:space="preserve">Expected future financing and investing cash requirements primarily depend on our acquisition activity and related financing needs. </w:t>
      </w:r>
      <w:r>
        <w:rPr>
          <w:rFonts w:ascii="Arial" w:cs="Arial" w:eastAsia="Arial" w:hAnsi="Arial"/>
          <w:sz w:val="18"/>
          <w:szCs w:val="18"/>
          <w:i w:val="1"/>
          <w:iCs w:val="1"/>
          <w:color w:val="auto"/>
        </w:rPr>
        <w:t>Other sources of capital</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$355 million senior secured credit facility (the "Credit Facility") consisting of a $265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$265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$205 million by requesting additional commitments from existing or new lenders. 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Credit Agreement. The maturity date for the Credit Facility is August 18, 2016, at which time the outstanding principal balance and all accrued interest will be due and payable in full. Financing costs of $4.5 million have been deferred and are being amortized over the terms of the respective loans.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2012, we had borrowings of $77.0 million outstanding under the term loan. We had $69.3 million of borrowings and $34.4 million of stand-by letters of credit outstanding under the revolving credit facility as of June 30, 2012. The remaining $171.3 million under the revolving credit facility was available for borrowing. As of June 30, 2012, our weighted average interest rate was 2.7% under the revolving credit facility and 2.2% under the term loan, excluding amortization of deferred financing costs.</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Short-term debt obligations</w:t>
      </w:r>
      <w:r>
        <w:rPr>
          <w:rFonts w:ascii="Arial" w:cs="Arial" w:eastAsia="Arial" w:hAnsi="Arial"/>
          <w:sz w:val="16"/>
          <w:szCs w:val="16"/>
          <w:color w:val="auto"/>
        </w:rPr>
        <w:t xml:space="preserve"> — Short-term debt obligations at June 30, 2012 were primarily comprised of the $169.1 million carrying value ($171.4 million in principal) of the 3.5% convertible debentures because the initial put option occurs on October 15, 2012 (see description below). Additionally, we have</w:t>
      </w:r>
    </w:p>
    <w:p>
      <w:pPr>
        <w:spacing w:after="0" w:line="323" w:lineRule="auto"/>
        <w:rPr>
          <w:sz w:val="20"/>
          <w:szCs w:val="20"/>
          <w:color w:val="auto"/>
        </w:rPr>
      </w:pPr>
      <w:r>
        <w:rPr>
          <w:rFonts w:ascii="Arial" w:cs="Arial" w:eastAsia="Arial" w:hAnsi="Arial"/>
          <w:sz w:val="16"/>
          <w:szCs w:val="16"/>
          <w:color w:val="auto"/>
        </w:rPr>
        <w:t>$5.5 million of payments due in the next twelve months under the term loan. Certain of our subsidiaries also have available credit lines and overdraft facilities to supplement short-term working capital requirements, when necessary, and there was $1.0 million outstanding under these facilities as of June 30, 2012.</w:t>
      </w:r>
    </w:p>
    <w:p>
      <w:pPr>
        <w:spacing w:after="0" w:line="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$171.4 million in principal amount of 3.50% Convertible Debentures Due 2025 is convertible into 4.2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 These terms and other material terms and conditions applicable to the convertible debentures are set forth in the indenture agreement governing the debentures.</w:t>
      </w:r>
    </w:p>
    <w:p>
      <w:pPr>
        <w:spacing w:after="0" w:line="5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Should holders of the 3.50% convertible debentures require us to repurchase their debentures on October 15, 2012, we believe we will have sufficient cash on hand and amounts available under our revolving credit facility to fund these required repurchases as well as our other current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Debt and equity repurchases</w:t>
      </w:r>
      <w:r>
        <w:rPr>
          <w:rFonts w:ascii="Arial" w:cs="Arial" w:eastAsia="Arial" w:hAnsi="Arial"/>
          <w:sz w:val="18"/>
          <w:szCs w:val="18"/>
          <w:color w:val="auto"/>
        </w:rPr>
        <w:t xml:space="preserve"> — In August 2011, our Board of Directors authorized the repurchase of any of our convertible debentures and up to $100 million or 5 million shares of our common stock. While we made no repurchases during the first half of 2012, we may repurchase such securities if prices provide attractive returns on capital.</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September 2011 acquisition of cadooz includes a liability for additional purchase price consideration based upon the level of revenues achieved by one of cadooz's subsidiaries for the three-year period ending in February 2014.</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half of 2012 were $24.9 million. These capital expenditures were primarily for the purchase of ATMs in Poland and India, as well as office, data center and company store computer equipment and software, and POS terminals for the epay Segment. Total capital expenditures for 2012 are currently estimated to be approximately $40 million to $50 million.</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129,000 of the approximately 617,000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Australia, Brazil and Spain epay businesses have recently experienced revenue declines as a result of changes in the distribution strategies of certain mobile operators in Australia and Brazil and a weak economy in Spain. Continued competitive and economic pressures in these markets may negatively impact the epay Segment's profitability in the near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2012, there were no material changes from the disclosure in our Annual Report on Form 10-K for the year ended December 31, 2011. To date, we are not aware of any significant claims made by the indemnified parties or parties to whom we have provided guarantees on behalf of our subsidiaries and, accordingly, no liabilities have been recorded as of June 30, 2012. See also Note 10,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2012, there have been no material changes from the disclosures relating to contractual obligations contained in our Annual Report on Form 10-K for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foreign currency exchange fluctuations; our ability to renew existing contracts at profitable rates; changes in laws and regulations affecting our business, including immigration laws, changes in our relationships with, or in fees charged by, our business partners, competition, the outcome of claims and other loss contingencies affecting the Company and those referred to above and as set forth and more fully described in Part I, Item 1A — Risk Factors of our Annual Report on Form 10-K for the year ended December 31, 2011. All forward-looking statements made in this Form 10-Q speak only as of the date of this report. We do not intend, and do not undertake, any obligation to update any forward looking statements to reflect future events or circumstances after the date of such statements.</w:t>
      </w:r>
    </w:p>
    <w:p>
      <w:pPr>
        <w:spacing w:after="0" w:line="178" w:lineRule="exact"/>
        <w:rPr>
          <w:sz w:val="20"/>
          <w:szCs w:val="20"/>
          <w:color w:val="auto"/>
        </w:rPr>
      </w:pPr>
    </w:p>
    <w:p>
      <w:pPr>
        <w:ind w:right="418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20"/>
        <w:spacing w:after="0" w:line="293" w:lineRule="auto"/>
        <w:rPr>
          <w:sz w:val="20"/>
          <w:szCs w:val="20"/>
          <w:color w:val="auto"/>
        </w:rPr>
      </w:pPr>
      <w:r>
        <w:rPr>
          <w:rFonts w:ascii="Arial" w:cs="Arial" w:eastAsia="Arial" w:hAnsi="Arial"/>
          <w:sz w:val="16"/>
          <w:szCs w:val="16"/>
          <w:color w:val="auto"/>
        </w:rPr>
        <w:t>As of June 30, 2012, our total debt outstanding was $321.3 million. Of this amount, $169.1 million, or 53% of our total debt obligations, relates to contingent convertible debentures having a fixed coupon rate. Our $171.4 million principal amount of contingent convertible debentures, issued in October 2005, accrue cash interest at a rate of 3.50% of the principal amount per annum. Based on quoted market prices, as of June 30, 2012, the fair value of our fixed rate convertible debentures was $171.2 million, compared to a carrying value of $169.1 million. Interest expense for these debentures, including accretion and amortization of deferred debt issuance costs, has a weighted average interest rate of 8.4% annually. Additionally, approximately $5.0 million, or 1% of our total debt obligations, relates to capitalized leases with fixed payment and interest terms that expire between 2012 and 2015.</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remaining $147.2 million, or 46%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$3.1 million.</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six-month period ended June 30, 2012, 77%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euro, British pound, Australian dollar, Polish zloty, Brazilian real and Indian rupee. As of June 30, 2012, we estimate that a 10% fluctuation in these foreign currency exchange rates would have the combined annualized effect on reported net income and working capital of approximately $35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June 30, 2012, we had foreign currency forward contracts outstanding with a notional value of $80.6 million, primarily in euros and Mexican pesos, that were not designated as hedges and mature in a weighted average of 3 days. The fair value of these forward contracts as of June 30, 2012 was an unrealized loss of $0.6 million, which was partly offset by the unrealized gain on the related foreign currency receivables.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2012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Note 12, Litigation and Contingencies, to the unaudited consolidated financial statements in this report included elsewhere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or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2011,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 of a number of factors, including the risks described in our Risk Factors and elsewhere in this Quarterly Report.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2011, as filed with the SEC.</w:t>
      </w:r>
    </w:p>
    <w:p>
      <w:pPr>
        <w:spacing w:after="0" w:line="16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180"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3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issuance of credit and debit cards;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acceptance of our ATM processing and management services in our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installation of larger numbers of ATMs;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revenues from interchange fees and from other value added services, including dynamic currency conversion; and</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adjust to changes in the regulatory environment affecting our ATM business and the various value added services we provide via our ATM network.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increase or decrease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certain value added services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280" w:hanging="1125"/>
        <w:spacing w:after="0" w:line="291"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June 30, 2012, formatted in XBRL (eXtensible Business Reporting Language): (i) Consolidated Balance Sheets at June 30, 2012 and December 31, 2011,</w:t>
      </w:r>
    </w:p>
    <w:p>
      <w:pPr>
        <w:ind w:left="1160" w:right="220"/>
        <w:spacing w:after="0" w:line="270" w:lineRule="auto"/>
        <w:rPr>
          <w:rFonts w:ascii="Arial" w:cs="Arial" w:eastAsia="Arial" w:hAnsi="Arial"/>
          <w:sz w:val="16"/>
          <w:szCs w:val="16"/>
          <w:color w:val="auto"/>
        </w:rPr>
      </w:pPr>
      <w:r>
        <w:rPr>
          <w:rFonts w:ascii="Arial" w:cs="Arial" w:eastAsia="Arial" w:hAnsi="Arial"/>
          <w:sz w:val="17"/>
          <w:szCs w:val="17"/>
          <w:color w:val="auto"/>
        </w:rPr>
        <w:t>(ii) Consolidated Statements of Operations for the three and six months ended June 30, 2012 and 2011, (iii) Consolidated Statements of Comprehensive Income for the three and six months ended June 30, 2012 and 2011, (iv) Consolidated Statements of Cash Flows for the six months ended June 30, 2012 and 2011, and (v) Notes to the Unaudited Consolidated Financial Statements.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117"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3,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125" w:right="39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5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r>
      <w:tr>
        <w:trPr>
          <w:trHeight w:val="26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2011</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subsidiaries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18,753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28,768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42,035</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13,089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received</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20,588</w:t>
            </w: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25,396</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46,313</w:t>
            </w: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55,242</w:t>
            </w:r>
          </w:p>
        </w:tc>
      </w:tr>
      <w:tr>
        <w:trPr>
          <w:trHeight w:val="23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11,059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10,506</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15,524</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13,089</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80" w:right="1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3, 2012</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3,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R"/>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2019-12-09T11:35:29Z</dcterms:created>
  <dcterms:modified xsi:type="dcterms:W3CDTF">2019-12-09T11:35:29Z</dcterms:modified>
</cp:coreProperties>
</file>