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183515</wp:posOffset>
            </wp:positionH>
            <wp:positionV relativeFrom="page">
              <wp:posOffset>243205</wp:posOffset>
            </wp:positionV>
            <wp:extent cx="72034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-175895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344" w:lineRule="exact"/>
        <w:rPr>
          <w:sz w:val="24"/>
          <w:szCs w:val="24"/>
          <w:color w:val="auto"/>
        </w:rPr>
      </w:pPr>
    </w:p>
    <w:p>
      <w:pPr>
        <w:ind w:left="860" w:hanging="521"/>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860" w:hanging="485"/>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3300"/>
        <w:spacing w:after="0"/>
        <w:tabs>
          <w:tab w:leader="none" w:pos="660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6"/>
          <w:szCs w:val="16"/>
          <w:b w:val="1"/>
          <w:bCs w:val="1"/>
          <w:color w:val="auto"/>
        </w:rPr>
        <w:t>to</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001-31648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EURONET WORLDWIDE, INC.</w:t>
      </w:r>
    </w:p>
    <w:p>
      <w:pPr>
        <w:spacing w:after="0" w:line="2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13"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right"/>
              <w:ind w:right="170"/>
              <w:spacing w:after="0"/>
              <w:rPr>
                <w:sz w:val="20"/>
                <w:szCs w:val="20"/>
                <w:color w:val="auto"/>
              </w:rPr>
            </w:pPr>
            <w:r>
              <w:rPr>
                <w:rFonts w:ascii="Arial" w:cs="Arial" w:eastAsia="Arial" w:hAnsi="Arial"/>
                <w:sz w:val="18"/>
                <w:szCs w:val="18"/>
                <w:b w:val="1"/>
                <w:bCs w:val="1"/>
                <w:color w:val="auto"/>
              </w:rPr>
              <w:t>74-2806888</w:t>
            </w:r>
          </w:p>
        </w:tc>
      </w:tr>
      <w:tr>
        <w:trPr>
          <w:trHeight w:val="270"/>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(State or other jurisdiction</w:t>
            </w:r>
          </w:p>
        </w:tc>
        <w:tc>
          <w:tcPr>
            <w:tcW w:w="3160" w:type="dxa"/>
            <w:vAlign w:val="bottom"/>
          </w:tcPr>
          <w:p>
            <w:pPr>
              <w:jc w:val="center"/>
              <w:ind w:left="1650"/>
              <w:spacing w:after="0"/>
              <w:rPr>
                <w:sz w:val="20"/>
                <w:szCs w:val="20"/>
                <w:color w:val="auto"/>
              </w:rPr>
            </w:pPr>
            <w:r>
              <w:rPr>
                <w:rFonts w:ascii="Arial" w:cs="Arial" w:eastAsia="Arial" w:hAnsi="Arial"/>
                <w:sz w:val="18"/>
                <w:szCs w:val="18"/>
                <w:b w:val="1"/>
                <w:bCs w:val="1"/>
                <w:color w:val="auto"/>
                <w:w w:val="94"/>
              </w:rPr>
              <w:t>(I.R.S. Employer</w:t>
            </w:r>
          </w:p>
        </w:tc>
      </w:tr>
      <w:tr>
        <w:trPr>
          <w:trHeight w:val="270"/>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of incorporation or organization)</w:t>
            </w:r>
          </w:p>
        </w:tc>
        <w:tc>
          <w:tcPr>
            <w:tcW w:w="3160" w:type="dxa"/>
            <w:vAlign w:val="bottom"/>
          </w:tcPr>
          <w:p>
            <w:pPr>
              <w:jc w:val="center"/>
              <w:ind w:left="1670"/>
              <w:spacing w:after="0"/>
              <w:rPr>
                <w:sz w:val="20"/>
                <w:szCs w:val="20"/>
                <w:color w:val="auto"/>
              </w:rPr>
            </w:pPr>
            <w:r>
              <w:rPr>
                <w:rFonts w:ascii="Arial" w:cs="Arial" w:eastAsia="Arial" w:hAnsi="Arial"/>
                <w:sz w:val="18"/>
                <w:szCs w:val="18"/>
                <w:b w:val="1"/>
                <w:bCs w:val="1"/>
                <w:color w:val="auto"/>
                <w:w w:val="92"/>
              </w:rPr>
              <w:t>Identification No.)</w:t>
            </w:r>
          </w:p>
        </w:tc>
      </w:tr>
      <w:tr>
        <w:trPr>
          <w:trHeight w:val="405"/>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89"/>
              </w:rPr>
              <w:t>3500 College Boulevard</w:t>
            </w:r>
          </w:p>
        </w:tc>
        <w:tc>
          <w:tcPr>
            <w:tcW w:w="3160" w:type="dxa"/>
            <w:vAlign w:val="bottom"/>
          </w:tcPr>
          <w:p>
            <w:pPr>
              <w:spacing w:after="0"/>
              <w:rPr>
                <w:sz w:val="24"/>
                <w:szCs w:val="24"/>
                <w:color w:val="auto"/>
              </w:rPr>
            </w:pPr>
          </w:p>
        </w:tc>
      </w:tr>
      <w:tr>
        <w:trPr>
          <w:trHeight w:val="270"/>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Leawood, Kansas</w:t>
            </w:r>
          </w:p>
        </w:tc>
        <w:tc>
          <w:tcPr>
            <w:tcW w:w="3160" w:type="dxa"/>
            <w:vAlign w:val="bottom"/>
          </w:tcPr>
          <w:p>
            <w:pPr>
              <w:jc w:val="right"/>
              <w:ind w:right="390"/>
              <w:spacing w:after="0"/>
              <w:rPr>
                <w:sz w:val="20"/>
                <w:szCs w:val="20"/>
                <w:color w:val="auto"/>
              </w:rPr>
            </w:pPr>
            <w:r>
              <w:rPr>
                <w:rFonts w:ascii="Arial" w:cs="Arial" w:eastAsia="Arial" w:hAnsi="Arial"/>
                <w:sz w:val="18"/>
                <w:szCs w:val="18"/>
                <w:b w:val="1"/>
                <w:bCs w:val="1"/>
                <w:color w:val="auto"/>
              </w:rPr>
              <w:t>66211</w:t>
            </w:r>
          </w:p>
        </w:tc>
      </w:tr>
      <w:tr>
        <w:trPr>
          <w:trHeight w:val="270"/>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60" w:type="dxa"/>
            <w:vAlign w:val="bottom"/>
          </w:tcPr>
          <w:p>
            <w:pPr>
              <w:jc w:val="center"/>
              <w:ind w:left="1670"/>
              <w:spacing w:after="0"/>
              <w:rPr>
                <w:sz w:val="20"/>
                <w:szCs w:val="20"/>
                <w:color w:val="auto"/>
              </w:rPr>
            </w:pPr>
            <w:r>
              <w:rPr>
                <w:rFonts w:ascii="Arial" w:cs="Arial" w:eastAsia="Arial" w:hAnsi="Arial"/>
                <w:sz w:val="18"/>
                <w:szCs w:val="18"/>
                <w:b w:val="1"/>
                <w:bCs w:val="1"/>
                <w:color w:val="auto"/>
                <w:w w:val="94"/>
              </w:rPr>
              <w:t>(Zip Code)</w:t>
            </w:r>
          </w:p>
        </w:tc>
      </w:tr>
    </w:tbl>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03" w:lineRule="exact"/>
        <w:rPr>
          <w:sz w:val="24"/>
          <w:szCs w:val="24"/>
          <w:color w:val="auto"/>
        </w:rPr>
      </w:pPr>
    </w:p>
    <w:p>
      <w:pPr>
        <w:ind w:right="42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60"/>
          </w:cols>
          <w:pgMar w:left="240" w:top="535" w:right="299" w:bottom="1440" w:gutter="0" w:footer="0" w:header="0"/>
        </w:sectPr>
      </w:pPr>
    </w:p>
    <w:p>
      <w:pPr>
        <w:spacing w:after="0" w:line="95" w:lineRule="exact"/>
        <w:rPr>
          <w:sz w:val="24"/>
          <w:szCs w:val="24"/>
          <w:color w:val="auto"/>
        </w:rPr>
      </w:pPr>
    </w:p>
    <w:p>
      <w:pPr>
        <w:ind w:left="3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Accelerated filer </w:t>
      </w: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90" w:lineRule="exact"/>
        <w:rPr>
          <w:sz w:val="24"/>
          <w:szCs w:val="24"/>
          <w:color w:val="auto"/>
        </w:rPr>
      </w:pPr>
    </w:p>
    <w:p>
      <w:pPr>
        <w:sectPr>
          <w:pgSz w:w="11900" w:h="16838" w:orient="portrait"/>
          <w:cols w:equalWidth="0" w:num="4">
            <w:col w:w="2340" w:space="720"/>
            <w:col w:w="1320" w:space="560"/>
            <w:col w:w="1660" w:space="40"/>
            <w:col w:w="4720"/>
          </w:cols>
          <w:pgMar w:left="240" w:top="535" w:right="29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Smaller reporting company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 xml:space="preserve">Emerging growth company </w:t>
      </w:r>
      <w:r>
        <w:rPr>
          <w:rFonts w:ascii="Arial" w:cs="Arial" w:eastAsia="Arial" w:hAnsi="Arial"/>
          <w:sz w:val="14"/>
          <w:szCs w:val="14"/>
          <w:color w:val="auto"/>
        </w:rPr>
        <w:t>o</w:t>
      </w:r>
    </w:p>
    <w:p>
      <w:pPr>
        <w:spacing w:after="0" w:line="200" w:lineRule="exact"/>
        <w:rPr>
          <w:sz w:val="24"/>
          <w:szCs w:val="24"/>
          <w:color w:val="auto"/>
        </w:rPr>
      </w:pPr>
    </w:p>
    <w:p>
      <w:pPr>
        <w:sectPr>
          <w:pgSz w:w="11900" w:h="16838" w:orient="portrait"/>
          <w:cols w:equalWidth="0" w:num="2">
            <w:col w:w="4560" w:space="720"/>
            <w:col w:w="6080"/>
          </w:cols>
          <w:pgMar w:left="240" w:top="535" w:right="299" w:bottom="1440" w:gutter="0" w:footer="0" w:header="0"/>
          <w:type w:val="continuous"/>
        </w:sectPr>
      </w:pPr>
    </w:p>
    <w:p>
      <w:pPr>
        <w:spacing w:after="0" w:line="156" w:lineRule="exact"/>
        <w:rPr>
          <w:sz w:val="24"/>
          <w:szCs w:val="24"/>
          <w:color w:val="auto"/>
        </w:rPr>
      </w:pPr>
    </w:p>
    <w:p>
      <w:pPr>
        <w:ind w:left="40" w:right="60"/>
        <w:spacing w:after="0" w:line="258"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On October 26, 2017, Euronet Worldwide, Inc. had 52,681,034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186690</wp:posOffset>
            </wp:positionV>
            <wp:extent cx="720344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100330</wp:posOffset>
            </wp:positionV>
            <wp:extent cx="720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360"/>
          </w:cols>
          <w:pgMar w:left="240" w:top="535" w:right="29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78"/>
              </w:rPr>
              <w:t>Page</w:t>
            </w:r>
          </w:p>
        </w:tc>
      </w:tr>
      <w:tr>
        <w:trPr>
          <w:trHeight w:val="237"/>
        </w:trPr>
        <w:tc>
          <w:tcPr>
            <w:tcW w:w="2920" w:type="dxa"/>
            <w:vAlign w:val="bottom"/>
            <w:tcBorders>
              <w:bottom w:val="single" w:sz="8" w:color="0000EE"/>
            </w:tcBorders>
            <w:gridSpan w:val="10"/>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I—FINANCIAL INFORMATION</w:t>
              </w:r>
            </w:hyperlink>
          </w:p>
        </w:tc>
        <w:tc>
          <w:tcPr>
            <w:tcW w:w="7780" w:type="dxa"/>
            <w:vAlign w:val="bottom"/>
            <w:gridSpan w:val="9"/>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1080" w:type="dxa"/>
            <w:vAlign w:val="bottom"/>
            <w:gridSpan w:val="4"/>
          </w:tcPr>
          <w:p>
            <w:pPr>
              <w:spacing w:after="0"/>
              <w:rPr>
                <w:sz w:val="20"/>
                <w:szCs w:val="20"/>
                <w:color w:val="auto"/>
              </w:rPr>
            </w:pPr>
            <w:r>
              <w:rPr>
                <w:rFonts w:ascii="Arial" w:cs="Arial" w:eastAsia="Arial" w:hAnsi="Arial"/>
                <w:sz w:val="16"/>
                <w:szCs w:val="16"/>
                <w:color w:val="auto"/>
              </w:rPr>
              <w:t>Item 1.</w:t>
            </w:r>
          </w:p>
        </w:tc>
        <w:tc>
          <w:tcPr>
            <w:tcW w:w="9620" w:type="dxa"/>
            <w:vAlign w:val="bottom"/>
            <w:gridSpan w:val="15"/>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 (unaudited)</w:t>
              </w:r>
            </w:hyperlink>
          </w:p>
        </w:tc>
        <w:tc>
          <w:tcPr>
            <w:tcW w:w="340" w:type="dxa"/>
            <w:vAlign w:val="bottom"/>
            <w:gridSpan w:val="3"/>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160" w:type="dxa"/>
            <w:vAlign w:val="bottom"/>
            <w:gridSpan w:val="10"/>
          </w:tcPr>
          <w:p>
            <w:pPr>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Consolidated Balance Sheets as of September 30, 2017 and December 31, 2016</w:t>
              </w:r>
            </w:hyperlink>
          </w:p>
        </w:tc>
        <w:tc>
          <w:tcPr>
            <w:tcW w:w="4460" w:type="dxa"/>
            <w:vAlign w:val="bottom"/>
            <w:gridSpan w:val="5"/>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20" w:type="dxa"/>
            <w:vAlign w:val="bottom"/>
            <w:gridSpan w:val="15"/>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Statements of Income for the Three and Nine Months Ended September 30, 2017 and 2016</w:t>
              </w:r>
            </w:hyperlink>
          </w:p>
        </w:tc>
        <w:tc>
          <w:tcPr>
            <w:tcW w:w="340" w:type="dxa"/>
            <w:vAlign w:val="bottom"/>
            <w:gridSpan w:val="3"/>
          </w:tcPr>
          <w:p>
            <w:pPr>
              <w:jc w:val="right"/>
              <w:spacing w:after="0"/>
              <w:rPr>
                <w:rFonts w:ascii="Arial" w:cs="Arial" w:eastAsia="Arial" w:hAnsi="Arial"/>
                <w:sz w:val="17"/>
                <w:szCs w:val="17"/>
                <w:color w:val="0000EE"/>
              </w:rPr>
            </w:pPr>
            <w:hyperlink w:anchor="page4">
              <w:r>
                <w:rPr>
                  <w:rFonts w:ascii="Arial" w:cs="Arial" w:eastAsia="Arial" w:hAnsi="Arial"/>
                  <w:sz w:val="17"/>
                  <w:szCs w:val="17"/>
                  <w:color w:val="0000EE"/>
                </w:rPr>
                <w:t>4</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20" w:type="dxa"/>
            <w:vAlign w:val="bottom"/>
            <w:gridSpan w:val="15"/>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Statements of Comprehensive Income for the Three and Nine Months Ended September 30, 2017 and 2016</w:t>
              </w:r>
            </w:hyperlink>
          </w:p>
        </w:tc>
        <w:tc>
          <w:tcPr>
            <w:tcW w:w="340" w:type="dxa"/>
            <w:vAlign w:val="bottom"/>
            <w:gridSpan w:val="3"/>
          </w:tcPr>
          <w:p>
            <w:pPr>
              <w:jc w:val="right"/>
              <w:spacing w:after="0"/>
              <w:rPr>
                <w:rFonts w:ascii="Arial" w:cs="Arial" w:eastAsia="Arial" w:hAnsi="Arial"/>
                <w:sz w:val="17"/>
                <w:szCs w:val="17"/>
                <w:color w:val="0000EE"/>
              </w:rPr>
            </w:pPr>
            <w:hyperlink w:anchor="page5">
              <w:r>
                <w:rPr>
                  <w:rFonts w:ascii="Arial" w:cs="Arial" w:eastAsia="Arial" w:hAnsi="Arial"/>
                  <w:sz w:val="17"/>
                  <w:szCs w:val="17"/>
                  <w:color w:val="0000EE"/>
                </w:rPr>
                <w:t>5</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40" w:type="dxa"/>
            <w:vAlign w:val="bottom"/>
            <w:gridSpan w:val="14"/>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Consolidated Statements of Cash Flows for the Nine Months Ended September 30, 2017 and 2016</w:t>
              </w:r>
            </w:hyperlink>
          </w:p>
        </w:tc>
        <w:tc>
          <w:tcPr>
            <w:tcW w:w="1780" w:type="dxa"/>
            <w:vAlign w:val="bottom"/>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6">
              <w:r>
                <w:rPr>
                  <w:rFonts w:ascii="Arial" w:cs="Arial" w:eastAsia="Arial" w:hAnsi="Arial"/>
                  <w:sz w:val="17"/>
                  <w:szCs w:val="17"/>
                  <w:color w:val="0000EE"/>
                </w:rPr>
                <w:t>6</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360" w:type="dxa"/>
            <w:vAlign w:val="bottom"/>
            <w:gridSpan w:val="12"/>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Notes to the Unaudited Consolidated Financial Statements</w:t>
              </w:r>
            </w:hyperlink>
          </w:p>
        </w:tc>
        <w:tc>
          <w:tcPr>
            <w:tcW w:w="3260" w:type="dxa"/>
            <w:vAlign w:val="bottom"/>
            <w:gridSpan w:val="3"/>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7">
              <w:r>
                <w:rPr>
                  <w:rFonts w:ascii="Arial" w:cs="Arial" w:eastAsia="Arial" w:hAnsi="Arial"/>
                  <w:sz w:val="17"/>
                  <w:szCs w:val="17"/>
                  <w:color w:val="0000EE"/>
                </w:rPr>
                <w:t>7</w:t>
              </w:r>
            </w:hyperlink>
          </w:p>
        </w:tc>
      </w:tr>
      <w:tr>
        <w:trPr>
          <w:trHeight w:val="20"/>
        </w:trPr>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2.</w:t>
            </w:r>
          </w:p>
        </w:tc>
        <w:tc>
          <w:tcPr>
            <w:tcW w:w="620" w:type="dxa"/>
            <w:vAlign w:val="bottom"/>
            <w:gridSpan w:val="2"/>
          </w:tcPr>
          <w:p>
            <w:pPr>
              <w:spacing w:after="0"/>
              <w:rPr>
                <w:sz w:val="21"/>
                <w:szCs w:val="21"/>
                <w:color w:val="auto"/>
              </w:rPr>
            </w:pPr>
          </w:p>
        </w:tc>
        <w:tc>
          <w:tcPr>
            <w:tcW w:w="5800" w:type="dxa"/>
            <w:vAlign w:val="bottom"/>
            <w:gridSpan w:val="11"/>
          </w:tcPr>
          <w:p>
            <w:pPr>
              <w:spacing w:after="0"/>
              <w:rPr>
                <w:rFonts w:ascii="Arial" w:cs="Arial" w:eastAsia="Arial" w:hAnsi="Arial"/>
                <w:sz w:val="16"/>
                <w:szCs w:val="16"/>
                <w:color w:val="0000EE"/>
                <w:w w:val="91"/>
              </w:rPr>
            </w:pPr>
            <w:hyperlink w:anchor="page19">
              <w:r>
                <w:rPr>
                  <w:rFonts w:ascii="Arial" w:cs="Arial" w:eastAsia="Arial" w:hAnsi="Arial"/>
                  <w:sz w:val="16"/>
                  <w:szCs w:val="16"/>
                  <w:color w:val="0000EE"/>
                  <w:w w:val="91"/>
                </w:rPr>
                <w:t>Management's Discussion and Analysis of Financial Condition and Results of Operations</w:t>
              </w:r>
            </w:hyperlink>
          </w:p>
        </w:tc>
        <w:tc>
          <w:tcPr>
            <w:tcW w:w="3820" w:type="dxa"/>
            <w:vAlign w:val="bottom"/>
            <w:gridSpan w:val="4"/>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19">
              <w:r>
                <w:rPr>
                  <w:rFonts w:ascii="Arial" w:cs="Arial" w:eastAsia="Arial" w:hAnsi="Arial"/>
                  <w:sz w:val="17"/>
                  <w:szCs w:val="17"/>
                  <w:color w:val="0000EE"/>
                </w:rPr>
                <w:t>19</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3.</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Arial" w:cs="Arial" w:eastAsia="Arial" w:hAnsi="Arial"/>
                <w:sz w:val="16"/>
                <w:szCs w:val="16"/>
                <w:color w:val="0000EE"/>
                <w:w w:val="92"/>
              </w:rPr>
            </w:pPr>
            <w:hyperlink w:anchor="page37">
              <w:r>
                <w:rPr>
                  <w:rFonts w:ascii="Arial" w:cs="Arial" w:eastAsia="Arial" w:hAnsi="Arial"/>
                  <w:sz w:val="16"/>
                  <w:szCs w:val="16"/>
                  <w:color w:val="0000EE"/>
                  <w:w w:val="92"/>
                </w:rPr>
                <w:t>Quantitative and Qualitative Disclosures About Market Risk</w:t>
              </w:r>
            </w:hyperlink>
          </w:p>
        </w:tc>
        <w:tc>
          <w:tcPr>
            <w:tcW w:w="1900" w:type="dxa"/>
            <w:vAlign w:val="bottom"/>
            <w:gridSpan w:val="2"/>
          </w:tcPr>
          <w:p>
            <w:pPr>
              <w:spacing w:after="0"/>
              <w:rPr>
                <w:sz w:val="20"/>
                <w:szCs w:val="20"/>
                <w:color w:val="auto"/>
              </w:rPr>
            </w:pPr>
          </w:p>
        </w:tc>
        <w:tc>
          <w:tcPr>
            <w:tcW w:w="3820" w:type="dxa"/>
            <w:vAlign w:val="bottom"/>
            <w:gridSpan w:val="4"/>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7">
              <w:r>
                <w:rPr>
                  <w:rFonts w:ascii="Arial" w:cs="Arial" w:eastAsia="Arial" w:hAnsi="Arial"/>
                  <w:sz w:val="17"/>
                  <w:szCs w:val="17"/>
                  <w:color w:val="0000EE"/>
                </w:rPr>
                <w:t>37</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5720" w:type="dxa"/>
            <w:vAlign w:val="bottom"/>
            <w:tcBorders>
              <w:left w:val="single" w:sz="8" w:color="0000EE"/>
            </w:tcBorders>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4.</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Controls and Procedures</w:t>
              </w:r>
            </w:hyperlink>
          </w:p>
        </w:tc>
        <w:tc>
          <w:tcPr>
            <w:tcW w:w="5720" w:type="dxa"/>
            <w:vAlign w:val="bottom"/>
            <w:gridSpan w:val="6"/>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8">
              <w:r>
                <w:rPr>
                  <w:rFonts w:ascii="Arial" w:cs="Arial" w:eastAsia="Arial" w:hAnsi="Arial"/>
                  <w:sz w:val="17"/>
                  <w:szCs w:val="17"/>
                  <w:color w:val="0000EE"/>
                </w:rPr>
                <w:t>38</w:t>
              </w:r>
            </w:hyperlink>
          </w:p>
        </w:tc>
      </w:tr>
      <w:tr>
        <w:trPr>
          <w:trHeight w:val="20"/>
        </w:trPr>
        <w:tc>
          <w:tcPr>
            <w:tcW w:w="4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2660" w:type="dxa"/>
            <w:vAlign w:val="bottom"/>
            <w:tcBorders>
              <w:bottom w:val="single" w:sz="8" w:color="0000EE"/>
            </w:tcBorders>
            <w:gridSpan w:val="9"/>
          </w:tcPr>
          <w:p>
            <w:pPr>
              <w:spacing w:after="0"/>
              <w:rPr>
                <w:rFonts w:ascii="Arial" w:cs="Arial" w:eastAsia="Arial" w:hAnsi="Arial"/>
                <w:sz w:val="17"/>
                <w:szCs w:val="17"/>
                <w:b w:val="1"/>
                <w:bCs w:val="1"/>
                <w:color w:val="0000EE"/>
              </w:rPr>
            </w:pPr>
            <w:hyperlink w:anchor="page38">
              <w:r>
                <w:rPr>
                  <w:rFonts w:ascii="Arial" w:cs="Arial" w:eastAsia="Arial" w:hAnsi="Arial"/>
                  <w:sz w:val="17"/>
                  <w:szCs w:val="17"/>
                  <w:b w:val="1"/>
                  <w:bCs w:val="1"/>
                  <w:color w:val="0000EE"/>
                </w:rPr>
                <w:t>PART II—OTHER INFORMATION</w:t>
              </w:r>
            </w:hyperlink>
          </w:p>
        </w:tc>
        <w:tc>
          <w:tcPr>
            <w:tcW w:w="8040" w:type="dxa"/>
            <w:vAlign w:val="bottom"/>
            <w:gridSpan w:val="10"/>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1.</w:t>
            </w:r>
          </w:p>
        </w:tc>
        <w:tc>
          <w:tcPr>
            <w:tcW w:w="620" w:type="dxa"/>
            <w:vAlign w:val="bottom"/>
            <w:gridSpan w:val="2"/>
          </w:tcPr>
          <w:p>
            <w:pPr>
              <w:spacing w:after="0"/>
              <w:rPr>
                <w:sz w:val="21"/>
                <w:szCs w:val="21"/>
                <w:color w:val="auto"/>
              </w:rPr>
            </w:pPr>
          </w:p>
        </w:tc>
        <w:tc>
          <w:tcPr>
            <w:tcW w:w="1200" w:type="dxa"/>
            <w:vAlign w:val="bottom"/>
            <w:gridSpan w:val="4"/>
          </w:tcPr>
          <w:p>
            <w:pPr>
              <w:spacing w:after="0"/>
              <w:rPr>
                <w:rFonts w:ascii="Arial" w:cs="Arial" w:eastAsia="Arial" w:hAnsi="Arial"/>
                <w:sz w:val="16"/>
                <w:szCs w:val="16"/>
                <w:color w:val="0000EE"/>
                <w:w w:val="89"/>
              </w:rPr>
            </w:pPr>
            <w:hyperlink w:anchor="page38">
              <w:r>
                <w:rPr>
                  <w:rFonts w:ascii="Arial" w:cs="Arial" w:eastAsia="Arial" w:hAnsi="Arial"/>
                  <w:sz w:val="16"/>
                  <w:szCs w:val="16"/>
                  <w:color w:val="0000EE"/>
                  <w:w w:val="89"/>
                </w:rPr>
                <w:t>Legal Proceedings</w:t>
              </w:r>
            </w:hyperlink>
          </w:p>
        </w:tc>
        <w:tc>
          <w:tcPr>
            <w:tcW w:w="8420" w:type="dxa"/>
            <w:vAlign w:val="bottom"/>
            <w:gridSpan w:val="11"/>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8">
              <w:r>
                <w:rPr>
                  <w:rFonts w:ascii="Arial" w:cs="Arial" w:eastAsia="Arial" w:hAnsi="Arial"/>
                  <w:sz w:val="17"/>
                  <w:szCs w:val="17"/>
                  <w:color w:val="0000EE"/>
                </w:rPr>
                <w:t>38</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1080" w:type="dxa"/>
            <w:vAlign w:val="bottom"/>
            <w:gridSpan w:val="4"/>
          </w:tcPr>
          <w:p>
            <w:pPr>
              <w:spacing w:after="0"/>
              <w:rPr>
                <w:sz w:val="20"/>
                <w:szCs w:val="20"/>
                <w:color w:val="auto"/>
              </w:rPr>
            </w:pPr>
            <w:r>
              <w:rPr>
                <w:rFonts w:ascii="Arial" w:cs="Arial" w:eastAsia="Arial" w:hAnsi="Arial"/>
                <w:sz w:val="16"/>
                <w:szCs w:val="16"/>
                <w:color w:val="auto"/>
              </w:rPr>
              <w:t>Item 1A.</w:t>
            </w:r>
          </w:p>
        </w:tc>
        <w:tc>
          <w:tcPr>
            <w:tcW w:w="9620" w:type="dxa"/>
            <w:vAlign w:val="bottom"/>
            <w:gridSpan w:val="15"/>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Risk Factors</w:t>
              </w:r>
            </w:hyperlink>
          </w:p>
        </w:tc>
        <w:tc>
          <w:tcPr>
            <w:tcW w:w="340" w:type="dxa"/>
            <w:vAlign w:val="bottom"/>
            <w:gridSpan w:val="3"/>
          </w:tcPr>
          <w:p>
            <w:pPr>
              <w:jc w:val="right"/>
              <w:spacing w:after="0"/>
              <w:rPr>
                <w:rFonts w:ascii="Arial" w:cs="Arial" w:eastAsia="Arial" w:hAnsi="Arial"/>
                <w:sz w:val="17"/>
                <w:szCs w:val="17"/>
                <w:color w:val="0000EE"/>
              </w:rPr>
            </w:pPr>
            <w:hyperlink w:anchor="page39">
              <w:r>
                <w:rPr>
                  <w:rFonts w:ascii="Arial" w:cs="Arial" w:eastAsia="Arial" w:hAnsi="Arial"/>
                  <w:sz w:val="17"/>
                  <w:szCs w:val="17"/>
                  <w:color w:val="0000EE"/>
                </w:rPr>
                <w:t>39</w:t>
              </w:r>
            </w:hyperlink>
          </w:p>
        </w:tc>
      </w:tr>
      <w:tr>
        <w:trPr>
          <w:trHeight w:val="20"/>
        </w:trPr>
        <w:tc>
          <w:tcPr>
            <w:tcW w:w="56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20" w:type="dxa"/>
            <w:vAlign w:val="bottom"/>
            <w:gridSpan w:val="15"/>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Unregistered Sales of Equity Securities and Use of Proceeds</w:t>
              </w:r>
            </w:hyperlink>
          </w:p>
        </w:tc>
        <w:tc>
          <w:tcPr>
            <w:tcW w:w="340" w:type="dxa"/>
            <w:vAlign w:val="bottom"/>
            <w:gridSpan w:val="3"/>
          </w:tcPr>
          <w:p>
            <w:pPr>
              <w:jc w:val="right"/>
              <w:spacing w:after="0"/>
              <w:rPr>
                <w:rFonts w:ascii="Arial" w:cs="Arial" w:eastAsia="Arial" w:hAnsi="Arial"/>
                <w:sz w:val="17"/>
                <w:szCs w:val="17"/>
                <w:color w:val="0000EE"/>
              </w:rPr>
            </w:pPr>
            <w:hyperlink w:anchor="page39">
              <w:r>
                <w:rPr>
                  <w:rFonts w:ascii="Arial" w:cs="Arial" w:eastAsia="Arial" w:hAnsi="Arial"/>
                  <w:sz w:val="17"/>
                  <w:szCs w:val="17"/>
                  <w:color w:val="0000EE"/>
                </w:rPr>
                <w:t>39</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20" w:type="dxa"/>
            <w:vAlign w:val="bottom"/>
            <w:gridSpan w:val="7"/>
            <w:shd w:val="clear" w:color="auto" w:fill="0000EE"/>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6.</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Exhibits</w:t>
              </w:r>
            </w:hyperlink>
          </w:p>
        </w:tc>
        <w:tc>
          <w:tcPr>
            <w:tcW w:w="5720" w:type="dxa"/>
            <w:vAlign w:val="bottom"/>
            <w:gridSpan w:val="6"/>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9">
              <w:r>
                <w:rPr>
                  <w:rFonts w:ascii="Arial" w:cs="Arial" w:eastAsia="Arial" w:hAnsi="Arial"/>
                  <w:sz w:val="17"/>
                  <w:szCs w:val="17"/>
                  <w:color w:val="0000EE"/>
                </w:rPr>
                <w:t>39</w:t>
              </w:r>
            </w:hyperlink>
          </w:p>
        </w:tc>
      </w:tr>
      <w:tr>
        <w:trPr>
          <w:trHeight w:val="20"/>
        </w:trPr>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940" w:type="dxa"/>
            <w:vAlign w:val="bottom"/>
            <w:gridSpan w:val="1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5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gridSpan w:val="2"/>
          </w:tcPr>
          <w:p>
            <w:pPr>
              <w:spacing w:after="0"/>
              <w:rPr>
                <w:rFonts w:ascii="Arial" w:cs="Arial" w:eastAsia="Arial" w:hAnsi="Arial"/>
                <w:sz w:val="16"/>
                <w:szCs w:val="16"/>
                <w:color w:val="0000EE"/>
                <w:w w:val="86"/>
              </w:rPr>
            </w:pPr>
            <w:hyperlink w:anchor="page40">
              <w:r>
                <w:rPr>
                  <w:rFonts w:ascii="Arial" w:cs="Arial" w:eastAsia="Arial" w:hAnsi="Arial"/>
                  <w:sz w:val="16"/>
                  <w:szCs w:val="16"/>
                  <w:color w:val="0000EE"/>
                  <w:w w:val="86"/>
                </w:rPr>
                <w:t>Signatures</w:t>
              </w:r>
            </w:hyperlink>
          </w:p>
        </w:tc>
        <w:tc>
          <w:tcPr>
            <w:tcW w:w="8940" w:type="dxa"/>
            <w:vAlign w:val="bottom"/>
            <w:gridSpan w:val="13"/>
          </w:tcPr>
          <w:p>
            <w:pPr>
              <w:spacing w:after="0"/>
              <w:rPr>
                <w:sz w:val="24"/>
                <w:szCs w:val="24"/>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0">
              <w:r>
                <w:rPr>
                  <w:rFonts w:ascii="Arial" w:cs="Arial" w:eastAsia="Arial" w:hAnsi="Arial"/>
                  <w:sz w:val="17"/>
                  <w:szCs w:val="17"/>
                  <w:color w:val="0000EE"/>
                </w:rPr>
                <w:t>40</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040"/>
          </w:cols>
          <w:pgMar w:left="440" w:top="364" w:right="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3"/>
                <w:szCs w:val="13"/>
                <w:color w:val="auto"/>
              </w:rPr>
            </w:pPr>
          </w:p>
        </w:tc>
        <w:tc>
          <w:tcPr>
            <w:tcW w:w="110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1,062,241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734,414</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113,617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77,674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 PINs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49,108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78,115</w:t>
            </w:r>
          </w:p>
        </w:tc>
        <w:tc>
          <w:tcPr>
            <w:tcW w:w="0" w:type="dxa"/>
            <w:vAlign w:val="bottom"/>
          </w:tcPr>
          <w:p>
            <w:pPr>
              <w:spacing w:after="0"/>
              <w:rPr>
                <w:sz w:val="1"/>
                <w:szCs w:val="1"/>
                <w:color w:val="auto"/>
              </w:rPr>
            </w:pP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1"/>
              </w:rPr>
              <w:t>Trade accounts receivable, net of allowances for doubtful accounts of $20,033 at September 30, 2017 and $18,369</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at December 31, 2016</w:t>
            </w: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547,383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502,989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152,913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191,796</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1,925,262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1,584,988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Property and equipment, net of accumulated depreciation of $325,521 at September 30, 2017 and $262,470 at December</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31, 2016</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250,436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202,145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743,860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689,713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Acquired intangible assets, net of accumulated amortization of $176,495 at September 30, 2017 and $150,347 at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December 31, 2016</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155,155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165,331</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w w:val="93"/>
              </w:rPr>
              <w:t>Other assets, net of accumulated amortization of $42,549 at September 30, 2017 and $36,984 at December 31, 2016</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103,208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70,695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3,177,921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2,712,872</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365,952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456,682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704,200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615,153</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Current portion of capital lease obligations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4,977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136,896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32,161</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41,883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27,611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45,218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44,200</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1,299,126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1,179,100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592,924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561,663</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Capital lease obligations, net of current portion</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9,168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6,969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46,361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44,079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32,828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20,504</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1,980,407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1,812,315</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Equity:</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Common Stock, $0.02 par value. 90,000,000 shares authorized; 58,758,343 issued at September 30, 2017 and</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58,389,242 issued at December 31, 2016</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Additional paid-in-capital</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1,065,987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1,045,663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Treasury stock, at cost, 6,088,055 shares at September 30, 2017 and 6,085,841 shares at December 31, 2016</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(216,843)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(215,462)</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459,887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278,842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(210,662)</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1,196,683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899,549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equity</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1,197,514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900,557</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3,177,921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2,712,872</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125" w:right="239" w:bottom="314"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314"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24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240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46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7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637,834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524,025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1,647,777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1,438,786</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364,815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300,159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978,768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853,544</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82,134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71,899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232,617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212,974</w:t>
            </w: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41,379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139,708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121,678</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Acquired intangible assets impairment</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5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20,120</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69,520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58,923</w:t>
            </w:r>
          </w:p>
        </w:tc>
      </w:tr>
      <w:tr>
        <w:trPr>
          <w:trHeight w:val="237"/>
        </w:trPr>
        <w:tc>
          <w:tcPr>
            <w:tcW w:w="546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5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520,933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433,557</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1,422,899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1,247,119</w:t>
            </w:r>
          </w:p>
        </w:tc>
      </w:tr>
      <w:tr>
        <w:trPr>
          <w:trHeight w:val="27"/>
        </w:trPr>
        <w:tc>
          <w:tcPr>
            <w:tcW w:w="54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116,901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90,468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224,878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191,667</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1,244</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(7,724)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(20,968)</w:t>
            </w: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exchange gain (loss), net</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Other gains</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19,903</w:t>
            </w:r>
          </w:p>
        </w:tc>
      </w:tr>
      <w:tr>
        <w:trPr>
          <w:trHeight w:val="27"/>
        </w:trPr>
        <w:tc>
          <w:tcPr>
            <w:tcW w:w="54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4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expense, net</w:t>
            </w: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r>
      <w:tr>
        <w:trPr>
          <w:trHeight w:val="237"/>
        </w:trPr>
        <w:tc>
          <w:tcPr>
            <w:tcW w:w="546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5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115,926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81,566</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222,899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190,547</w:t>
            </w: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5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(20,784)</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(45,104)</w:t>
            </w:r>
          </w:p>
        </w:tc>
      </w:tr>
      <w:tr>
        <w:trPr>
          <w:trHeight w:val="237"/>
        </w:trPr>
        <w:tc>
          <w:tcPr>
            <w:tcW w:w="54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5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100,353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60,782</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179,769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145,443</w:t>
            </w: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 attributable to noncontrolling interests</w:t>
            </w:r>
          </w:p>
        </w:tc>
        <w:tc>
          <w:tcPr>
            <w:tcW w:w="5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r>
      <w:tr>
        <w:trPr>
          <w:trHeight w:val="297"/>
        </w:trPr>
        <w:tc>
          <w:tcPr>
            <w:tcW w:w="5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Euronet Worldwide, Inc.</w:t>
            </w:r>
          </w:p>
        </w:tc>
        <w:tc>
          <w:tcPr>
            <w:tcW w:w="5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100,290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60,733</w:t>
            </w:r>
          </w:p>
        </w:tc>
        <w:tc>
          <w:tcPr>
            <w:tcW w:w="2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179,778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145,504</w:t>
            </w:r>
          </w:p>
        </w:tc>
      </w:tr>
      <w:tr>
        <w:trPr>
          <w:trHeight w:val="257"/>
        </w:trPr>
        <w:tc>
          <w:tcPr>
            <w:tcW w:w="54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w w:val="94"/>
              </w:rPr>
              <w:t>Earnings per share attributable to Euronet Worldwide, Inc. stockholders:</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4"/>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2.78</w:t>
            </w:r>
          </w:p>
        </w:tc>
      </w:tr>
      <w:tr>
        <w:trPr>
          <w:trHeight w:val="20"/>
        </w:trPr>
        <w:tc>
          <w:tcPr>
            <w:tcW w:w="5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1"/>
        </w:trPr>
        <w:tc>
          <w:tcPr>
            <w:tcW w:w="5460" w:type="dxa"/>
            <w:vAlign w:val="bottom"/>
          </w:tcPr>
          <w:p>
            <w:pPr>
              <w:ind w:left="180"/>
              <w:spacing w:after="0"/>
              <w:rPr>
                <w:sz w:val="20"/>
                <w:szCs w:val="20"/>
                <w:color w:val="auto"/>
              </w:rPr>
            </w:pPr>
            <w:r>
              <w:rPr>
                <w:rFonts w:ascii="Arial" w:cs="Arial" w:eastAsia="Arial" w:hAnsi="Arial"/>
                <w:sz w:val="18"/>
                <w:szCs w:val="18"/>
                <w:color w:val="auto"/>
              </w:rPr>
              <w:t>Diluted</w:t>
            </w:r>
          </w:p>
        </w:tc>
        <w:tc>
          <w:tcPr>
            <w:tcW w:w="7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2.66</w:t>
            </w:r>
          </w:p>
        </w:tc>
      </w:tr>
      <w:tr>
        <w:trPr>
          <w:trHeight w:val="203"/>
        </w:trPr>
        <w:tc>
          <w:tcPr>
            <w:tcW w:w="54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4"/>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52,590,837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52,134,500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52,463,511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52,293,808</w:t>
            </w:r>
          </w:p>
        </w:tc>
      </w:tr>
      <w:tr>
        <w:trPr>
          <w:trHeight w:val="20"/>
        </w:trPr>
        <w:tc>
          <w:tcPr>
            <w:tcW w:w="5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1"/>
        </w:trPr>
        <w:tc>
          <w:tcPr>
            <w:tcW w:w="5460" w:type="dxa"/>
            <w:vAlign w:val="bottom"/>
          </w:tcPr>
          <w:p>
            <w:pPr>
              <w:ind w:left="180"/>
              <w:spacing w:after="0"/>
              <w:rPr>
                <w:sz w:val="20"/>
                <w:szCs w:val="20"/>
                <w:color w:val="auto"/>
              </w:rPr>
            </w:pPr>
            <w:r>
              <w:rPr>
                <w:rFonts w:ascii="Arial" w:cs="Arial" w:eastAsia="Arial" w:hAnsi="Arial"/>
                <w:sz w:val="18"/>
                <w:szCs w:val="18"/>
                <w:color w:val="auto"/>
              </w:rPr>
              <w:t>Diluted</w:t>
            </w:r>
          </w:p>
        </w:tc>
        <w:tc>
          <w:tcPr>
            <w:tcW w:w="5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55,784,485</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54,523,211</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55,582,583</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54,641,388</w:t>
            </w:r>
          </w:p>
        </w:tc>
      </w:tr>
      <w:tr>
        <w:trPr>
          <w:trHeight w:val="20"/>
        </w:trPr>
        <w:tc>
          <w:tcPr>
            <w:tcW w:w="596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8800" w:type="dxa"/>
            <w:vAlign w:val="bottom"/>
            <w:gridSpan w:val="8"/>
          </w:tcPr>
          <w:p>
            <w:pPr>
              <w:jc w:val="center"/>
              <w:ind w:left="2530"/>
              <w:spacing w:after="0"/>
              <w:rPr>
                <w:sz w:val="20"/>
                <w:szCs w:val="20"/>
                <w:color w:val="auto"/>
              </w:rPr>
            </w:pPr>
            <w:r>
              <w:rPr>
                <w:rFonts w:ascii="Arial" w:cs="Arial" w:eastAsia="Arial" w:hAnsi="Arial"/>
                <w:sz w:val="18"/>
                <w:szCs w:val="18"/>
                <w:color w:val="auto"/>
                <w:w w:val="89"/>
              </w:rPr>
              <w:t>See accompanying notes to the unaudited consolidated financial statements.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59"/>
        </w:trPr>
        <w:tc>
          <w:tcPr>
            <w:tcW w:w="5460" w:type="dxa"/>
            <w:vAlign w:val="bottom"/>
          </w:tcPr>
          <w:p>
            <w:pPr>
              <w:spacing w:after="0"/>
              <w:rPr>
                <w:sz w:val="24"/>
                <w:szCs w:val="24"/>
                <w:color w:val="auto"/>
              </w:rPr>
            </w:pP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100,353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60,782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179,769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145,443</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Translation adjustment</w:t>
            </w:r>
          </w:p>
        </w:tc>
        <w:tc>
          <w:tcPr>
            <w:tcW w:w="30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26,703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6,849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97,311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13,522</w:t>
            </w: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127,056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67,631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277,080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158,965</w:t>
            </w: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14</w:t>
            </w: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 attributable to Euronet Worldwide, Inc.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126,943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67,567</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276,917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158,979</w:t>
            </w:r>
          </w:p>
        </w:tc>
      </w:tr>
      <w:tr>
        <w:trPr>
          <w:trHeight w:val="20"/>
        </w:trPr>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2016</w:t>
            </w: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179,769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145,443</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69,520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58,923</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11,817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11,352</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Unrealized foreign exchange (gain) loss, net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1,299</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993</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Accretion of convertible debt discount and amortization of 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9,056</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Gain on sale of investment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(19,449)</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Non-cash impairment of acquired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Changes in working capital, net of amounts acquired:</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 net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16,006</w:t>
            </w: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(10,227)</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 PINs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25,948</w:t>
            </w: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Trade accounts receivable</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54,356</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(76,594)</w:t>
            </w: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(118,677)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(133,207)</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3,181</w:t>
            </w: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30,678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135,431</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noncurrent assets and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(5,020)</w:t>
            </w:r>
          </w:p>
        </w:tc>
      </w:tr>
      <w:tr>
        <w:trPr>
          <w:trHeight w:val="237"/>
        </w:trPr>
        <w:tc>
          <w:tcPr>
            <w:tcW w:w="878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230,496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217,491</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(2,183)</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(61,597)</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Purchases of other long-term assets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(4,501)</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sale of investment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11,900</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800</w:t>
            </w:r>
          </w:p>
        </w:tc>
      </w:tr>
      <w:tr>
        <w:trPr>
          <w:trHeight w:val="27"/>
        </w:trPr>
        <w:tc>
          <w:tcPr>
            <w:tcW w:w="8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(55,581)</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issuance of shares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5,098</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Repurchase of shares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(76,510)</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Borrowings from revolving credit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1,839,963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1,961,814</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Repayments of revolving credit agreements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(1,808,695)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(1,855,053)</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Repayments of long-term debt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(5,156)</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Repayments of capital lease obligations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(1,997)</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Borrowings from short-term debt obligations, net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99,081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2,290</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748</w:t>
            </w:r>
          </w:p>
        </w:tc>
      </w:tr>
      <w:tr>
        <w:trPr>
          <w:trHeight w:val="27"/>
        </w:trPr>
        <w:tc>
          <w:tcPr>
            <w:tcW w:w="8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126,615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31,234</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44,739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10,634</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Increase in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327,827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203,778</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734,414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457,518</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0"/>
        </w:trPr>
        <w:tc>
          <w:tcPr>
            <w:tcW w:w="87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r>
      <w:tr>
        <w:trPr>
          <w:trHeight w:val="297"/>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1,062,241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661,296</w:t>
            </w:r>
          </w:p>
        </w:tc>
      </w:tr>
      <w:tr>
        <w:trPr>
          <w:trHeight w:val="217"/>
        </w:trPr>
        <w:tc>
          <w:tcPr>
            <w:tcW w:w="8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paid during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12,598</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Income taxes paid during the period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34,769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31,751</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Non-cash consideration received from sale of investment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7,549</w:t>
            </w:r>
          </w:p>
        </w:tc>
      </w:tr>
      <w:tr>
        <w:trPr>
          <w:trHeight w:val="243"/>
        </w:trPr>
        <w:tc>
          <w:tcPr>
            <w:tcW w:w="8780" w:type="dxa"/>
            <w:vAlign w:val="bottom"/>
          </w:tcPr>
          <w:p>
            <w:pPr>
              <w:ind w:left="2960"/>
              <w:spacing w:after="0"/>
              <w:rPr>
                <w:sz w:val="20"/>
                <w:szCs w:val="20"/>
                <w:color w:val="auto"/>
              </w:rPr>
            </w:pPr>
            <w:r>
              <w:rPr>
                <w:rFonts w:ascii="Arial" w:cs="Arial" w:eastAsia="Arial" w:hAnsi="Arial"/>
                <w:sz w:val="18"/>
                <w:szCs w:val="18"/>
                <w:color w:val="auto"/>
                <w:w w:val="94"/>
              </w:rPr>
              <w:t>See accompanying notes to the unaudited consolidated financial statements.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408"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25" w:right="259" w:bottom="408"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Euronet Worldwide, Inc. (together with its subsidiaries, the “Company” or “Euronet”) is a leading electronic payments provider. Euronet offers payment and transaction processing and distribution solutions to financial institutions, retailers, service providers and individual consumers. Euronet's primary product offerings include comprehensive automated teller machine (“ATM”), point-of-sale (“POS”), card outsourcing, card issuing and merchant acquiring services, software solutions, electronic distribution of prepaid mobile airtime and other electronic payment products, foreign currency exchange services and global money transfer services.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only of normal recurring adjustments) necessary to fairly present the consolidated financial position and the results of operations, comprehensive income and cash flows for the interim periods. The unaudited consolidated financial statements should be read in conjunction with the audited consolidated financial statements of the Company for the year ended December 31, 2016, including the notes thereto, set forth in the Company’s 2016 Annual Report on Form 10-K.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reported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2017.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Euronet’s EFT Processing Segment experiences its heaviest demand for dynamic currency conversion ("DCC") services during the third quarter of the fiscal year, coinciding with tourism season. Additionally, the EFT Processing and epay Segments are impacted by seasonality during the fourth quarter and the first quarter of each year due to higher transaction levels during the holiday season and lower levels following the holiday season. Seasonality in the Money Transfer Segment varies by regions of the world. In most markets, Euronet usually experiences increased demand for money transfer services from the month of May through the fourth quarter of each year, coinciding with the increase in worker migration patterns and various holidays, and experiences its lowest transaction levels during the first quarter of each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AND ADOPTED ACCOUNTING PRONOUNCEMENTS</w:t>
      </w:r>
    </w:p>
    <w:p>
      <w:pPr>
        <w:spacing w:after="0" w:line="229"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 xml:space="preserve">In May 2014, the FASB issued Accounting Standards Update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requires an entity to recognize the amount of revenue to which it expects to be entitled for the transfer of promised goods or services to customers. ASU 2014-09 will replace most existing revenue recognition guidance in U.S. GAAP when it becomes effective. In July 2015, the FASB approved a one-year deferral of the effective date of the new revenue recognition standard. The new standard will become effective for the Company on January 1, 2018. The standard permits the use of either the full retrospective or modified retrospective transition method.</w:t>
      </w:r>
    </w:p>
    <w:p>
      <w:pPr>
        <w:spacing w:after="0" w:line="6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March 2016, the FASB issued ASU 2016-08, </w:t>
      </w:r>
      <w:r>
        <w:rPr>
          <w:rFonts w:ascii="Arial" w:cs="Arial" w:eastAsia="Arial" w:hAnsi="Arial"/>
          <w:sz w:val="17"/>
          <w:szCs w:val="17"/>
          <w:i w:val="1"/>
          <w:iCs w:val="1"/>
          <w:color w:val="auto"/>
        </w:rPr>
        <w:t>Revenue from Contracts with Customers (Topic 606), Principal versus Agent Considerations (Reporting</w:t>
      </w:r>
      <w:r>
        <w:rPr>
          <w:rFonts w:ascii="Arial" w:cs="Arial" w:eastAsia="Arial" w:hAnsi="Arial"/>
          <w:sz w:val="17"/>
          <w:szCs w:val="17"/>
          <w:color w:val="auto"/>
        </w:rPr>
        <w:t xml:space="preserve"> </w:t>
      </w:r>
      <w:r>
        <w:rPr>
          <w:rFonts w:ascii="Arial" w:cs="Arial" w:eastAsia="Arial" w:hAnsi="Arial"/>
          <w:sz w:val="17"/>
          <w:szCs w:val="17"/>
          <w:i w:val="1"/>
          <w:iCs w:val="1"/>
          <w:color w:val="auto"/>
        </w:rPr>
        <w:t>Revenue versus Net)</w:t>
      </w:r>
      <w:r>
        <w:rPr>
          <w:rFonts w:ascii="Arial" w:cs="Arial" w:eastAsia="Arial" w:hAnsi="Arial"/>
          <w:sz w:val="17"/>
          <w:szCs w:val="17"/>
          <w:color w:val="auto"/>
        </w:rPr>
        <w:t>. In April 2016, the FASB issued ASU 2016-10,</w:t>
      </w:r>
      <w:r>
        <w:rPr>
          <w:rFonts w:ascii="Arial" w:cs="Arial" w:eastAsia="Arial" w:hAnsi="Arial"/>
          <w:sz w:val="17"/>
          <w:szCs w:val="17"/>
          <w:i w:val="1"/>
          <w:iCs w:val="1"/>
          <w:color w:val="auto"/>
        </w:rPr>
        <w:t xml:space="preserve"> Revenue from Contracts with Customers (Topic 606), Identifying Performance Obligations and Licensing</w:t>
      </w:r>
      <w:r>
        <w:rPr>
          <w:rFonts w:ascii="Arial" w:cs="Arial" w:eastAsia="Arial" w:hAnsi="Arial"/>
          <w:sz w:val="17"/>
          <w:szCs w:val="17"/>
          <w:color w:val="auto"/>
        </w:rPr>
        <w:t>. In May 2016, the FASB issued ASU 2016-11,</w:t>
      </w:r>
      <w:r>
        <w:rPr>
          <w:rFonts w:ascii="Arial" w:cs="Arial" w:eastAsia="Arial" w:hAnsi="Arial"/>
          <w:sz w:val="17"/>
          <w:szCs w:val="17"/>
          <w:i w:val="1"/>
          <w:iCs w:val="1"/>
          <w:color w:val="auto"/>
        </w:rPr>
        <w:t xml:space="preserve"> Revenue from Contracts with Customers (Topic 606) and Derivatives and Hedging (Topic 815) - Rescission of SEC Guidance Because of ASU 2014-09 and 2014-16, </w:t>
      </w:r>
      <w:r>
        <w:rPr>
          <w:rFonts w:ascii="Arial" w:cs="Arial" w:eastAsia="Arial" w:hAnsi="Arial"/>
          <w:sz w:val="17"/>
          <w:szCs w:val="17"/>
          <w:color w:val="auto"/>
        </w:rPr>
        <w:t>and</w:t>
      </w:r>
      <w:r>
        <w:rPr>
          <w:rFonts w:ascii="Arial" w:cs="Arial" w:eastAsia="Arial" w:hAnsi="Arial"/>
          <w:sz w:val="17"/>
          <w:szCs w:val="17"/>
          <w:i w:val="1"/>
          <w:iCs w:val="1"/>
          <w:color w:val="auto"/>
        </w:rPr>
        <w:t xml:space="preserve"> ASU 2016-12, Revenue from Contracts with Customers (Topic 606) - Narrow Scope Improvements and Practical Expedient</w:t>
      </w:r>
      <w:r>
        <w:rPr>
          <w:rFonts w:ascii="Arial" w:cs="Arial" w:eastAsia="Arial" w:hAnsi="Arial"/>
          <w:sz w:val="17"/>
          <w:szCs w:val="17"/>
          <w:color w:val="auto"/>
        </w:rPr>
        <w:t>s. In December 2016, the FASB issued ASU 2016-20,</w:t>
      </w:r>
      <w:r>
        <w:rPr>
          <w:rFonts w:ascii="Arial" w:cs="Arial" w:eastAsia="Arial" w:hAnsi="Arial"/>
          <w:sz w:val="17"/>
          <w:szCs w:val="17"/>
          <w:i w:val="1"/>
          <w:iCs w:val="1"/>
          <w:color w:val="auto"/>
        </w:rPr>
        <w:t xml:space="preserve"> Technical Corrections and Improvements to Topic 606, Revenue from Contracts with Customers (Topic 606)</w:t>
      </w:r>
      <w:r>
        <w:rPr>
          <w:rFonts w:ascii="Arial" w:cs="Arial" w:eastAsia="Arial" w:hAnsi="Arial"/>
          <w:sz w:val="17"/>
          <w:szCs w:val="17"/>
          <w:color w:val="auto"/>
        </w:rPr>
        <w:t>. These ASUs clarify the implementation guidance on a few narrow areas, make minor corrections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 adds some practical expedients to the guidance in Topic 606.</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Lastly, in February 2017, the FASB issued ASU 2017-05, </w:t>
      </w:r>
      <w:r>
        <w:rPr>
          <w:rFonts w:ascii="Arial" w:cs="Arial" w:eastAsia="Arial" w:hAnsi="Arial"/>
          <w:sz w:val="18"/>
          <w:szCs w:val="18"/>
          <w:i w:val="1"/>
          <w:iCs w:val="1"/>
          <w:color w:val="auto"/>
        </w:rPr>
        <w:t>Other Income -Gains and Losses from the Derecognition of Nonfinancial Assets (Subtopic 610-20):</w:t>
      </w:r>
      <w:r>
        <w:rPr>
          <w:rFonts w:ascii="Arial" w:cs="Arial" w:eastAsia="Arial" w:hAnsi="Arial"/>
          <w:sz w:val="18"/>
          <w:szCs w:val="18"/>
          <w:color w:val="auto"/>
        </w:rPr>
        <w:t xml:space="preserve"> </w:t>
      </w:r>
      <w:r>
        <w:rPr>
          <w:rFonts w:ascii="Arial" w:cs="Arial" w:eastAsia="Arial" w:hAnsi="Arial"/>
          <w:sz w:val="18"/>
          <w:szCs w:val="18"/>
          <w:i w:val="1"/>
          <w:iCs w:val="1"/>
          <w:color w:val="auto"/>
        </w:rPr>
        <w:t>Clarifying the Scope of Asset Derecognition Guidance and Accounting for Partial Sales of Nonfinancial Assets</w:t>
      </w:r>
      <w:r>
        <w:rPr>
          <w:rFonts w:ascii="Arial" w:cs="Arial" w:eastAsia="Arial" w:hAnsi="Arial"/>
          <w:sz w:val="18"/>
          <w:szCs w:val="18"/>
          <w:color w:val="auto"/>
        </w:rPr>
        <w:t>, which clarifies the scope of asset</w:t>
      </w:r>
      <w:r>
        <w:rPr>
          <w:rFonts w:ascii="Arial" w:cs="Arial" w:eastAsia="Arial" w:hAnsi="Arial"/>
          <w:sz w:val="18"/>
          <w:szCs w:val="18"/>
          <w:i w:val="1"/>
          <w:iCs w:val="1"/>
          <w:color w:val="auto"/>
        </w:rPr>
        <w:t xml:space="preserve"> </w:t>
      </w:r>
      <w:r>
        <w:rPr>
          <w:rFonts w:ascii="Arial" w:cs="Arial" w:eastAsia="Arial" w:hAnsi="Arial"/>
          <w:sz w:val="18"/>
          <w:szCs w:val="18"/>
          <w:color w:val="auto"/>
        </w:rPr>
        <w:t>derecognition guidance and provide guidance on partial sales of nonfinancial assets. This ASU clarifies the scope and accounting of a financial asset that meets the definition of an “in-substance nonfinancial asset” and defines the term, “in-substance nonfinancial asset.” This ASU must be adopted at the same time as ASC 606.</w:t>
      </w:r>
    </w:p>
    <w:p>
      <w:pPr>
        <w:spacing w:after="0" w:line="8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Company has performed a review of the requirements of the new revenue standards and is in the process of reviewing customer contracts under the new revenue standards but does not expect the new revenue standards will have a material impact on the timing of revenue recognition on its consolidated financial statements. The Company continues to assess all potential effects of the standards and it believes the principal versus agent guidance will affect the presentation and classification of revenue for certain epay and EFT segment arrangements. The Company estimates revenue would have been approximately $125 million to $200 million greater in 2016 under the new standard due to the change in presentation and classification of certain revenue for the epay segment. The Company will continue to update its assessment of the effect the new revenue standards will have on its consolidated financial statements and will disclose the final determination of the transition method and material effects, if any, when known.</w:t>
      </w:r>
    </w:p>
    <w:p>
      <w:pPr>
        <w:spacing w:after="0" w:line="5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will update the existing guidance on accounting for leases and require new qualitative and quantitative disclosures about the Company’s leasing activities. The new standard requires lessees to account for all leases on the balance sheet, except for certain short-term leases that have a maximum possible lease term of 12 months. The accounting for lessors is largely unchanged from the previous accounting guidance, except for leverage lease accounting which is not permitted for leases entered into or modified after the effective date of the new standard. The new standard is effective for annual periods beginning after December 15, 2018 and interim periods within those annual periods, with early adoption permitted. In transition, lessees and lessors are required to recognize and measure leases at the beginning of the earliest period presented using a modified retrospective approach. The modified retrospective approach includes a number of optional practical expedients that the Company may elect to apply. The Company is currently evaluating the expected impact of the adoption of this standard on its consolidated financial statements and related disclosures.</w:t>
      </w:r>
    </w:p>
    <w:p>
      <w:pPr>
        <w:spacing w:after="0" w:line="8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March 2016, FASB issued ASU 2016-09, </w:t>
      </w:r>
      <w:r>
        <w:rPr>
          <w:rFonts w:ascii="Arial" w:cs="Arial" w:eastAsia="Arial" w:hAnsi="Arial"/>
          <w:sz w:val="16"/>
          <w:szCs w:val="16"/>
          <w:i w:val="1"/>
          <w:iCs w:val="1"/>
          <w:color w:val="auto"/>
        </w:rPr>
        <w:t>Compensation-Stock Compensation (Topic 718): Improvements to Employee Share-Based Payment Accounting</w:t>
      </w:r>
      <w:r>
        <w:rPr>
          <w:rFonts w:ascii="Arial" w:cs="Arial" w:eastAsia="Arial" w:hAnsi="Arial"/>
          <w:sz w:val="16"/>
          <w:szCs w:val="16"/>
          <w:color w:val="auto"/>
        </w:rPr>
        <w:t>, which addresses how companies account for certain aspects of share-based payments to employees. This ASU requires all excess tax benefits and tax deficiencies be recognized in the statement of income as a component of income tax expense or benefit. The tax effects of exercised, expired or vested awards are treated as discrete items in the reporting period in which they occur and may result in increased volatility in the Company's effective tax rate. As part of the adoption of this standard during the first quarter, the Company was required to recognize previously unrecognized excess tax benefits on a modified retrospective basis and record an adjustment to deferred tax assets and retained earnings. Additionally, the Company applied the prospective transition method for the presentation of excess tax benefits from a financing activity to an operating activity in the Company’s consolidated statements of cash flows. Cash paid by the Company when directly withholding shares for tax withholding purposes is classified as a financing activity in the Consolidated Statements of Cash Flows. The Company made an accounting election to continue to estimate forfeitures when determining amortization expense of stock-based compensation.</w:t>
      </w:r>
    </w:p>
    <w:p>
      <w:pPr>
        <w:spacing w:after="0" w:line="5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adoption of the provisions of this ASU did not have a material impact on the Company’s consolidated statement of income. A cumulative effect adjustment of $40.2 million for previously unrecognized excess tax benefits from prior fiscal years was recognized in beginning Retained earnings as of January 1, 2017. As a result of recognizing this excess tax benefit, the Company recorded a deferred tax asset of $40.2 million and an associated valuation allowance of $38.9 million to beginning Retained earnings. The offsetting deferred tax asset and valuation allowance resulted in a net increase of $1.3 million to beginning Retained earnings at adoption.</w:t>
      </w:r>
    </w:p>
    <w:p>
      <w:pPr>
        <w:spacing w:after="0" w:line="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Prior to 2017, excess tax benefits were recognized in additional paid-in capital and tax deficiencies were recognized either as an offset to accumulated excess tax benefits, if any, or in the consolidated statements of income. Excess tax benefits were not recognized until the deduction reduced taxes payable. Additionally, excess tax benefits from stock-based compensation were included in financing activities within the Company’s consolidated statements of cash flows.</w:t>
      </w:r>
    </w:p>
    <w:p>
      <w:pPr>
        <w:spacing w:after="0" w:line="7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which clarifies the changes to terms or conditions of a share-based payment award that require an entity to apply modification accounting. The amendments of this ASU are effective for annual reporting periods, and interim periods therein, beginning after December 15, 2017. Early application is permitted and prospective application is required. The Company does not expect that the adoption of this guidance to have a significant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Basic earnings per share has been computed by dividing earnings available to common stockholders by the weighted average number of common shares outstanding during the respective periods. Diluted earnings per share has been computed by dividing earnings available to common stockholders by the weighted average shares outstanding during the respective period, after adjusting for any potential dilution from options to purchase the Company's common stock, assumed vesting of restricted stock and the assumed conversion of the Company’s convertible debentures. The following table provides the computation of diluted weighted average number of common shares outstanding:</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8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2600" w:type="dxa"/>
            <w:vAlign w:val="bottom"/>
            <w:gridSpan w:val="3"/>
          </w:tcPr>
          <w:p>
            <w:pPr>
              <w:jc w:val="right"/>
              <w:ind w:right="57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960" w:type="dxa"/>
            <w:vAlign w:val="bottom"/>
          </w:tcPr>
          <w:p>
            <w:pPr>
              <w:spacing w:after="0"/>
              <w:rPr>
                <w:sz w:val="16"/>
                <w:szCs w:val="16"/>
                <w:color w:val="auto"/>
              </w:rPr>
            </w:pPr>
          </w:p>
        </w:tc>
        <w:tc>
          <w:tcPr>
            <w:tcW w:w="2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2600" w:type="dxa"/>
            <w:vAlign w:val="bottom"/>
            <w:gridSpan w:val="3"/>
          </w:tcPr>
          <w:p>
            <w:pPr>
              <w:jc w:val="right"/>
              <w:ind w:right="754"/>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96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52,590,837</w:t>
            </w:r>
          </w:p>
        </w:tc>
        <w:tc>
          <w:tcPr>
            <w:tcW w:w="120" w:type="dxa"/>
            <w:vAlign w:val="bottom"/>
          </w:tcPr>
          <w:p>
            <w:pPr>
              <w:spacing w:after="0"/>
              <w:rPr>
                <w:sz w:val="21"/>
                <w:szCs w:val="21"/>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52,134,500</w:t>
            </w:r>
          </w:p>
        </w:tc>
        <w:tc>
          <w:tcPr>
            <w:tcW w:w="20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52,463,511</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52,293,808</w:t>
            </w:r>
          </w:p>
        </w:tc>
      </w:tr>
      <w:tr>
        <w:trPr>
          <w:trHeight w:val="27"/>
        </w:trPr>
        <w:tc>
          <w:tcPr>
            <w:tcW w:w="5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Incremental shares from assumed exercise of stock options and vesting of</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restricted stock</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1,863,883</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1,731,451</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1,789,307</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1,690,320</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Incremental shares from assumed conversion of convertible notes</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1,329,765</w:t>
            </w:r>
          </w:p>
        </w:tc>
        <w:tc>
          <w:tcPr>
            <w:tcW w:w="120" w:type="dxa"/>
            <w:vAlign w:val="bottom"/>
          </w:tcPr>
          <w:p>
            <w:pPr>
              <w:spacing w:after="0"/>
              <w:rPr>
                <w:sz w:val="21"/>
                <w:szCs w:val="21"/>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657,260</w:t>
            </w:r>
          </w:p>
        </w:tc>
        <w:tc>
          <w:tcPr>
            <w:tcW w:w="20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1,329,765</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657,260</w:t>
            </w:r>
          </w:p>
        </w:tc>
      </w:tr>
      <w:tr>
        <w:trPr>
          <w:trHeight w:val="27"/>
        </w:trPr>
        <w:tc>
          <w:tcPr>
            <w:tcW w:w="59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 weighted average shares outstanding</w:t>
            </w: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55,784,485</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54,523,211</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55,582,583</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54,641,388</w:t>
            </w:r>
          </w:p>
        </w:tc>
      </w:tr>
      <w:tr>
        <w:trPr>
          <w:trHeight w:val="20"/>
        </w:trPr>
        <w:tc>
          <w:tcPr>
            <w:tcW w:w="5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table includes the impact of all stock options and restricted stock that are dilutive to the Company’s weighted average common shares outstanding during the three and nine months ended September 30, 2017 and 2016. The calculation of diluted earnings per share excludes stock options or shares of restricted stock that are anti-dilutive to the Company’s weighted average common shares outstanding of approximately 458,000 and 884,000 for the three and nine months ended September 30, 2017, respectively, and approximately 552,000 and 555,000 for the three and nine months ended September 30, 2016, respectively.</w:t>
      </w:r>
    </w:p>
    <w:p>
      <w:pPr>
        <w:spacing w:after="0" w:line="8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Company's convertible notes have settlement features requiring the Company upon conversion to settle the principal amount of the debt and the conversion value in excess of the principal value ("conversion premium") for cash or shares of the Company's common stock, at the Company's option. At issuance, the Company stated its intent to settle any conversion of these notes by paying cash for the principal value and issuing common stock for any conversion premium. Accordingly, the convertible notes are included in the calculation of diluted earnings per share if their inclusion is dilutive. The convertible notes would only have a dilutive effect if the market price per share of common stock exceeds the conversion price of $72.18 per share and the dilutive effect increases the more the market price exceeds the conversion price. As of September 30, 2017 and 2016, the stock price exceeded the conversion price and these notes were dilutive to earnings per share. Further, as a result of the share price increasing from $81.83 at September 30, 2016 to $94.79 at September 30, 2017, there was an increase in shares from the assumed conversion of convertible notes.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9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Accumulated other comprehensive income consists entirely of foreign currency translation adjustments. The Company recorded foreign currency translation gains of $26.7 million and $97.3 million for the three and nine months ended September 30, 2017, respectively, and gains of $6.8 million and $13.5 million for the three and nine months ended September 30, 2016, respectively. There were no reclassifications of foreign currency translation into the consolidated statements of income for the three and nine months ended September 30, 2017 and 2016.</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ACQUIRED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nine months ended September 30, 2017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Acquired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20" w:type="dxa"/>
            <w:vAlign w:val="bottom"/>
          </w:tcPr>
          <w:p>
            <w:pPr>
              <w:spacing w:after="0"/>
              <w:rPr>
                <w:sz w:val="12"/>
                <w:szCs w:val="12"/>
                <w:color w:val="auto"/>
              </w:rPr>
            </w:pPr>
          </w:p>
        </w:tc>
        <w:tc>
          <w:tcPr>
            <w:tcW w:w="102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Goodwill</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165,331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689,713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855,044</w:t>
            </w:r>
          </w:p>
        </w:tc>
        <w:tc>
          <w:tcPr>
            <w:tcW w:w="0" w:type="dxa"/>
            <w:vAlign w:val="bottom"/>
          </w:tcPr>
          <w:p>
            <w:pPr>
              <w:spacing w:after="0"/>
              <w:rPr>
                <w:sz w:val="1"/>
                <w:szCs w:val="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(18,840)</w:t>
            </w:r>
          </w:p>
        </w:tc>
        <w:tc>
          <w:tcPr>
            <w:tcW w:w="0" w:type="dxa"/>
            <w:vAlign w:val="bottom"/>
          </w:tcPr>
          <w:p>
            <w:pPr>
              <w:spacing w:after="0"/>
              <w:rPr>
                <w:sz w:val="1"/>
                <w:szCs w:val="1"/>
                <w:color w:val="auto"/>
              </w:rPr>
            </w:pP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Other (primarily changes in foreign currency exchange rates and impairment)</w:t>
            </w:r>
          </w:p>
        </w:tc>
        <w:tc>
          <w:tcPr>
            <w:tcW w:w="220" w:type="dxa"/>
            <w:vAlign w:val="bottom"/>
          </w:tcPr>
          <w:p>
            <w:pPr>
              <w:spacing w:after="0"/>
              <w:rPr>
                <w:sz w:val="21"/>
                <w:szCs w:val="21"/>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8,664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54,147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62,811</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September 30, 2017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155,155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743,860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899,015</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Estimated amortization expense on intangible assets with finite lives, before income taxes, as of September 30, 2017, is expected to total $5.7 million for the remainder of 2017, $22.8 million for 2018, $21.8 million for 2019, $21.0 million for 2020, $20.1 million for 2021 and $19.0 million for 2022.</w:t>
      </w:r>
    </w:p>
    <w:p>
      <w:pPr>
        <w:spacing w:after="0" w:line="3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Company’s annual goodwill impairment test is performed during the fourth quarter of its fiscal year. The annual impairment test for the year ended December 31, 2016 resulted in no impairment charge. The Company recorded a non-cash impairment charge to customer relationships of $2.3 million in the first nine months of 2017 as a result of the closure of the Pure Commerce office in South Korea within the EFT Processing Segment.</w:t>
      </w:r>
    </w:p>
    <w:p>
      <w:pPr>
        <w:spacing w:after="0" w:line="5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Determining the fair value of reporting units requires significant management judgment in estimating future cash flows and assessing potential market and economic conditions. It is reasonably possible that the Company’s operations will not perform as expected, or that the estimates or assumptions included in the 2016 annual impairment test could change, which may result in the Company recording material non-cash impairment charges during the year in which these changes take place.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As of</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460" w:type="dxa"/>
            <w:vAlign w:val="bottom"/>
          </w:tcPr>
          <w:p>
            <w:pPr>
              <w:spacing w:after="0"/>
              <w:rPr>
                <w:sz w:val="22"/>
                <w:szCs w:val="22"/>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2017</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250"/>
        </w:trPr>
        <w:tc>
          <w:tcPr>
            <w:tcW w:w="53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800" w:type="dxa"/>
            <w:vAlign w:val="bottom"/>
            <w:tcBorders>
              <w:top w:val="single" w:sz="8" w:color="auto"/>
              <w:bottom w:val="single" w:sz="8" w:color="CCEEFF"/>
            </w:tcBorders>
            <w:gridSpan w:val="2"/>
            <w:shd w:val="clear" w:color="auto" w:fill="CCEEFF"/>
          </w:tcPr>
          <w:p>
            <w:pPr>
              <w:ind w:left="348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278,078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210,275</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Money transfer settlement obligations</w:t>
            </w:r>
          </w:p>
        </w:tc>
        <w:tc>
          <w:tcPr>
            <w:tcW w:w="3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289,640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219,601</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Accrued amounts due to mobile operators and other content providers</w:t>
            </w:r>
          </w:p>
        </w:tc>
        <w:tc>
          <w:tcPr>
            <w:tcW w:w="3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104,535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121,505</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3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31,947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63,772</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800" w:type="dxa"/>
            <w:vAlign w:val="bottom"/>
            <w:gridSpan w:val="2"/>
            <w:shd w:val="clear" w:color="auto" w:fill="CCEEFF"/>
          </w:tcPr>
          <w:p>
            <w:pPr>
              <w:ind w:left="3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704,200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615,153</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bottom w:val="single" w:sz="8" w:color="CCEEFF"/>
            </w:tcBorders>
            <w:vMerge w:val="restart"/>
          </w:tcPr>
          <w:p>
            <w:pPr>
              <w:jc w:val="right"/>
              <w:ind w:right="2910"/>
              <w:spacing w:after="0"/>
              <w:rPr>
                <w:sz w:val="20"/>
                <w:szCs w:val="20"/>
                <w:color w:val="auto"/>
              </w:rPr>
            </w:pPr>
            <w:r>
              <w:rPr>
                <w:rFonts w:ascii="Arial" w:cs="Arial" w:eastAsia="Arial" w:hAnsi="Arial"/>
                <w:sz w:val="18"/>
                <w:szCs w:val="18"/>
                <w:color w:val="auto"/>
              </w:rPr>
              <w:t>10</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4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Debt obligations consist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As of</w:t>
            </w:r>
          </w:p>
        </w:tc>
        <w:tc>
          <w:tcPr>
            <w:tcW w:w="920" w:type="dxa"/>
            <w:vAlign w:val="bottom"/>
            <w:tcBorders>
              <w:bottom w:val="single" w:sz="8" w:color="auto"/>
            </w:tcBorders>
          </w:tcPr>
          <w:p>
            <w:pPr>
              <w:spacing w:after="0"/>
              <w:rPr>
                <w:sz w:val="16"/>
                <w:szCs w:val="16"/>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2017</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2016</w:t>
            </w:r>
          </w:p>
        </w:tc>
      </w:tr>
      <w:tr>
        <w:trPr>
          <w:trHeight w:val="250"/>
        </w:trPr>
        <w:tc>
          <w:tcPr>
            <w:tcW w:w="88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Term loan, due 2019</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53,438</w:t>
            </w:r>
          </w:p>
        </w:tc>
        <w:tc>
          <w:tcPr>
            <w:tcW w:w="10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60,000</w:t>
            </w:r>
          </w:p>
        </w:tc>
      </w:tr>
      <w:tr>
        <w:trPr>
          <w:trHeight w:val="27"/>
        </w:trPr>
        <w:tc>
          <w:tcPr>
            <w:tcW w:w="8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Revolving credit agreements, due 2019</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191,590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159,963</w:t>
            </w:r>
          </w:p>
        </w:tc>
      </w:tr>
      <w:tr>
        <w:trPr>
          <w:trHeight w:val="237"/>
        </w:trPr>
        <w:tc>
          <w:tcPr>
            <w:tcW w:w="88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245,028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219,963</w:t>
            </w:r>
          </w:p>
        </w:tc>
      </w:tr>
      <w:tr>
        <w:trPr>
          <w:trHeight w:val="27"/>
        </w:trPr>
        <w:tc>
          <w:tcPr>
            <w:tcW w:w="8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Debt: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1.50% convertible notes, unsecured, due 2044</w:t>
            </w:r>
          </w:p>
        </w:tc>
        <w:tc>
          <w:tcPr>
            <w:tcW w:w="3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366,464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358,293</w:t>
            </w:r>
          </w:p>
        </w:tc>
      </w:tr>
      <w:tr>
        <w:trPr>
          <w:trHeight w:val="27"/>
        </w:trPr>
        <w:tc>
          <w:tcPr>
            <w:tcW w:w="8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88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ATM credit facility</w:t>
            </w:r>
          </w:p>
        </w:tc>
        <w:tc>
          <w:tcPr>
            <w:tcW w:w="3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88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obligations</w:t>
            </w:r>
          </w:p>
        </w:tc>
        <w:tc>
          <w:tcPr>
            <w:tcW w:w="3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24,782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23,892</w:t>
            </w:r>
          </w:p>
        </w:tc>
      </w:tr>
      <w:tr>
        <w:trPr>
          <w:trHeight w:val="27"/>
        </w:trPr>
        <w:tc>
          <w:tcPr>
            <w:tcW w:w="8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88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debt obligations</w:t>
            </w:r>
          </w:p>
        </w:tc>
        <w:tc>
          <w:tcPr>
            <w:tcW w:w="32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736,274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602,148</w:t>
            </w:r>
          </w:p>
        </w:tc>
      </w:tr>
      <w:tr>
        <w:trPr>
          <w:trHeight w:val="27"/>
        </w:trPr>
        <w:tc>
          <w:tcPr>
            <w:tcW w:w="8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(8,324)</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Carrying value of debt</w:t>
            </w: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729,820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593,824</w:t>
            </w:r>
          </w:p>
        </w:tc>
      </w:tr>
      <w:tr>
        <w:trPr>
          <w:trHeight w:val="27"/>
        </w:trPr>
        <w:tc>
          <w:tcPr>
            <w:tcW w:w="8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(136,896)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(32,161)</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Long-term debt obligations</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592,924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561,663</w:t>
            </w:r>
          </w:p>
        </w:tc>
      </w:tr>
      <w:tr>
        <w:trPr>
          <w:trHeight w:val="20"/>
        </w:trPr>
        <w:tc>
          <w:tcPr>
            <w:tcW w:w="8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As of September 30, 2017, the Company had a $675 million senior secured credit facility (the "Credit Facility") consisting of a $600 million revolving credit facility and a $75 million term loan ("Term Loan A"), which had been reduced to $53.4 million through principal amortization payments. The Credit Facility expires April 9, 2019.</w:t>
      </w:r>
    </w:p>
    <w:p>
      <w:pPr>
        <w:spacing w:after="0" w:line="7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Interest on borrowings under the revolving credit facility and Term Loan A varies based upon the Company's consolidated total leverage ratio, as defined in the Company's credit agreement, and is based on a margin over the London Inter-Bank Offered Rate (“LIBOR”) or a margin over a base rate, as selected by the Company, with the applicable margin ranging from 1.375% to 2.375% for LIBOR loans or 0.375% to 1.375% for base rate loans. Accordingly, the weighted average interest rate for borrowings outstanding under the Company's revolving credit facility and Term Loan A was 3.04% and 2.86%, respectively, as of September 30, 2017.</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Convertible Senior Notes (“Convertible Notes”) had a principal amount outstanding of $402.5 million as of September 30, 2017. The Convertible Notes mature in October 2044 unless repurchased or converted prior to such date, and are convertible into shares of Euronet Common Stock at a conversion price of approximately $72.18 per share. Holders of the Convertible Notes have the option to require the Company to purchase their notes at par on October 1, 2020, and have additional options to require the Company to purchase their notes at par on October 1, 2024, 2029, 2034, and 2039, or upon a change in control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Holders may convert all or any portion of their Convertible Notes at their option at any time prior to October 1, 2044 only under the following circumstances:</w:t>
      </w:r>
    </w:p>
    <w:p>
      <w:pPr>
        <w:spacing w:after="0" w:line="46" w:lineRule="exact"/>
        <w:rPr>
          <w:sz w:val="20"/>
          <w:szCs w:val="20"/>
          <w:color w:val="auto"/>
        </w:rPr>
      </w:pPr>
    </w:p>
    <w:p>
      <w:pPr>
        <w:ind w:right="80" w:firstLine="8"/>
        <w:spacing w:after="0" w:line="269"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during any calendar quarter (and only during such calendar quarter), if the closing sale price of the common stock for at least 20 trading days (whether or not consecutive) during a period of 30 consecutive trading days ending on the last trading day of the immediately preceding calendar quarter is greater than 130% of the conversion price on each applicable trading day; (2) during the five consecutive business day period after any ten consecutive trading day period (the measurement period) in which the trading price for the Convertible Notes for each trading day of the measurement period was less than 98% of the product of the closing sale price of the Company's common stock and the conversion rate on each such trading day; or (3) upon the occurrence of specified corporate events. If the holders exercise their option to convert, the Company is required to deliver cash or shares of the Company's common stock, at the Company's option, to satisfy the principal amount and the conversion premium.</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The Company's common stock was greater than 130% of the conversion price for at least 20 trading days during the 30 consecutive trading days ending on the last trading day of the calendar quarter ended September 30, 2017. Therefore, as of September 30, 2017, the conversion threshold had been met and the Convertible Notes became convertible at the holders’ option beginning on October 1, 2017 and ending on December 31, 2017.</w:t>
      </w:r>
    </w:p>
    <w:p>
      <w:pPr>
        <w:spacing w:after="0" w:line="3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Contractual interest expense for the Convertible Notes was $1.5 million and $4.5 million for the three and nine months ended September 30, 2017 and 2016, respectively. Accretion expense was $2.8 million and $8.2 million for the three and nine months ended September 30, 2017, respectively, and $2.6 million and $7.8 million for the three and nine months ended September 30, 2016, respectively. The effective interest rate was 4.7% for the three and nine months ended September 30, 2017. As of September 30, 2017, the unamortized discount was $36.0 million, and will be amortized through October 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ATM Credit Facility</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June 27, 2017, the Company entered into a new credit facility (the "ATM Facility") agreement in which the lender has made available an aggregate $100 million uncommitted short-term credit facility to provide cash to support the Company's ATM network. Interest is charged on this financing on an annual basis at the Overnight LIBOR rate plus 2.0%. The ATM facility expires on November 30,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 AND HEDGING ACTIVITIES</w:t>
      </w:r>
    </w:p>
    <w:p>
      <w:pPr>
        <w:spacing w:after="0" w:line="121"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 xml:space="preserve">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short-term borrowings that are payable in currencies other than the U.S. dollar.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Topic 815, </w:t>
      </w:r>
      <w:r>
        <w:rPr>
          <w:rFonts w:ascii="Arial" w:cs="Arial" w:eastAsia="Arial" w:hAnsi="Arial"/>
          <w:sz w:val="16"/>
          <w:szCs w:val="16"/>
          <w:i w:val="1"/>
          <w:iCs w:val="1"/>
          <w:color w:val="auto"/>
        </w:rPr>
        <w:t xml:space="preserve">Derivatives and Hedging, </w:t>
      </w:r>
      <w:r>
        <w:rPr>
          <w:rFonts w:ascii="Arial" w:cs="Arial" w:eastAsia="Arial" w:hAnsi="Arial"/>
          <w:sz w:val="16"/>
          <w:szCs w:val="16"/>
          <w:color w:val="auto"/>
        </w:rPr>
        <w:t>primarily due to either the relatively short duration of the contract term or the effects of fluctuations in currency exchange rates</w:t>
      </w:r>
      <w:r>
        <w:rPr>
          <w:rFonts w:ascii="Arial" w:cs="Arial" w:eastAsia="Arial" w:hAnsi="Arial"/>
          <w:sz w:val="16"/>
          <w:szCs w:val="16"/>
          <w:i w:val="1"/>
          <w:iCs w:val="1"/>
          <w:color w:val="auto"/>
        </w:rPr>
        <w:t xml:space="preserve"> </w:t>
      </w:r>
      <w:r>
        <w:rPr>
          <w:rFonts w:ascii="Arial" w:cs="Arial" w:eastAsia="Arial" w:hAnsi="Arial"/>
          <w:sz w:val="16"/>
          <w:szCs w:val="16"/>
          <w:color w:val="auto"/>
        </w:rPr>
        <w:t>being reflected concurrently in earnings for both the derivative instrument and the transaction and having an offsetting effect.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Ria Operations and Corporate</w:t>
      </w:r>
    </w:p>
    <w:p>
      <w:pPr>
        <w:spacing w:after="0" w:line="11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the United States, the Company's Ria operations use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As of September 30, 2017, the Company held in its Ria operations foreign currency forward contracts outstanding in the U.S. with a notional value of $244 million, primarily in Australian dollars, Canadian dollars, British pounds, euros and Mexican pesos.</w:t>
      </w:r>
    </w:p>
    <w:p>
      <w:pPr>
        <w:spacing w:after="0" w:line="8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addition, the Company uses forward contracts, typically with maturities from a few days to less than one year, to offset foreign exchange rate fluctuations on certain foreign currency denominated other asset and liability positions. As of September 30, 2017, the Company had foreign currency forward contracts outstanding with a notional value of $282 million, primarily in British pounds, euros and Polish zloty.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HiFX Operations</w:t>
      </w:r>
    </w:p>
    <w:p>
      <w:pPr>
        <w:spacing w:after="0" w:line="11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HiFX writes derivative instruments, primarily foreign currency forward contracts and cross-currency swaps, mostly with counterparties comprised of individuals and small-to-medium size businesses and derives a currency margin from this activity as part of its operations. HiFX aggregates its foreign currency exposures arising from customer contracts and may hedge some or all of the resulting net currency risks by entering into offsetting contracts with established financial institution counterparties. Foreign exchange revenues from HiFX's total portfolio of positions were $16.7 million and $48.4 million for the three and nine months ended September 30, 2017, respectively, and $14.4 million and $48.3 million for the three and nine months ended September 30, 2016, respectively. All of the derivative contracts used in the Company's HiFX operations are economic hedges and are not designated as hedges under ASC Topic 815</w:t>
      </w:r>
      <w:r>
        <w:rPr>
          <w:rFonts w:ascii="Arial" w:cs="Arial" w:eastAsia="Arial" w:hAnsi="Arial"/>
          <w:sz w:val="17"/>
          <w:szCs w:val="17"/>
          <w:i w:val="1"/>
          <w:iCs w:val="1"/>
          <w:color w:val="auto"/>
        </w:rPr>
        <w:t>.</w:t>
      </w:r>
      <w:r>
        <w:rPr>
          <w:rFonts w:ascii="Arial" w:cs="Arial" w:eastAsia="Arial" w:hAnsi="Arial"/>
          <w:sz w:val="17"/>
          <w:szCs w:val="17"/>
          <w:color w:val="auto"/>
        </w:rPr>
        <w:t xml:space="preserve"> The duration of these derivative contracts is generally less than one year.</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fair value of HiFX's total portfolio of positions can change significantly from period to period based on, among other factors, market movements and changes in customer contract positions. HiFX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assessments prior to contract execution, conducting periodic evaluations of counterparty performance and maintaining a diverse portfolio of qualified counterparties. HiFX does not expect any significant losses from counterparty defaults.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aggregate equivalent U.S. dollar notional amounts of foreign currency derivative customer contracts held by the Company in its HiFX operations as</w:t>
      </w:r>
    </w:p>
    <w:p>
      <w:pPr>
        <w:spacing w:after="0" w:line="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of September 30, 2017 was approximately $1.3 billion. The majority of customer contracts are written in major currencies such as the U.S. dollar, euro, New Zealand dollar, British pound, and Australian dollar.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derivative instruments as recorded in the Consolidated Balance Sheets as of the dates below:</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Asset Derivatives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tcBorders>
              <w:bottom w:val="single" w:sz="8" w:color="auto"/>
            </w:tcBorders>
            <w:gridSpan w:val="4"/>
          </w:tcPr>
          <w:p>
            <w:pPr>
              <w:ind w:left="1640"/>
              <w:spacing w:after="0"/>
              <w:rPr>
                <w:sz w:val="20"/>
                <w:szCs w:val="20"/>
                <w:color w:val="auto"/>
              </w:rPr>
            </w:pPr>
            <w:r>
              <w:rPr>
                <w:rFonts w:ascii="Arial" w:cs="Arial" w:eastAsia="Arial" w:hAnsi="Arial"/>
                <w:sz w:val="14"/>
                <w:szCs w:val="14"/>
                <w:b w:val="1"/>
                <w:bCs w:val="1"/>
                <w:color w:val="auto"/>
              </w:rPr>
              <w:t>Liability Derivatives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2"/>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1"/>
              </w:rPr>
              <w:t>Balance Sheet Location</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1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1"/>
              </w:rPr>
              <w:t>Balance Sheet Location</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3"/>
                <w:szCs w:val="13"/>
                <w:color w:val="auto"/>
              </w:rPr>
            </w:pPr>
          </w:p>
        </w:tc>
        <w:tc>
          <w:tcPr>
            <w:tcW w:w="100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24"/>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w:t>
            </w:r>
          </w:p>
        </w:tc>
        <w:tc>
          <w:tcPr>
            <w:tcW w:w="1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designated as hedging</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7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00" w:type="dxa"/>
            <w:vAlign w:val="bottom"/>
            <w:gridSpan w:val="2"/>
          </w:tcPr>
          <w:p>
            <w:pPr>
              <w:ind w:left="180"/>
              <w:spacing w:after="0"/>
              <w:rPr>
                <w:sz w:val="20"/>
                <w:szCs w:val="20"/>
                <w:color w:val="auto"/>
              </w:rPr>
            </w:pPr>
            <w:r>
              <w:rPr>
                <w:rFonts w:ascii="Arial" w:cs="Arial" w:eastAsia="Arial" w:hAnsi="Arial"/>
                <w:sz w:val="18"/>
                <w:szCs w:val="18"/>
                <w:color w:val="auto"/>
              </w:rPr>
              <w:t>Foreign currency</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ind w:left="340"/>
              <w:spacing w:after="0"/>
              <w:rPr>
                <w:sz w:val="20"/>
                <w:szCs w:val="20"/>
                <w:color w:val="auto"/>
              </w:rPr>
            </w:pPr>
            <w:r>
              <w:rPr>
                <w:rFonts w:ascii="Arial" w:cs="Arial" w:eastAsia="Arial" w:hAnsi="Arial"/>
                <w:sz w:val="18"/>
                <w:szCs w:val="18"/>
                <w:color w:val="auto"/>
              </w:rPr>
              <w:t>exchange contracts</w:t>
            </w:r>
          </w:p>
        </w:tc>
        <w:tc>
          <w:tcPr>
            <w:tcW w:w="1760" w:type="dxa"/>
            <w:vAlign w:val="bottom"/>
          </w:tcPr>
          <w:p>
            <w:pPr>
              <w:ind w:left="320"/>
              <w:spacing w:after="0"/>
              <w:rPr>
                <w:sz w:val="20"/>
                <w:szCs w:val="20"/>
                <w:color w:val="auto"/>
              </w:rPr>
            </w:pPr>
            <w:r>
              <w:rPr>
                <w:rFonts w:ascii="Arial" w:cs="Arial" w:eastAsia="Arial" w:hAnsi="Arial"/>
                <w:sz w:val="18"/>
                <w:szCs w:val="18"/>
                <w:color w:val="auto"/>
                <w:w w:val="87"/>
              </w:rPr>
              <w:t>Other current assets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4"/>
              <w:spacing w:after="0"/>
              <w:rPr>
                <w:sz w:val="20"/>
                <w:szCs w:val="20"/>
                <w:color w:val="auto"/>
              </w:rPr>
            </w:pPr>
            <w:r>
              <w:rPr>
                <w:rFonts w:ascii="Arial" w:cs="Arial" w:eastAsia="Arial" w:hAnsi="Arial"/>
                <w:sz w:val="18"/>
                <w:szCs w:val="18"/>
                <w:color w:val="auto"/>
              </w:rPr>
              <w:t>44,603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42"/>
              <w:spacing w:after="0"/>
              <w:rPr>
                <w:sz w:val="20"/>
                <w:szCs w:val="20"/>
                <w:color w:val="auto"/>
              </w:rPr>
            </w:pPr>
            <w:r>
              <w:rPr>
                <w:rFonts w:ascii="Arial" w:cs="Arial" w:eastAsia="Arial" w:hAnsi="Arial"/>
                <w:sz w:val="18"/>
                <w:szCs w:val="18"/>
                <w:color w:val="auto"/>
              </w:rPr>
              <w:t>75,307</w:t>
            </w:r>
          </w:p>
        </w:tc>
        <w:tc>
          <w:tcPr>
            <w:tcW w:w="100" w:type="dxa"/>
            <w:vAlign w:val="bottom"/>
          </w:tcPr>
          <w:p>
            <w:pPr>
              <w:spacing w:after="0"/>
              <w:rPr>
                <w:sz w:val="20"/>
                <w:szCs w:val="20"/>
                <w:color w:val="auto"/>
              </w:rPr>
            </w:pPr>
          </w:p>
        </w:tc>
        <w:tc>
          <w:tcPr>
            <w:tcW w:w="2160" w:type="dxa"/>
            <w:vAlign w:val="bottom"/>
          </w:tcPr>
          <w:p>
            <w:pPr>
              <w:jc w:val="center"/>
              <w:ind w:right="42"/>
              <w:spacing w:after="0"/>
              <w:rPr>
                <w:sz w:val="20"/>
                <w:szCs w:val="20"/>
                <w:color w:val="auto"/>
              </w:rPr>
            </w:pPr>
            <w:r>
              <w:rPr>
                <w:rFonts w:ascii="Arial" w:cs="Arial" w:eastAsia="Arial" w:hAnsi="Arial"/>
                <w:sz w:val="18"/>
                <w:szCs w:val="18"/>
                <w:color w:val="auto"/>
                <w:w w:val="93"/>
              </w:rPr>
              <w:t>Other current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(31,947)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(63,772)</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following tables summarize the gross and net fair value of derivative assets and liabilities as of September 30, 2017 and December 31, 2016 (in thousands):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Assets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Gross Amounts Not Offset in the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Consolidated Balance Sheet</w:t>
            </w: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Amounts of</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Financial</w:t>
            </w: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Cash Collateral</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September 30, 2017</w:t>
            </w:r>
          </w:p>
        </w:tc>
        <w:tc>
          <w:tcPr>
            <w:tcW w:w="140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4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186"/>
        </w:trPr>
        <w:tc>
          <w:tcPr>
            <w:tcW w:w="3300" w:type="dxa"/>
            <w:vAlign w:val="bottom"/>
            <w:gridSpan w:val="2"/>
            <w:vMerge w:val="continue"/>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Recognized Assets</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Balance Sheet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Balance Sheet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Instruments</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Received</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44,603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44,603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(20,071)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16,264</w:t>
            </w: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75,307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75,307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17,993</w:t>
            </w:r>
          </w:p>
        </w:tc>
        <w:tc>
          <w:tcPr>
            <w:tcW w:w="0" w:type="dxa"/>
            <w:vAlign w:val="bottom"/>
          </w:tcPr>
          <w:p>
            <w:pPr>
              <w:spacing w:after="0"/>
              <w:rPr>
                <w:sz w:val="1"/>
                <w:szCs w:val="1"/>
                <w:color w:val="auto"/>
              </w:rPr>
            </w:pPr>
          </w:p>
        </w:tc>
      </w:tr>
      <w:tr>
        <w:trPr>
          <w:trHeight w:val="324"/>
        </w:trPr>
        <w:tc>
          <w:tcPr>
            <w:tcW w:w="3340" w:type="dxa"/>
            <w:vAlign w:val="bottom"/>
            <w:gridSpan w:val="3"/>
          </w:tcPr>
          <w:p>
            <w:pPr>
              <w:spacing w:after="0"/>
              <w:rPr>
                <w:sz w:val="20"/>
                <w:szCs w:val="20"/>
                <w:color w:val="auto"/>
              </w:rPr>
            </w:pPr>
            <w:r>
              <w:rPr>
                <w:rFonts w:ascii="Arial" w:cs="Arial" w:eastAsia="Arial" w:hAnsi="Arial"/>
                <w:sz w:val="18"/>
                <w:szCs w:val="18"/>
                <w:i w:val="1"/>
                <w:iCs w:val="1"/>
                <w:color w:val="auto"/>
              </w:rPr>
              <w:t>Offsetting of Derivative Liabilities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Gross Amounts Not Offset in the</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Consolidated Balance Sheet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Gross Amounts of</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8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Collateral</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September 30, 2017</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4"/>
              </w:rPr>
              <w:t>Net Amounts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9"/>
              </w:rPr>
              <w:t>Instruments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(31,947)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(31,947)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20,071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(9,295)</w:t>
            </w: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49,752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1,106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8, Fair Value Measurements, for the determination of the fair values of derivatives.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Statement Presentation</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tables summarize the location and amount of gains and losses on derivatives in the Consolidated Statements of Income for the three and nine months ended September 30, 2017 and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gridSpan w:val="10"/>
          </w:tcPr>
          <w:p>
            <w:pPr>
              <w:ind w:left="200"/>
              <w:spacing w:after="0"/>
              <w:rPr>
                <w:sz w:val="20"/>
                <w:szCs w:val="20"/>
                <w:color w:val="auto"/>
              </w:rPr>
            </w:pPr>
            <w:r>
              <w:rPr>
                <w:rFonts w:ascii="Arial" w:cs="Arial" w:eastAsia="Arial" w:hAnsi="Arial"/>
                <w:sz w:val="14"/>
                <w:szCs w:val="14"/>
                <w:b w:val="1"/>
                <w:bCs w:val="1"/>
                <w:color w:val="auto"/>
              </w:rPr>
              <w:t>Amount of Gain (Loss) Recognized in Income on Derivative Contracts (a)</w:t>
            </w: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jc w:val="center"/>
              <w:ind w:right="480"/>
              <w:spacing w:after="0" w:line="153" w:lineRule="exact"/>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3"/>
                <w:szCs w:val="13"/>
                <w:color w:val="auto"/>
              </w:rPr>
            </w:pPr>
          </w:p>
        </w:tc>
        <w:tc>
          <w:tcPr>
            <w:tcW w:w="2320" w:type="dxa"/>
            <w:vAlign w:val="bottom"/>
            <w:gridSpan w:val="4"/>
          </w:tcPr>
          <w:p>
            <w:pPr>
              <w:jc w:val="center"/>
              <w:ind w:right="199"/>
              <w:spacing w:after="0" w:line="153" w:lineRule="exact"/>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Location of Gain (Loss) Recognized in</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64"/>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64"/>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3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restart"/>
          </w:tcPr>
          <w:p>
            <w:pPr>
              <w:jc w:val="right"/>
              <w:ind w:right="40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 on Derivative Contracts</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exchange gain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20" w:type="dxa"/>
            <w:vAlign w:val="bottom"/>
            <w:shd w:val="clear" w:color="auto" w:fill="CCEEFF"/>
          </w:tcPr>
          <w:p>
            <w:pPr>
              <w:spacing w:after="0"/>
              <w:rPr>
                <w:sz w:val="20"/>
                <w:szCs w:val="20"/>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3,062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7"/>
        </w:trPr>
        <w:tc>
          <w:tcPr>
            <w:tcW w:w="3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80" w:firstLine="8"/>
        <w:spacing w:after="0" w:line="255" w:lineRule="auto"/>
        <w:tabs>
          <w:tab w:leader="none" w:pos="24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enters into derivative contracts such as foreign currency exchange forwards and cross-currency swaps as part of its HiFX operations. These derivative contracts are excluded from this table as they are part of the broader disclosure of foreign currency exchange revenues for this business discussed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5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for identical assets or liabilities.</w:t>
      </w:r>
    </w:p>
    <w:p>
      <w:pPr>
        <w:spacing w:after="0" w:line="117"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62"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financial assets and liabilities measured and recorded at fair value on a recurring basis: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As of September 30, 2017</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22"/>
                <w:szCs w:val="22"/>
                <w:color w:val="auto"/>
              </w:rPr>
            </w:pPr>
          </w:p>
        </w:tc>
        <w:tc>
          <w:tcPr>
            <w:tcW w:w="22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Balance Sheet Classification</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44,603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44,603</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(31,947)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(31,947)</w:t>
            </w:r>
          </w:p>
        </w:tc>
      </w:tr>
      <w:tr>
        <w:trPr>
          <w:trHeight w:val="399"/>
        </w:trPr>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As of December 31, 2016</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22"/>
                <w:szCs w:val="22"/>
                <w:color w:val="auto"/>
              </w:rPr>
            </w:pPr>
          </w:p>
        </w:tc>
        <w:tc>
          <w:tcPr>
            <w:tcW w:w="22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Balance Sheet Classification</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64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75,307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75,307</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64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(63,772)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(63,772)</w:t>
            </w:r>
          </w:p>
        </w:tc>
      </w:tr>
      <w:tr>
        <w:trPr>
          <w:trHeight w:val="675"/>
        </w:trPr>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ind w:left="19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Other Fair Value Disclosures</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252525"/>
        </w:rPr>
        <w:t>The carrying amounts of cash and cash equivalents, accounts receivable, trade accounts payable, accrued expenses and other current obligations approximate their fair values because of the relatively short-term maturities of these financial instruments. The carrying values of the Company’s long-term debt (other than the Convertible Notes), including the current portion, approximate fair value because interest is primarily based on LIBOR, which resets at various intervals of less than one year. The Company estimates the fair value of the Convertible Notes using quoted prices in inactive markets for identical liabilities (Level 2). As of September 30, 2017 and December 31, 2016, the fair values of the Convertible Notes were $550.5 million and $475.1 million, respectively, with carrying values of $366.5 million and $358.3 million,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 xml:space="preserve">The Company’s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980" w:hanging="648"/>
        <w:spacing w:after="0" w:line="25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cash withdrawal services, ATM network participation, outsourced ATM and POS management solutions, credit and debit card outsourcing, dynamic currency conversion and other value added services. Through this segment, the Company also offers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680" w:hanging="648"/>
        <w:spacing w:after="0" w:line="308"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Through the epay Segment, the Company provides distribution, processing and collection services for prepaid mobile airtime and other electronic payment products in Europe, the Middle East, Asia Pacific, the United States and South America.</w:t>
      </w:r>
    </w:p>
    <w:p>
      <w:pPr>
        <w:spacing w:after="0" w:line="38" w:lineRule="exact"/>
        <w:rPr>
          <w:rFonts w:ascii="Arial" w:cs="Arial" w:eastAsia="Arial" w:hAnsi="Arial"/>
          <w:sz w:val="17"/>
          <w:szCs w:val="17"/>
          <w:color w:val="auto"/>
        </w:rPr>
      </w:pPr>
    </w:p>
    <w:p>
      <w:pPr>
        <w:ind w:left="980" w:right="60" w:hanging="648"/>
        <w:spacing w:after="0" w:line="25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the Money Transfer Segment, the Company provides global money transfer services under the brand names Ria, HiFX, IME and xe. Ria and IME provide global consumer-to-consumer money transfer services through a network of sending agents, Company-owned stores and Company-owned websites, disbursing money transfers through a worldwide correspondent network. HiFX offers account-to-account international payment services to high-income individuals and small-to-medium sized businesses. xe is a provider of foreign currency exchange information and offers money transfers on its currency data websites. The Company also offers customers bill payment services, payment alternatives such as money orders and prepaid debit cards, comprehensive check cashing services, foreign currency exchange services and mobile top-up. The Company provides cash management solutions and foreign currency risk management services to small-to-medium sized businesses under the brand name HiFM.</w:t>
      </w:r>
    </w:p>
    <w:p>
      <w:pPr>
        <w:spacing w:after="0" w:line="84"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addition, the Company accounts for non-operating activity, most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reportable segment results for the three and nine months ended September 30, 2017 and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For the Three Months Ended September 30, 2017</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226,321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184,234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228,105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637,834</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99,024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143,023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123,588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364,815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16,817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13,955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44,110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7,252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82,134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49,279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14,805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2,461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24,705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139,524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168,584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203,749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9,076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520,933</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86,797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15,650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24,356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116,901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For the Three Months Ended September 30, 2016</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152,586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167,226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204,611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524,025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62,401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128,212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109,944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300,159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12,954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13,352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38,365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7,228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71,899</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23,924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41,379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10,151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2,734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7,195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20,120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93,148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152,431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179,428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8,550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433,557</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59,438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14,795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25,183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90,468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For the Nine Months Ended September 30, 2017</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488,030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512,531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649,205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1,647,777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238,753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393,269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348,724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978,768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46,125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39,606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125,273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21,613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232,617</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27,628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77,912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10,208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139,708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Acquired intangible assets impairment</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2,286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39,816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7,667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21,941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69,520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350,940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468,170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573,850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29,939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1,422,899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137,090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44,361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75,355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224,878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For the Nine Months Ended September 30, 2016</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354,282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497,945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587,664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1,438,786</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165,520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379,423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309,706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853,544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37,601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38,052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114,582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22,739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212,974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22,154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68,930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121,678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28,411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8,498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21,868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58,923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253,686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451,264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515,086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27,083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1,247,119</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100,596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46,681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72,578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(28,188)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191,667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property and equipment and total assets by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8"/>
              </w:rPr>
              <w:t>Property and Equipment, net as of</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Total Assets as of</w:t>
            </w:r>
          </w:p>
        </w:tc>
      </w:tr>
      <w:tr>
        <w:trPr>
          <w:trHeight w:val="152"/>
        </w:trPr>
        <w:tc>
          <w:tcPr>
            <w:tcW w:w="6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1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000" w:type="dxa"/>
            <w:vAlign w:val="bottom"/>
          </w:tcPr>
          <w:p>
            <w:pPr>
              <w:jc w:val="right"/>
              <w:ind w:right="55"/>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181,188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139,161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1,310,607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786,166</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27,139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23,939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616,596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733,514</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42,047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38,954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1,229,899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1,136,722</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1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20,819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56,470</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250,436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202,145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3,177,921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2,712,872</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 xml:space="preserve">The Company's effective income tax rate was 13.4% and 19.3% for the three and nine months ended </w:t>
      </w:r>
      <w:r>
        <w:rPr>
          <w:rFonts w:ascii="Arial" w:cs="Arial" w:eastAsia="Arial" w:hAnsi="Arial"/>
          <w:sz w:val="16"/>
          <w:szCs w:val="16"/>
          <w:color w:val="252525"/>
        </w:rPr>
        <w:t>September 30, 2017</w:t>
      </w:r>
      <w:r>
        <w:rPr>
          <w:rFonts w:ascii="Arial" w:cs="Arial" w:eastAsia="Arial" w:hAnsi="Arial"/>
          <w:sz w:val="16"/>
          <w:szCs w:val="16"/>
          <w:color w:val="auto"/>
        </w:rPr>
        <w:t>, respectively, compared to 25.5% and 23.7% for the three and nine months ended September 30, 2016, respectively. The Company's effective income tax rate for the three and nine months ended September 30, 2017 and 2016 was lower than the applicable statutory income tax rate of 35% primarily attributable to the release in 2017 of a $16.3 million valuation allowance against certain foreign net deferred tax assets and, to a lesser extent, the Company's continued U.S. income tax positions. Due to the recent significant year-over-year and year-to-date profitability of ATMs under management in Europe, the Company believes certain foreign net deferred tax assets, including net operating loss carryforwards, will more likely than not be realized in future periods. In addition to the foreign valuation allowance release, the Company continues to have significant net operating loss carryforwards in the U.S. with no recent history of taxable income; therefore, the Company has recorded a valuation allowance against its U.S. net deferred tax assets. Accordingly, in instances when the Company generates U.S. GAAP income for the period, no income tax expense is recognized to the extent there are net operating loss carryforwards to offset that income.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September 30, 2017, the Company had $73.6 million of stand-by letters of credit/bank guarantees issued on its behalf, of which $45.1 million are outstanding under the Credit Facility. The remaining stand-by letters of credit/bank guarantees are collateralized by $3.4 million of cash deposits held by the respective issuing banks.</w:t>
      </w:r>
    </w:p>
    <w:p>
      <w:pPr>
        <w:spacing w:after="0" w:line="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September 30, 2017, the Company had granted off balance sheet guarantees for cash in various ATM networks amounting to $16.9 million over the terms of the cash supply agreements and performance guarantees amounting to approximately $21.8 million over the terms of agreements with the customers.</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Once each of Euronet's subsidiaries reaches a certain size, it is required under the Credit Facility to provide a guarantee of all or a portion of the outstanding obligations under the Credit Facility depending upon whether the subsidiary is a domestic or foreign entity.</w:t>
      </w:r>
    </w:p>
    <w:p>
      <w:pPr>
        <w:spacing w:after="0" w:line="6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mitigated by relevant insurance coverage and may be subject to time and materiality limitations, monetary caps and other conditions and defenses. Such indemnification obligations include the following:</w:t>
      </w:r>
    </w:p>
    <w:p>
      <w:pPr>
        <w:spacing w:after="0" w:line="62" w:lineRule="exact"/>
        <w:rPr>
          <w:sz w:val="20"/>
          <w:szCs w:val="20"/>
          <w:color w:val="auto"/>
        </w:rPr>
      </w:pPr>
    </w:p>
    <w:p>
      <w:pPr>
        <w:ind w:left="580" w:right="100" w:hanging="329"/>
        <w:spacing w:after="0" w:line="259"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September 30, 2017, the balance of cash used in the Company's ATM networks for which the Company was responsible was approximately $283 million. The Company maintains insurance policies to mitigate this exposure;</w:t>
      </w:r>
    </w:p>
    <w:p>
      <w:pPr>
        <w:spacing w:after="0" w:line="78" w:lineRule="exact"/>
        <w:rPr>
          <w:rFonts w:ascii="Arial" w:cs="Arial" w:eastAsia="Arial" w:hAnsi="Arial"/>
          <w:sz w:val="18"/>
          <w:szCs w:val="18"/>
          <w:color w:val="auto"/>
        </w:rPr>
      </w:pPr>
    </w:p>
    <w:p>
      <w:pPr>
        <w:ind w:left="580" w:right="120" w:hanging="329"/>
        <w:spacing w:after="0" w:line="259"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systems of internal controls and insurance policies to mitigate this exposure;</w:t>
      </w:r>
    </w:p>
    <w:p>
      <w:pPr>
        <w:spacing w:after="0" w:line="78" w:lineRule="exact"/>
        <w:rPr>
          <w:rFonts w:ascii="Arial" w:cs="Arial" w:eastAsia="Arial" w:hAnsi="Arial"/>
          <w:sz w:val="18"/>
          <w:szCs w:val="18"/>
          <w:color w:val="auto"/>
        </w:rPr>
      </w:pPr>
    </w:p>
    <w:p>
      <w:pPr>
        <w:ind w:left="580" w:right="180" w:hanging="329"/>
        <w:spacing w:after="0" w:line="264"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73" w:lineRule="exact"/>
        <w:rPr>
          <w:rFonts w:ascii="Arial" w:cs="Arial" w:eastAsia="Arial" w:hAnsi="Arial"/>
          <w:sz w:val="18"/>
          <w:szCs w:val="18"/>
          <w:color w:val="auto"/>
        </w:rPr>
      </w:pPr>
    </w:p>
    <w:p>
      <w:pPr>
        <w:ind w:left="580" w:right="140" w:hanging="329"/>
        <w:spacing w:after="0" w:line="264"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73" w:lineRule="exact"/>
        <w:rPr>
          <w:rFonts w:ascii="Arial" w:cs="Arial" w:eastAsia="Arial" w:hAnsi="Arial"/>
          <w:sz w:val="18"/>
          <w:szCs w:val="18"/>
          <w:color w:val="auto"/>
        </w:rPr>
      </w:pPr>
    </w:p>
    <w:p>
      <w:pPr>
        <w:ind w:left="580" w:right="60" w:hanging="329"/>
        <w:spacing w:after="0" w:line="293"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56" w:lineRule="exact"/>
        <w:rPr>
          <w:rFonts w:ascii="Arial" w:cs="Arial" w:eastAsia="Arial" w:hAnsi="Arial"/>
          <w:sz w:val="16"/>
          <w:szCs w:val="16"/>
          <w:color w:val="auto"/>
        </w:rPr>
      </w:pPr>
    </w:p>
    <w:p>
      <w:pPr>
        <w:ind w:left="580" w:right="420" w:hanging="329"/>
        <w:spacing w:after="0" w:line="264"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September 30, 2017 or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LITIGATION AND CONTINGENCIES</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From time to time, the Company is a party to legal or regulatory proceedings arising in the ordinary course of its business. Currently, there are no legal proceedings or regulatory findings that management believes, either individually or in the aggregate, would have a material adverse effect on the 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terms "Euronet," the "Company," "we" and "us" as used herein refer to Euronet Worldwide, Inc. and its subsidiaries.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80" w:lineRule="exact"/>
        <w:rPr>
          <w:sz w:val="20"/>
          <w:szCs w:val="20"/>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estimated capital expenditures;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outcome of loss contingencies;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regarding the closing of any pending acquisitions;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Although we believe that the expectations reflected in these forward-looking statements are reasonable, we can give no assurance that these expectations will prove to be correct.</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the effects in Europe of the recent Brexit vote and economic conditions in specific countries and regions; the effects of demonetization in India;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and consumer and data protection requirements; changes in laws and regulations affecting our business, including immigration laws; changes in our relationships with, or in fees charged by, our business partners; competition; the outcome of claims and other loss contingencies affecting Euronet; and those factors referred to above and as set forth and more fully described in Part I, Item 1A — Risk Factors of our Annual Report on Form 10-K for the year ended December 31, 2016. Our Annual Report on Form 10-K and Quarterly Reports on Form 10-Q are available on the SEC's EDGAR website at www.sec.gov, and copies may also be obtained by contacting the Company. Any forward-looking statements made in this Form 10-Q speak only as of the date of this report. Except as required by law, we do not intend, and do not undertake any obligation, to update any forward-looking statements to reflect future events or circumstances after the date of such statements.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Euronet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card outsourcing, card issuing and merchant acquiring services, software solutions, electronic distribution of prepaid mobile airtime and other electronic payment products, foreign currency exchange services and global money transfer services. We operate in the following three segments:</w:t>
      </w:r>
    </w:p>
    <w:p>
      <w:pPr>
        <w:spacing w:after="0" w:line="46" w:lineRule="exact"/>
        <w:rPr>
          <w:sz w:val="20"/>
          <w:szCs w:val="20"/>
          <w:color w:val="auto"/>
        </w:rPr>
      </w:pPr>
    </w:p>
    <w:p>
      <w:pPr>
        <w:ind w:left="980" w:right="260" w:hanging="648"/>
        <w:spacing w:after="0" w:line="276"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EFT Processing Segment, which processes transactions for a network of 38,105 ATMs and approximately 227,000 POS terminals across Europe, the Middle East and Asia Pacific. We provide comprehensive electronic payment solutions consisting of ATM cash withdrawal and deposit services, ATM network participation, outsourced ATM and POS management solutions, credit and debit card outsourcing, dynamic currency conversion ("DCC"), and other value added services. Through this segment, we also offer a suite of integrated electronic financial transaction software solutions for electronic payment and transaction delivery systems.</w:t>
      </w:r>
    </w:p>
    <w:p>
      <w:pPr>
        <w:spacing w:after="0" w:line="64" w:lineRule="exact"/>
        <w:rPr>
          <w:rFonts w:ascii="Arial" w:cs="Arial" w:eastAsia="Arial" w:hAnsi="Arial"/>
          <w:sz w:val="17"/>
          <w:szCs w:val="17"/>
          <w:color w:val="auto"/>
        </w:rPr>
      </w:pPr>
    </w:p>
    <w:p>
      <w:pPr>
        <w:ind w:left="980" w:right="80" w:hanging="648"/>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epay Segment, which provides distribution, processing and collection services for prepaid mobile airtime and other electronic payment products. We operate a network of approximately 696,000 POS terminals providing electronic processing of prepaid mobile airtime top-up services and other electronic payment products in Europe, the Middle East, Asia Pacific, the United States and South America. We also provide vouchers and physical gift fulfillment services in Europe.</w:t>
      </w:r>
    </w:p>
    <w:p>
      <w:pPr>
        <w:spacing w:after="0" w:line="78" w:lineRule="exact"/>
        <w:rPr>
          <w:rFonts w:ascii="Arial" w:cs="Arial" w:eastAsia="Arial" w:hAnsi="Arial"/>
          <w:sz w:val="18"/>
          <w:szCs w:val="18"/>
          <w:color w:val="auto"/>
        </w:rPr>
      </w:pPr>
    </w:p>
    <w:p>
      <w:pPr>
        <w:ind w:left="980" w:hanging="648"/>
        <w:spacing w:after="0" w:line="270"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Money Transfer Segment, which provides global consumer-to-consumer money transfer services, primarily under the brand names Ria, IME and xe, and global account-to-account money transfer services under the brand name HiFX. We offer services under the brand names Ria and IME through a network of sending agents, Company-owned stores (primarily in North America, Europe and Malaysia) and Ria branded websites (riamoneytransfer.com and imeremit.com), disbursing money transfers through a worldwide correspondent network that includes approximately 332,000 locations. xe is a provider of foreign currency exchange information and offers money transfer services on its currency data websites (xe.com and x-rates.com). We offer services under the brand name HiFX through HiFX branded websites and HiFX customer service representatives.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prepaid mobile top-up. Through our HiFM brand, we offer cash management solutions and foreign currency risk management services to small-to-medium sized businesses.</w:t>
      </w:r>
    </w:p>
    <w:p>
      <w:pPr>
        <w:spacing w:after="0" w:line="70" w:lineRule="exact"/>
        <w:rPr>
          <w:sz w:val="20"/>
          <w:szCs w:val="20"/>
          <w:color w:val="auto"/>
        </w:rPr>
      </w:pPr>
    </w:p>
    <w:p>
      <w:pPr>
        <w:ind w:left="60" w:right="80"/>
        <w:spacing w:after="0" w:line="259" w:lineRule="auto"/>
        <w:rPr>
          <w:sz w:val="20"/>
          <w:szCs w:val="20"/>
          <w:color w:val="auto"/>
        </w:rPr>
      </w:pPr>
      <w:r>
        <w:rPr>
          <w:rFonts w:ascii="Arial" w:cs="Arial" w:eastAsia="Arial" w:hAnsi="Arial"/>
          <w:sz w:val="18"/>
          <w:szCs w:val="18"/>
          <w:color w:val="auto"/>
        </w:rPr>
        <w:t>We have six processing centers in Europe, five in Asia Pacific and two in North America. We have 35 principal offices in Europe, 11 in Asia Pacific, nine in North America, three in the Middle East, two in South America and one in Africa. Our executive offices are located in Leawood, Kansas, USA. With approximately 74% of our revenues denominated in currencies other than the U.S. dollar, any significant changes in foreign currency exchange rates will likely have a significant impact on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Euronet primarily earns revenues and income from ATM management fees, transaction fees, commissions and foreign currency exchange margin. Each operating segment’s sources of revenues are described below.</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Revenues in the EFT Processing Segment, which represented approximately 35% and 30% of total consolidated revenues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third quarter and first nine months of 2017, are primarily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and other value added services such as advertising, prepaid telecommunication recharges, bill payment, and money transfers provided over ATMs. Revenues in this segment are also derived from license fees, professional services and maintenance fees for proprietary application software and sales of related hardware.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 xml:space="preserve">epay Segment </w:t>
      </w:r>
      <w:r>
        <w:rPr>
          <w:rFonts w:ascii="Arial" w:cs="Arial" w:eastAsia="Arial" w:hAnsi="Arial"/>
          <w:sz w:val="17"/>
          <w:szCs w:val="17"/>
          <w:color w:val="auto"/>
        </w:rPr>
        <w:t>— Revenues in the epay Segment, which represented approximately 29% and 31% of total consolidated revenues for the third quarter and first</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of 2017, are derived from commissions or processing fees received from mobile phone operators for the processing and distribution of prepaid mobile airtime and commissions earned from the distribution of other electronic payment products, vouchers, and physical gifts. The proportion of epay Segment revenues earned from the distribution of prepaid mobile phone time as compared with other electronic products has decreased over time, and non-mobile content now produces approximately 67% of epay Segment revenues. Other electronic payment products offered by this segment include digital content such as music, games and software, as well as other products, including prepaid long distance calling card plans, prepaid Internet plans, prepaid debit cards, gift cards, vouchers, transport payments, lottery payments, bill payment, and money transfer. Agreements with mobile operators and prepaid content providers are important to the success of our business and these agreements permit us to distribute prepaid mobile airtime and other electronic payment products to retailers.</w:t>
      </w:r>
    </w:p>
    <w:p>
      <w:pPr>
        <w:spacing w:after="0" w:line="7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Money Transfer Segment </w:t>
      </w:r>
      <w:r>
        <w:rPr>
          <w:rFonts w:ascii="Arial" w:cs="Arial" w:eastAsia="Arial" w:hAnsi="Arial"/>
          <w:sz w:val="16"/>
          <w:szCs w:val="16"/>
          <w:color w:val="auto"/>
        </w:rPr>
        <w:t>— Revenues in the Money Transfer Segment, which represented approximately 36% and 39% of total consolidated revenues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third quarter and first nine months of 2017,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and Ria, xe and HiFX branded websites,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5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offers a money transfer product called Walmart-2-Walmart Money Transfer Service which allows customers to transfer money to and from Walmart stores in the U.S. Our Ria business executes the transfers with Walmart serving as both the sending agent and payout correspondent. Ria earns a lower margin from these transactions than its traditional money transfers; however, the arrangement has added a significant number of transactions to Ria’s business. The agreement with Walmart establishes Ria as the only party through which Walmart will sell U.S. domestic money transfers branded with Walmart marks. The agreement had an initial term of three years from the launch date of April 2014, and was renewed for an additional three years until April 2020 and will automatically renew for subsequent one 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7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focused on eight primary areas:</w:t>
      </w:r>
    </w:p>
    <w:p>
      <w:pPr>
        <w:spacing w:after="0" w:line="117"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the number of ATMs and cash deposit terminals in our independent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transactions processed on our network of owned and operated ATMs and POS devices;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signing new outsourced ATM and POS terminal management contracts;</w:t>
      </w:r>
    </w:p>
    <w:p>
      <w:pPr>
        <w:spacing w:after="0" w:line="117" w:lineRule="exact"/>
        <w:rPr>
          <w:rFonts w:ascii="Arial" w:cs="Arial" w:eastAsia="Arial" w:hAnsi="Arial"/>
          <w:sz w:val="18"/>
          <w:szCs w:val="18"/>
          <w:color w:val="auto"/>
        </w:rPr>
      </w:pPr>
    </w:p>
    <w:p>
      <w:pPr>
        <w:ind w:left="980" w:right="360" w:hanging="64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value added services and other products offered by our EFT Processing Segment, including the sale of DCC, acquiring and other prepaid card services to banks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our epay processing network and portfolio of digital content;</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our money transfer services, cross-currency payment products and bill payment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our cash management solutions and foreign currency risk management services;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our credit and debit card outsourcing business.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products or services, including value added services, to drive increases in transactions and revenues;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entry into additional card acceptance and ATM management agreements with banks;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required licenses in markets we intend to enter or expand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enter into and renew ATM network cash supply agreements with financial institutions;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efficiently to install ATMs contracted under newly awarded outsourcing agreements;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renew existing contracts at profitable rates;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pricing at current levels or mitigate price reductions in certain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reductions in ATM interchange fees;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expand and sign additional customers for the cross-border merchant processing and acquiring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several months. The process is further complicated by the legal and regulatory considerations of local countries. These agreements tend to cover large numbers of ATMs, so significant increases and decreases in our pool of managed ATMs could result from the acquisition or termination of one or more of these management contracts. Therefore, the timing of both current and new contract revenues is uncertain and unpredictable.</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980" w:right="30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and renew existing agreements, and to negotiate new agreements in additional markets with mobile operators, digital content providers, agent financial institutions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use existing expertise and relationships with mobile operators, digital content providers and retailers to our advantage;</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continued use of third-party providers such as ourselves to supply electronic processing solutions for existing and additional digital content;</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development of mobile phone networks in the markets in which we do business and the increase in the number of mobile phone users;</w:t>
      </w:r>
    </w:p>
    <w:p>
      <w:pPr>
        <w:spacing w:after="0" w:line="140" w:lineRule="exact"/>
        <w:rPr>
          <w:rFonts w:ascii="Arial" w:cs="Arial" w:eastAsia="Arial" w:hAnsi="Arial"/>
          <w:sz w:val="16"/>
          <w:szCs w:val="16"/>
          <w:color w:val="auto"/>
        </w:rPr>
      </w:pPr>
    </w:p>
    <w:p>
      <w:pPr>
        <w:ind w:left="980" w:right="34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overall pace of growth in the prepaid mobile phone and digital content market, including consumer shifts between prepaid and postpaid services;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 and other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operators;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and effectively market additional value added services;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125" w:right="3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right="10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EFT Processing and Money Transfer Segments, including providing money transfer services through our distribution network;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3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all of the markets in which we operate, we are experiencing significant competition which will impact the rate at which we may be able to grow organically. Competition among prepaid mobile airtime and digital content distributors results in the increase of commissions paid to retailers and increases in retailer attrition rates. To grow, we must capture market share from other prepaid mobile airtime and digital content distributors, offer a superior product offering and demonstrate the value of a global network. In certain markets in which we operate, many of the factors that may contribute to rapid growth (growth in electronic payment products, expansion of our network of retailers and access to products of mobile operators and other content providers) remain present.</w:t>
      </w:r>
    </w:p>
    <w:p>
      <w:pPr>
        <w:spacing w:after="0" w:line="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continued expansion and development of our Money Transfer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17" w:lineRule="exact"/>
        <w:rPr>
          <w:rFonts w:ascii="Arial" w:cs="Arial" w:eastAsia="Arial" w:hAnsi="Arial"/>
          <w:sz w:val="18"/>
          <w:szCs w:val="18"/>
          <w:color w:val="auto"/>
        </w:rPr>
      </w:pPr>
    </w:p>
    <w:p>
      <w:pPr>
        <w:ind w:left="980" w:right="220" w:hanging="648"/>
        <w:spacing w:after="0" w:line="308"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mitigation of economic and political factors that have had an adverse impact on money transfer volumes, such as changes in the economic sectors in which immigrants work and the developments in immigration policies in the countries in which we operate;</w:t>
      </w:r>
    </w:p>
    <w:p>
      <w:pPr>
        <w:spacing w:after="0" w:line="38" w:lineRule="exact"/>
        <w:rPr>
          <w:rFonts w:ascii="Arial" w:cs="Arial" w:eastAsia="Arial" w:hAnsi="Arial"/>
          <w:sz w:val="17"/>
          <w:szCs w:val="17"/>
          <w:color w:val="auto"/>
        </w:rPr>
      </w:pPr>
    </w:p>
    <w:p>
      <w:pPr>
        <w:ind w:left="980" w:right="6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high-income individuals, immigrant workers and the unbanked population in our markets;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our agent and correspondent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offer our products and services or develop new products and services at competitive prices to drive increases in transactions;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strengthen our brands;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17" w:lineRule="exact"/>
        <w:rPr>
          <w:rFonts w:ascii="Arial" w:cs="Arial" w:eastAsia="Arial" w:hAnsi="Arial"/>
          <w:sz w:val="18"/>
          <w:szCs w:val="18"/>
          <w:color w:val="auto"/>
        </w:rPr>
      </w:pPr>
    </w:p>
    <w:p>
      <w:pPr>
        <w:ind w:left="980" w:right="18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the epay Segment, including providing prepaid services through our stores and agents worldwide;</w:t>
      </w:r>
    </w:p>
    <w:p>
      <w:pPr>
        <w:spacing w:after="0" w:line="62"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leverage our banking and merchant/retailer relationships to expand money transfer corridors to Europe, Asia and Africa, including high growth corridors to Central and Eastern European countries;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maintain banking relationships necessary for us to service our customers;</w:t>
      </w:r>
    </w:p>
    <w:p>
      <w:pPr>
        <w:spacing w:after="0" w:line="117"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institution licenses under the Payment Services Directive and in the United States;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provide additional value-added products under the xe brand.</w:t>
      </w:r>
    </w:p>
    <w:p>
      <w:pPr>
        <w:spacing w:after="0" w:line="33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Revenues and operating income by segment for the three and nine months ended September 30, 2017 and 2016 are summarized in the tables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8"/>
          </w:tcPr>
          <w:p>
            <w:pPr>
              <w:jc w:val="center"/>
              <w:spacing w:after="0"/>
              <w:rPr>
                <w:sz w:val="20"/>
                <w:szCs w:val="20"/>
                <w:color w:val="auto"/>
              </w:rPr>
            </w:pPr>
            <w:r>
              <w:rPr>
                <w:rFonts w:ascii="Arial" w:cs="Arial" w:eastAsia="Arial" w:hAnsi="Arial"/>
                <w:sz w:val="14"/>
                <w:szCs w:val="14"/>
                <w:b w:val="1"/>
                <w:bCs w:val="1"/>
                <w:color w:val="auto"/>
                <w:w w:val="92"/>
              </w:rPr>
              <w:t>Revenues for the Three Months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6"/>
            <w:vMerge w:val="restart"/>
          </w:tcPr>
          <w:p>
            <w:pPr>
              <w:jc w:val="right"/>
              <w:ind w:right="260"/>
              <w:spacing w:after="0"/>
              <w:rPr>
                <w:sz w:val="20"/>
                <w:szCs w:val="20"/>
                <w:color w:val="auto"/>
              </w:rPr>
            </w:pPr>
            <w:r>
              <w:rPr>
                <w:rFonts w:ascii="Arial" w:cs="Arial" w:eastAsia="Arial" w:hAnsi="Arial"/>
                <w:sz w:val="14"/>
                <w:szCs w:val="14"/>
                <w:b w:val="1"/>
                <w:bCs w:val="1"/>
                <w:color w:val="auto"/>
              </w:rPr>
              <w:t>Year-over-Year Change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10"/>
          </w:tcPr>
          <w:p>
            <w:pPr>
              <w:jc w:val="center"/>
              <w:ind w:right="240"/>
              <w:spacing w:after="0"/>
              <w:rPr>
                <w:sz w:val="20"/>
                <w:szCs w:val="20"/>
                <w:color w:val="auto"/>
              </w:rPr>
            </w:pPr>
            <w:r>
              <w:rPr>
                <w:rFonts w:ascii="Arial" w:cs="Arial" w:eastAsia="Arial" w:hAnsi="Arial"/>
                <w:sz w:val="14"/>
                <w:szCs w:val="14"/>
                <w:b w:val="1"/>
                <w:bCs w:val="1"/>
                <w:color w:val="auto"/>
                <w:w w:val="92"/>
              </w:rPr>
              <w:t>Revenues for the Nine Months Ended</w:t>
            </w:r>
          </w:p>
        </w:tc>
        <w:tc>
          <w:tcPr>
            <w:tcW w:w="120" w:type="dxa"/>
            <w:vAlign w:val="bottom"/>
          </w:tcPr>
          <w:p>
            <w:pPr>
              <w:spacing w:after="0"/>
              <w:rPr>
                <w:sz w:val="14"/>
                <w:szCs w:val="14"/>
                <w:color w:val="auto"/>
              </w:rPr>
            </w:pPr>
          </w:p>
        </w:tc>
        <w:tc>
          <w:tcPr>
            <w:tcW w:w="1880" w:type="dxa"/>
            <w:vAlign w:val="bottom"/>
            <w:gridSpan w:val="4"/>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7"/>
          </w:tcPr>
          <w:p>
            <w:pPr>
              <w:jc w:val="center"/>
              <w:ind w:left="137"/>
              <w:spacing w:after="0"/>
              <w:rPr>
                <w:sz w:val="20"/>
                <w:szCs w:val="20"/>
                <w:color w:val="auto"/>
              </w:rPr>
            </w:pPr>
            <w:r>
              <w:rPr>
                <w:rFonts w:ascii="Arial" w:cs="Arial" w:eastAsia="Arial" w:hAnsi="Arial"/>
                <w:sz w:val="14"/>
                <w:szCs w:val="14"/>
                <w:b w:val="1"/>
                <w:bCs w:val="1"/>
                <w:color w:val="auto"/>
                <w:w w:val="92"/>
              </w:rPr>
              <w:t>Ended September 30,</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8"/>
          </w:tcPr>
          <w:p>
            <w:pPr>
              <w:jc w:val="center"/>
              <w:ind w:left="14"/>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87"/>
              </w:rPr>
              <w:t>Increase</w:t>
            </w:r>
          </w:p>
        </w:tc>
        <w:tc>
          <w:tcPr>
            <w:tcW w:w="120" w:type="dxa"/>
            <w:vAlign w:val="bottom"/>
          </w:tcPr>
          <w:p>
            <w:pPr>
              <w:spacing w:after="0"/>
              <w:rPr>
                <w:sz w:val="13"/>
                <w:szCs w:val="13"/>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Increase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15"/>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(Decrease)</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(dollar amounts in thousands)</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226,321</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w w:val="92"/>
              </w:rPr>
              <w:t>152,586</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73,735</w:t>
            </w:r>
          </w:p>
        </w:tc>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3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488,030</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354,282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133,748</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192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jc w:val="right"/>
              <w:ind w:right="30"/>
              <w:spacing w:after="0"/>
              <w:rPr>
                <w:sz w:val="20"/>
                <w:szCs w:val="20"/>
                <w:color w:val="auto"/>
              </w:rPr>
            </w:pPr>
            <w:r>
              <w:rPr>
                <w:rFonts w:ascii="Arial" w:cs="Arial" w:eastAsia="Arial" w:hAnsi="Arial"/>
                <w:sz w:val="18"/>
                <w:szCs w:val="18"/>
                <w:color w:val="auto"/>
              </w:rPr>
              <w:t>184,234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gridSpan w:val="3"/>
          </w:tcPr>
          <w:p>
            <w:pPr>
              <w:jc w:val="right"/>
              <w:ind w:right="36"/>
              <w:spacing w:after="0"/>
              <w:rPr>
                <w:sz w:val="20"/>
                <w:szCs w:val="20"/>
                <w:color w:val="auto"/>
              </w:rPr>
            </w:pPr>
            <w:r>
              <w:rPr>
                <w:rFonts w:ascii="Arial" w:cs="Arial" w:eastAsia="Arial" w:hAnsi="Arial"/>
                <w:sz w:val="18"/>
                <w:szCs w:val="18"/>
                <w:color w:val="auto"/>
                <w:w w:val="92"/>
              </w:rPr>
              <w:t>167,226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17,008</w:t>
            </w:r>
          </w:p>
        </w:tc>
        <w:tc>
          <w:tcPr>
            <w:tcW w:w="20" w:type="dxa"/>
            <w:vAlign w:val="bottom"/>
          </w:tcPr>
          <w:p>
            <w:pPr>
              <w:spacing w:after="0"/>
              <w:rPr>
                <w:sz w:val="21"/>
                <w:szCs w:val="21"/>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512,531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ind w:right="36"/>
              <w:spacing w:after="0"/>
              <w:rPr>
                <w:sz w:val="20"/>
                <w:szCs w:val="20"/>
                <w:color w:val="auto"/>
              </w:rPr>
            </w:pPr>
            <w:r>
              <w:rPr>
                <w:rFonts w:ascii="Arial" w:cs="Arial" w:eastAsia="Arial" w:hAnsi="Arial"/>
                <w:sz w:val="18"/>
                <w:szCs w:val="18"/>
                <w:color w:val="auto"/>
              </w:rPr>
              <w:t>497,945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14,586</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228,105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w w:val="92"/>
              </w:rPr>
              <w:t>204,611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23,494</w:t>
            </w:r>
          </w:p>
        </w:tc>
        <w:tc>
          <w:tcPr>
            <w:tcW w:w="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649,205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587,664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61,541</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19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638,660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3"/>
          </w:tcPr>
          <w:p>
            <w:pPr>
              <w:jc w:val="right"/>
              <w:ind w:right="36"/>
              <w:spacing w:after="0"/>
              <w:rPr>
                <w:sz w:val="20"/>
                <w:szCs w:val="20"/>
                <w:color w:val="auto"/>
              </w:rPr>
            </w:pPr>
            <w:r>
              <w:rPr>
                <w:rFonts w:ascii="Arial" w:cs="Arial" w:eastAsia="Arial" w:hAnsi="Arial"/>
                <w:sz w:val="18"/>
                <w:szCs w:val="18"/>
                <w:color w:val="auto"/>
                <w:w w:val="92"/>
              </w:rPr>
              <w:t>524,423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114,237</w:t>
            </w:r>
          </w:p>
        </w:tc>
        <w:tc>
          <w:tcPr>
            <w:tcW w:w="20" w:type="dxa"/>
            <w:vAlign w:val="bottom"/>
            <w:tcBorders>
              <w:top w:val="single" w:sz="8" w:color="auto"/>
            </w:tcBorders>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1,649,766</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3"/>
          </w:tcPr>
          <w:p>
            <w:pPr>
              <w:jc w:val="right"/>
              <w:ind w:right="36"/>
              <w:spacing w:after="0"/>
              <w:rPr>
                <w:sz w:val="20"/>
                <w:szCs w:val="20"/>
                <w:color w:val="auto"/>
              </w:rPr>
            </w:pPr>
            <w:r>
              <w:rPr>
                <w:rFonts w:ascii="Arial" w:cs="Arial" w:eastAsia="Arial" w:hAnsi="Arial"/>
                <w:sz w:val="18"/>
                <w:szCs w:val="18"/>
                <w:color w:val="auto"/>
              </w:rPr>
              <w:t>1,439,891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209,875</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9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6"/>
              </w:rPr>
              <w:t>eliminations and other</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w:t>
            </w:r>
          </w:p>
        </w:tc>
        <w:tc>
          <w:tcPr>
            <w:tcW w:w="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57"/>
        </w:trPr>
        <w:tc>
          <w:tcPr>
            <w:tcW w:w="192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637,834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gridSpan w:val="3"/>
          </w:tcPr>
          <w:p>
            <w:pPr>
              <w:jc w:val="right"/>
              <w:ind w:right="36"/>
              <w:spacing w:after="0"/>
              <w:rPr>
                <w:sz w:val="20"/>
                <w:szCs w:val="20"/>
                <w:color w:val="auto"/>
              </w:rPr>
            </w:pPr>
            <w:r>
              <w:rPr>
                <w:rFonts w:ascii="Arial" w:cs="Arial" w:eastAsia="Arial" w:hAnsi="Arial"/>
                <w:sz w:val="18"/>
                <w:szCs w:val="18"/>
                <w:color w:val="auto"/>
                <w:w w:val="92"/>
              </w:rPr>
              <w:t>524,025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113,809</w:t>
            </w:r>
          </w:p>
        </w:tc>
        <w:tc>
          <w:tcPr>
            <w:tcW w:w="20" w:type="dxa"/>
            <w:vAlign w:val="bottom"/>
            <w:tcBorders>
              <w:top w:val="single" w:sz="8" w:color="auto"/>
              <w:bottom w:val="single" w:sz="8" w:color="auto"/>
            </w:tcBorders>
          </w:tcPr>
          <w:p>
            <w:pPr>
              <w:spacing w:after="0"/>
              <w:rPr>
                <w:sz w:val="22"/>
                <w:szCs w:val="22"/>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c>
          <w:tcPr>
            <w:tcW w:w="22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1,647,777</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3"/>
          </w:tcPr>
          <w:p>
            <w:pPr>
              <w:jc w:val="right"/>
              <w:ind w:right="36"/>
              <w:spacing w:after="0"/>
              <w:rPr>
                <w:sz w:val="20"/>
                <w:szCs w:val="20"/>
                <w:color w:val="auto"/>
              </w:rPr>
            </w:pPr>
            <w:r>
              <w:rPr>
                <w:rFonts w:ascii="Arial" w:cs="Arial" w:eastAsia="Arial" w:hAnsi="Arial"/>
                <w:sz w:val="18"/>
                <w:szCs w:val="18"/>
                <w:color w:val="auto"/>
              </w:rPr>
              <w:t>1,438,786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208,991</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40" w:type="dxa"/>
            <w:vAlign w:val="bottom"/>
            <w:gridSpan w:val="10"/>
          </w:tcPr>
          <w:p>
            <w:pPr>
              <w:ind w:left="40"/>
              <w:spacing w:after="0"/>
              <w:rPr>
                <w:sz w:val="20"/>
                <w:szCs w:val="20"/>
                <w:color w:val="auto"/>
              </w:rPr>
            </w:pPr>
            <w:r>
              <w:rPr>
                <w:rFonts w:ascii="Arial" w:cs="Arial" w:eastAsia="Arial" w:hAnsi="Arial"/>
                <w:sz w:val="14"/>
                <w:szCs w:val="14"/>
                <w:b w:val="1"/>
                <w:bCs w:val="1"/>
                <w:color w:val="auto"/>
                <w:w w:val="97"/>
              </w:rPr>
              <w:t>Operating Income (Expense) for</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40" w:type="dxa"/>
            <w:vAlign w:val="bottom"/>
            <w:gridSpan w:val="10"/>
            <w:vMerge w:val="restart"/>
          </w:tcPr>
          <w:p>
            <w:pPr>
              <w:ind w:left="120"/>
              <w:spacing w:after="0"/>
              <w:rPr>
                <w:sz w:val="20"/>
                <w:szCs w:val="20"/>
                <w:color w:val="auto"/>
              </w:rPr>
            </w:pPr>
            <w:r>
              <w:rPr>
                <w:rFonts w:ascii="Arial" w:cs="Arial" w:eastAsia="Arial" w:hAnsi="Arial"/>
                <w:sz w:val="14"/>
                <w:szCs w:val="14"/>
                <w:b w:val="1"/>
                <w:bCs w:val="1"/>
                <w:color w:val="auto"/>
              </w:rPr>
              <w:t>Operating Income (Expense) for the</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9"/>
          </w:tcPr>
          <w:p>
            <w:pPr>
              <w:jc w:val="right"/>
              <w:ind w:right="340"/>
              <w:spacing w:after="0" w:line="149" w:lineRule="exact"/>
              <w:rPr>
                <w:sz w:val="20"/>
                <w:szCs w:val="20"/>
                <w:color w:val="auto"/>
              </w:rPr>
            </w:pPr>
            <w:r>
              <w:rPr>
                <w:rFonts w:ascii="Arial" w:cs="Arial" w:eastAsia="Arial" w:hAnsi="Arial"/>
                <w:sz w:val="14"/>
                <w:szCs w:val="14"/>
                <w:b w:val="1"/>
                <w:bCs w:val="1"/>
                <w:color w:val="auto"/>
                <w:w w:val="97"/>
              </w:rPr>
              <w:t>the Three Months Ended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Year-over-Year Change</w:t>
            </w:r>
          </w:p>
        </w:tc>
        <w:tc>
          <w:tcPr>
            <w:tcW w:w="1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540" w:type="dxa"/>
            <w:vAlign w:val="bottom"/>
            <w:gridSpan w:val="10"/>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4"/>
            <w:vMerge w:val="restart"/>
          </w:tcPr>
          <w:p>
            <w:pPr>
              <w:jc w:val="right"/>
              <w:ind w:right="348"/>
              <w:spacing w:after="0"/>
              <w:rPr>
                <w:sz w:val="20"/>
                <w:szCs w:val="20"/>
                <w:color w:val="auto"/>
              </w:rPr>
            </w:pPr>
            <w:r>
              <w:rPr>
                <w:rFonts w:ascii="Arial" w:cs="Arial" w:eastAsia="Arial" w:hAnsi="Arial"/>
                <w:sz w:val="14"/>
                <w:szCs w:val="14"/>
                <w:b w:val="1"/>
                <w:bCs w:val="1"/>
                <w:color w:val="auto"/>
                <w:w w:val="92"/>
              </w:rPr>
              <w:t>Year-over-Year Change</w:t>
            </w:r>
          </w:p>
        </w:tc>
        <w:tc>
          <w:tcPr>
            <w:tcW w:w="0" w:type="dxa"/>
            <w:vAlign w:val="bottom"/>
          </w:tcPr>
          <w:p>
            <w:pPr>
              <w:spacing w:after="0"/>
              <w:rPr>
                <w:sz w:val="1"/>
                <w:szCs w:val="1"/>
                <w:color w:val="auto"/>
              </w:rPr>
            </w:pPr>
          </w:p>
        </w:tc>
      </w:tr>
      <w:tr>
        <w:trPr>
          <w:trHeight w:val="192"/>
        </w:trPr>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7"/>
              </w:rPr>
              <w:t>Nine Months Ended September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gridSpan w:val="5"/>
            <w:vMerge w:val="restart"/>
          </w:tcPr>
          <w:p>
            <w:pPr>
              <w:jc w:val="center"/>
              <w:ind w:right="440"/>
              <w:spacing w:after="0"/>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7"/>
              </w:rPr>
              <w:t>Increase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(Decrease)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4"/>
              </w:rPr>
              <w:t>(dollar amounts in thousands)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(Decrease)Amount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Percent</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(Decrease)Amount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3"/>
            <w:shd w:val="clear" w:color="auto" w:fill="CCEEFF"/>
          </w:tcPr>
          <w:p>
            <w:pPr>
              <w:jc w:val="right"/>
              <w:ind w:right="17"/>
              <w:spacing w:after="0"/>
              <w:rPr>
                <w:sz w:val="20"/>
                <w:szCs w:val="20"/>
                <w:color w:val="auto"/>
              </w:rPr>
            </w:pPr>
            <w:r>
              <w:rPr>
                <w:rFonts w:ascii="Arial" w:cs="Arial" w:eastAsia="Arial" w:hAnsi="Arial"/>
                <w:sz w:val="18"/>
                <w:szCs w:val="18"/>
                <w:color w:val="auto"/>
              </w:rPr>
              <w:t>86,797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59,438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0"/>
              </w:rPr>
              <w:t>27,359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137,090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8"/>
              </w:rPr>
              <w:t>100,596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36,494</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43"/>
        </w:trPr>
        <w:tc>
          <w:tcPr>
            <w:tcW w:w="192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80" w:type="dxa"/>
            <w:vAlign w:val="bottom"/>
          </w:tcPr>
          <w:p>
            <w:pPr>
              <w:spacing w:after="0"/>
              <w:rPr>
                <w:sz w:val="21"/>
                <w:szCs w:val="21"/>
                <w:color w:val="auto"/>
              </w:rPr>
            </w:pPr>
          </w:p>
        </w:tc>
        <w:tc>
          <w:tcPr>
            <w:tcW w:w="780" w:type="dxa"/>
            <w:vAlign w:val="bottom"/>
            <w:gridSpan w:val="3"/>
          </w:tcPr>
          <w:p>
            <w:pPr>
              <w:jc w:val="right"/>
              <w:ind w:right="17"/>
              <w:spacing w:after="0"/>
              <w:rPr>
                <w:sz w:val="20"/>
                <w:szCs w:val="20"/>
                <w:color w:val="auto"/>
              </w:rPr>
            </w:pPr>
            <w:r>
              <w:rPr>
                <w:rFonts w:ascii="Arial" w:cs="Arial" w:eastAsia="Arial" w:hAnsi="Arial"/>
                <w:sz w:val="18"/>
                <w:szCs w:val="18"/>
                <w:color w:val="auto"/>
              </w:rPr>
              <w:t>15,650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gridSpan w:val="3"/>
          </w:tcPr>
          <w:p>
            <w:pPr>
              <w:jc w:val="right"/>
              <w:ind w:right="33"/>
              <w:spacing w:after="0"/>
              <w:rPr>
                <w:sz w:val="20"/>
                <w:szCs w:val="20"/>
                <w:color w:val="auto"/>
              </w:rPr>
            </w:pPr>
            <w:r>
              <w:rPr>
                <w:rFonts w:ascii="Arial" w:cs="Arial" w:eastAsia="Arial" w:hAnsi="Arial"/>
                <w:sz w:val="18"/>
                <w:szCs w:val="18"/>
                <w:color w:val="auto"/>
              </w:rPr>
              <w:t>14,795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54"/>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44,361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46,681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(2,320)</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3"/>
            <w:shd w:val="clear" w:color="auto" w:fill="CCEEFF"/>
          </w:tcPr>
          <w:p>
            <w:pPr>
              <w:jc w:val="right"/>
              <w:ind w:right="17"/>
              <w:spacing w:after="0"/>
              <w:rPr>
                <w:sz w:val="20"/>
                <w:szCs w:val="20"/>
                <w:color w:val="auto"/>
              </w:rPr>
            </w:pPr>
            <w:r>
              <w:rPr>
                <w:rFonts w:ascii="Arial" w:cs="Arial" w:eastAsia="Arial" w:hAnsi="Arial"/>
                <w:sz w:val="18"/>
                <w:szCs w:val="18"/>
                <w:color w:val="auto"/>
              </w:rPr>
              <w:t>24,356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25,183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75,355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72,578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2,777</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7"/>
        </w:trPr>
        <w:tc>
          <w:tcPr>
            <w:tcW w:w="19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3"/>
          </w:tcPr>
          <w:p>
            <w:pPr>
              <w:jc w:val="right"/>
              <w:ind w:right="17"/>
              <w:spacing w:after="0"/>
              <w:rPr>
                <w:sz w:val="20"/>
                <w:szCs w:val="20"/>
                <w:color w:val="auto"/>
              </w:rPr>
            </w:pPr>
            <w:r>
              <w:rPr>
                <w:rFonts w:ascii="Arial" w:cs="Arial" w:eastAsia="Arial" w:hAnsi="Arial"/>
                <w:sz w:val="18"/>
                <w:szCs w:val="18"/>
                <w:color w:val="auto"/>
              </w:rPr>
              <w:t>126,803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3"/>
          </w:tcPr>
          <w:p>
            <w:pPr>
              <w:jc w:val="right"/>
              <w:ind w:right="33"/>
              <w:spacing w:after="0"/>
              <w:rPr>
                <w:sz w:val="20"/>
                <w:szCs w:val="20"/>
                <w:color w:val="auto"/>
              </w:rPr>
            </w:pPr>
            <w:r>
              <w:rPr>
                <w:rFonts w:ascii="Arial" w:cs="Arial" w:eastAsia="Arial" w:hAnsi="Arial"/>
                <w:sz w:val="18"/>
                <w:szCs w:val="18"/>
                <w:color w:val="auto"/>
              </w:rPr>
              <w:t>99,416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w w:val="90"/>
              </w:rPr>
              <w:t>27,387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256,806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8"/>
              </w:rPr>
              <w:t>219,855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36,951</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eliminations and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9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(9,902)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(8,948)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(31,928)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(28,188)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(3,740)</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57"/>
        </w:trPr>
        <w:tc>
          <w:tcPr>
            <w:tcW w:w="19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gridSpan w:val="3"/>
          </w:tcPr>
          <w:p>
            <w:pPr>
              <w:jc w:val="right"/>
              <w:ind w:right="17"/>
              <w:spacing w:after="0"/>
              <w:rPr>
                <w:sz w:val="20"/>
                <w:szCs w:val="20"/>
                <w:color w:val="auto"/>
              </w:rPr>
            </w:pPr>
            <w:r>
              <w:rPr>
                <w:rFonts w:ascii="Arial" w:cs="Arial" w:eastAsia="Arial" w:hAnsi="Arial"/>
                <w:sz w:val="18"/>
                <w:szCs w:val="18"/>
                <w:color w:val="auto"/>
              </w:rPr>
              <w:t>116,901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3"/>
          </w:tcPr>
          <w:p>
            <w:pPr>
              <w:jc w:val="right"/>
              <w:ind w:right="33"/>
              <w:spacing w:after="0"/>
              <w:rPr>
                <w:sz w:val="20"/>
                <w:szCs w:val="20"/>
                <w:color w:val="auto"/>
              </w:rPr>
            </w:pPr>
            <w:r>
              <w:rPr>
                <w:rFonts w:ascii="Arial" w:cs="Arial" w:eastAsia="Arial" w:hAnsi="Arial"/>
                <w:sz w:val="18"/>
                <w:szCs w:val="18"/>
                <w:color w:val="auto"/>
              </w:rPr>
              <w:t>90,468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90"/>
              </w:rPr>
              <w:t>26,433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224,878</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8"/>
              </w:rPr>
              <w:t>191,667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33,211</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vMerge w:val="restart"/>
          </w:tcPr>
          <w:p>
            <w:pPr>
              <w:jc w:val="right"/>
              <w:ind w:right="488"/>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Our revenues and local expenses are recorded in the functional currencies of our operating entities and translated into U.S. dollars for financial reporting purposes; therefore, amounts we earn outside the U.S. are negatively impacted by a stronger U.S. dollar and positively impacted by a weaker U.S. dollar. Considering the results by country and the associated functional currency, we estimate that our reported consolidated operating income for the third quarter and the first nine months of 2017 was 5% and 1% more due to the changes in foreign currency exchange rates when compared to the same periods of 2016.</w:t>
      </w:r>
    </w:p>
    <w:p>
      <w:pPr>
        <w:spacing w:after="0" w:line="4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 provide further perspective on the impact of foreign currency exchange rates, the following table shows the changes in values relative to the U.S. dollar of the currencies of the countries in which we have our most significant operations: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4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Average Translation Rate</w:t>
            </w:r>
          </w:p>
        </w:tc>
        <w:tc>
          <w:tcPr>
            <w:tcW w:w="120" w:type="dxa"/>
            <w:vAlign w:val="bottom"/>
          </w:tcPr>
          <w:p>
            <w:pPr>
              <w:spacing w:after="0"/>
              <w:rPr>
                <w:sz w:val="14"/>
                <w:szCs w:val="14"/>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Increase</w:t>
            </w:r>
          </w:p>
        </w:tc>
        <w:tc>
          <w:tcPr>
            <w:tcW w:w="300" w:type="dxa"/>
            <w:vAlign w:val="bottom"/>
          </w:tcPr>
          <w:p>
            <w:pPr>
              <w:spacing w:after="0"/>
              <w:rPr>
                <w:sz w:val="14"/>
                <w:szCs w:val="14"/>
                <w:color w:val="auto"/>
              </w:rPr>
            </w:pPr>
          </w:p>
        </w:tc>
        <w:tc>
          <w:tcPr>
            <w:tcW w:w="274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Average Translation Rate</w:t>
            </w:r>
          </w:p>
        </w:tc>
        <w:tc>
          <w:tcPr>
            <w:tcW w:w="10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4"/>
        </w:trPr>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40" w:type="dxa"/>
            <w:vAlign w:val="bottom"/>
            <w:gridSpan w:val="4"/>
          </w:tcPr>
          <w:p>
            <w:pPr>
              <w:jc w:val="right"/>
              <w:ind w:right="292"/>
              <w:spacing w:after="0" w:line="145" w:lineRule="exact"/>
              <w:rPr>
                <w:sz w:val="20"/>
                <w:szCs w:val="20"/>
                <w:color w:val="auto"/>
              </w:rPr>
            </w:pPr>
            <w:r>
              <w:rPr>
                <w:rFonts w:ascii="Arial" w:cs="Arial" w:eastAsia="Arial" w:hAnsi="Arial"/>
                <w:sz w:val="14"/>
                <w:szCs w:val="14"/>
                <w:b w:val="1"/>
                <w:bCs w:val="1"/>
                <w:color w:val="auto"/>
                <w:w w:val="98"/>
              </w:rPr>
              <w:t>Three Months Ended September 30,</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740" w:type="dxa"/>
            <w:vAlign w:val="bottom"/>
            <w:gridSpan w:val="4"/>
          </w:tcPr>
          <w:p>
            <w:pPr>
              <w:jc w:val="right"/>
              <w:ind w:right="352"/>
              <w:spacing w:after="0" w:line="145" w:lineRule="exact"/>
              <w:rPr>
                <w:sz w:val="20"/>
                <w:szCs w:val="20"/>
                <w:color w:val="auto"/>
              </w:rPr>
            </w:pPr>
            <w:r>
              <w:rPr>
                <w:rFonts w:ascii="Arial" w:cs="Arial" w:eastAsia="Arial" w:hAnsi="Arial"/>
                <w:sz w:val="14"/>
                <w:szCs w:val="14"/>
                <w:b w:val="1"/>
                <w:bCs w:val="1"/>
                <w:color w:val="auto"/>
                <w:w w:val="98"/>
              </w:rPr>
              <w:t>Nine Months Ended September 30,</w:t>
            </w: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124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2"/>
              </w:rPr>
              <w:t>(Decrease)</w:t>
            </w: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65"/>
        </w:trPr>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12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16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Currency (dollars per foreign currency)</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0.7896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0.7577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0.7661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0.7418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British pound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1.3091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1.3125</w:t>
            </w:r>
          </w:p>
        </w:tc>
        <w:tc>
          <w:tcPr>
            <w:tcW w:w="12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1.2756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1.3931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1.1156</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1.1162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Hungarian forint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0.0038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0.0036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2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0.0036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0.0036</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Indian rupee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0.0156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0.0149</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0.0153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0.0149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Malaysian ringgit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0.2347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0.2472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0.2302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0.2452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New Zealand dollar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0.7309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0.7221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0.7156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0.6922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Polish zloty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0.2762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0.2573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2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0.2613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0.2563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594"/>
        </w:trPr>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THREE AND NINE MONTHS ENDED SEPTEMBER 30, 2017 AND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results of operations for the three and nine months ended September 30, 2017 and 2016 for our EFT Processing Segment: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82"/>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ind w:left="26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82"/>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20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94"/>
              <w:spacing w:after="0" w:line="153" w:lineRule="exact"/>
              <w:rPr>
                <w:sz w:val="20"/>
                <w:szCs w:val="20"/>
                <w:color w:val="auto"/>
              </w:rPr>
            </w:pPr>
            <w:r>
              <w:rPr>
                <w:rFonts w:ascii="Arial" w:cs="Arial" w:eastAsia="Arial" w:hAnsi="Arial"/>
                <w:sz w:val="14"/>
                <w:szCs w:val="14"/>
                <w:b w:val="1"/>
                <w:bCs w:val="1"/>
                <w:color w:val="auto"/>
                <w:w w:val="94"/>
              </w:rPr>
              <w:t>Increase</w:t>
            </w:r>
          </w:p>
        </w:tc>
        <w:tc>
          <w:tcPr>
            <w:tcW w:w="120" w:type="dxa"/>
            <w:vAlign w:val="bottom"/>
          </w:tcPr>
          <w:p>
            <w:pPr>
              <w:spacing w:after="0"/>
              <w:rPr>
                <w:sz w:val="13"/>
                <w:szCs w:val="13"/>
                <w:color w:val="auto"/>
              </w:rPr>
            </w:pPr>
          </w:p>
        </w:tc>
        <w:tc>
          <w:tcPr>
            <w:tcW w:w="980" w:type="dxa"/>
            <w:vAlign w:val="bottom"/>
          </w:tcPr>
          <w:p>
            <w:pPr>
              <w:jc w:val="right"/>
              <w:ind w:right="162"/>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2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226,321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152,586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73,735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488,030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354,282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133,748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99,024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36,623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238,753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165,520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73,233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16,817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12,954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3,863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46,125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37,601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8,524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8,878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7,642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23,960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Acquired intangible assets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340"/>
              <w:spacing w:after="0"/>
              <w:rPr>
                <w:sz w:val="20"/>
                <w:szCs w:val="20"/>
                <w:color w:val="auto"/>
              </w:rPr>
            </w:pPr>
            <w:r>
              <w:rPr>
                <w:rFonts w:ascii="Arial" w:cs="Arial" w:eastAsia="Arial" w:hAnsi="Arial"/>
                <w:sz w:val="18"/>
                <w:szCs w:val="18"/>
                <w:color w:val="auto"/>
              </w:rPr>
              <w:t>impairment</w:t>
            </w:r>
          </w:p>
        </w:tc>
        <w:tc>
          <w:tcPr>
            <w:tcW w:w="2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2,286</w:t>
            </w:r>
          </w:p>
        </w:tc>
        <w:tc>
          <w:tcPr>
            <w:tcW w:w="120" w:type="dxa"/>
            <w:vAlign w:val="bottom"/>
          </w:tcPr>
          <w:p>
            <w:pPr>
              <w:spacing w:after="0"/>
              <w:rPr>
                <w:sz w:val="20"/>
                <w:szCs w:val="20"/>
                <w:color w:val="auto"/>
              </w:rPr>
            </w:pPr>
          </w:p>
        </w:tc>
        <w:tc>
          <w:tcPr>
            <w:tcW w:w="980" w:type="dxa"/>
            <w:vAlign w:val="bottom"/>
          </w:tcPr>
          <w:p>
            <w:pPr>
              <w:jc w:val="right"/>
              <w:ind w:right="10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10,151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39,816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11,405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266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139,524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93,148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46,376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350,940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253,686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97,254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86,797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59,438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27,359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137,090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100,596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36,494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660" w:type="dxa"/>
            <w:vAlign w:val="bottom"/>
            <w:gridSpan w:val="2"/>
            <w:vMerge w:val="restart"/>
          </w:tcPr>
          <w:p>
            <w:pPr>
              <w:ind w:left="180"/>
              <w:spacing w:after="0"/>
              <w:rPr>
                <w:sz w:val="20"/>
                <w:szCs w:val="20"/>
                <w:color w:val="auto"/>
              </w:rPr>
            </w:pPr>
            <w:r>
              <w:rPr>
                <w:rFonts w:ascii="Arial" w:cs="Arial" w:eastAsia="Arial" w:hAnsi="Arial"/>
                <w:sz w:val="18"/>
                <w:szCs w:val="18"/>
                <w:color w:val="auto"/>
              </w:rPr>
              <w:t>Transactions processed</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340"/>
              <w:spacing w:after="0"/>
              <w:rPr>
                <w:sz w:val="20"/>
                <w:szCs w:val="20"/>
                <w:color w:val="auto"/>
              </w:rPr>
            </w:pPr>
            <w:r>
              <w:rPr>
                <w:rFonts w:ascii="Arial" w:cs="Arial" w:eastAsia="Arial" w:hAnsi="Arial"/>
                <w:sz w:val="18"/>
                <w:szCs w:val="18"/>
                <w:color w:val="auto"/>
              </w:rPr>
              <w:t>(millions)</w:t>
            </w:r>
          </w:p>
        </w:tc>
        <w:tc>
          <w:tcPr>
            <w:tcW w:w="240" w:type="dxa"/>
            <w:vAlign w:val="bottom"/>
          </w:tcPr>
          <w:p>
            <w:pPr>
              <w:spacing w:after="0"/>
              <w:rPr>
                <w:sz w:val="20"/>
                <w:szCs w:val="20"/>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127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356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ATMs as of September 30,</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38,105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8,829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8,829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Average ATMs</w:t>
            </w: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38,123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27,350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10,773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36,524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25,802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10,722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color w:val="auto"/>
        </w:rPr>
        <w:t>EFT Processing Segment total revenues for the three and nine months ended September 30, 2017 were $226.3 million and $488.0 million, respectively, an increase of $73.7 million or 48% and $133.7 million or 38% as compared to the same periods in 2016. The increases in total revenues for the three and nine months ended September 30, 2017 were primarily due to an increase in the number of ATMs under management in Europe. Specifically, the increase in the number of ATMs contributed to increases in the number of transactions processed, including dynamic currency conversion ("DCC") transactions. For the three months ended September 30, 2017, revenues were also higher than the same period in the prior year as a result of a higher</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volume of sales of POS devices in Greece and the acquisition of YourCash, completed during the fourth quarter of 2016. The acquisition of YourCash also contributed to the increase in total revenues for the first nine months of 2017. The increase for the nine months ended September 30, 2017 was partially offset by the impact of a cash shortage due to the demonetization initiated in the fourth quarter of 2016 in India. In the third quarter, the India cash supply was returned to near pre-demonetization levels. Foreign currency movements increased total revenues by approximately $10.3 million for the three months ended September 30, 2017 as compared to the same period in 2016 and had minimal effect on total revenues for the first nine months of 2017 as compared to the same period in 2016.</w:t>
      </w:r>
    </w:p>
    <w:p>
      <w:pPr>
        <w:spacing w:after="0" w:line="8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Average monthly revenues per ATM were $1,979 and $1,485 for the three and nine months ended September 30, 2017, respectively, compared to $1,860 and $1,526 for the three and nine months ended September 30, 2016, respectively. The decrease for the nine months ended September 30, 2017 was primarily due to the India cash shortage and low-margin ATMs in India. Revenues per transaction were $0.37 for the third quarter and $0.28 for the first nine months of 2017, respectively, compared to $0.31 for the third quarter and $0.26 for the first nine months of 2016, respectively. The increases in revenue per transaction were primarily the result of revenue growth from DCC, which earns higher revenues per transaction than other ATM or card-based services, which were partially offset by the impact of the low margin ATM transactions in India.</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EFT Processing Segment direct operating costs were $99.0 million and $238.8 million for the three and nine months ended September 30, 2017, respectively, an increase of $36.6 million or 59% and $73.2 million or 44% as compared to the same periods in 2016. Direct operating costs in the EFT Processing Segment consist primarily of site rental fees, cash delivery costs, cash supply costs, maintenance, insurance, telecommunications, data center operations-related personnel, as well as the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processing centers’ facility-related costs and other processing center-related expenses and commissions paid to retail merchants, banks and card processors involved with POS DCC transactions. The increases in direct operating costs for the three and nine months ended September 30, 2017 were primarily due to an increase in the number of ATMs under management, particularly our independent ATM network which has more seasonal revenue generation and the impact of our acquisition of YourCash. The increase for the three months ended September 30, 2017 was also due to the net impact of the U.S. dollar weakening against key foreign currencies.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Gross profit, which is calculated as revenues less direct operating costs, was $127.3 million and $249.3 million for the three and nine months ended September 30, 2017, respectively, as compared to $90.2 million and $188.8 million for the three and nine months ended September 30, 2016, respectively. The increases in gross profit were primarily due to the growth in revenues from the increase in ATMs under management, DCC transactions processed and the net impact of the U.S. dollar weakening against key foreign currencies. Gross profit as a percentage of revenues (“gross margin”) was 56.2% and 51.1% for the three and nine months ended September 30, 2017, respectively, as compared to 59.1% and 53.3% for the three and nine months ended September 30, 2016, respectively. The decreases in gross profit as a percentage of revenue were primarily due to increased operating costs due to the expansion of our ATM network, which includes fixed costs for our independent ATMs, the YourCash transactions which earn lower margins per transaction than other ATM or card-based services in Europe, along with ATM growth in the India market where we earn lower revenue per transaction and have experienced a cash shortage due to the demonetization initiative in the region. For the third quarter, the decrease in gross margins was also attributable to the higher volume of sales of POS devices in Greece from which we earn a lower margin from these transactions.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Salaries and benefits expense increased $3.9 million or 30% and $8.5 million or 23% for the three and nine months ended September 30, 2017, respectively, compared to the same periods in 2016. The increases in salaries and benefits were primarily attributable to additional headcount to support an increase in the number of ATMs and POS devices under management. As a percentage of revenues, these costs decreased to 7.4% for the third quarter and 9.5% for the first nine months of 2017, respectively, compared to 8.5% for the third quarter and 10.6% for the first nine months of 2016, respectively. The decreases were primarily due to the growth in revenues earned from DCC and other value added service transactions on our ATMs under management, which require minimal incremental support costs.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Selling, general and administrative expenses for the three and nine months ended September 30, 2017 were $8.9 million and $24.0 million, respectively, an increase of $1.2 million or 16% and $1.8 million or 8% as compared to the same periods in 2016. The increases in selling, general and administrative expenses were primarily due to the impact of our acquisition of YourCash which was partly offset by an increase in additional support cost in 2016 that did not recur in 2017. As a percentage of revenues, selling, general and administrative expenses were 3.9% and 4.9% for the three and nine months ended September 30, 2017, respectively, compared to 5.0% and 6.3% for the three and nine months ended September 30, 2016, respectively. The decreases were primarily due to the growth in revenues earned from DCC and other value added service transactions on our ATMs under management, which require minimal incremental support costs.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 assets impairment</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recorded a non-cash impairment charge of $2.3 million for the nine months ended September 30, 2017 related to certain customer relationships as a result of the closure of the Pure Commerce office in South Korea. No impairment charges were recorded in 2016.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Depreciation and amortization expense increased $4.7 million and $11.4 million for the three and nine months ended September 30, 2017, respectively, compared to the same periods in 2016. The increases were primarily attributable to the deployment of additional ATMs under management, including more expensive cash recycling ATMs, software assets, and the amortization of intangible assets related to the acquisition of YourCash. As a percentage of revenues, depreciation and amortization expense was 6.5% for the third quarter and 8.2% for the first nine months of 2017 as compared to 6.7% and 8.0% for the same periods of 2016.</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EFT Processing Segment operating income for the three and nine months ended September 30, 2017 was $86.8 million and $137.1 million, respectively, an increase of $27.4 million or 46% and $36.5 million or 36% as compared to the same periods in 2016. EFT Processing Segment operating income for the three and nine months ended September 30, 2017 increased primarily due to higher operating revenues from the additional number of ATMs under management, the YourCash acquisition, growth in revenues earned from DCC transactions and the net impact of the U.S. dollar weakening against key foreign currencies.</w:t>
      </w:r>
    </w:p>
    <w:p>
      <w:pPr>
        <w:spacing w:after="0" w:line="4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Operating income as a percentage of revenues (“operating margin”) was 38.4% for the third quarter and 28.1% for the first nine months of 2017 compared to 39.0% for the third quarter and 28.4% for the first nine months of 2016. The slight decreases in operating margins were attributable to additional costs for ATMs added throughout the year and the impact of lower margin ATM transactions for YourCash and in India. Operating income per transaction was $0.14 for the third quarter and $0.08 for the first nine months of 2017 as compared to $0.12 and $0.07 for the same periods of 2016.</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 and nine months ended September 30, 2017 and 2016 for our epay Segment: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84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18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2340" w:type="dxa"/>
            <w:vAlign w:val="bottom"/>
            <w:gridSpan w:val="3"/>
            <w:vMerge w:val="restart"/>
          </w:tcPr>
          <w:p>
            <w:pPr>
              <w:jc w:val="right"/>
              <w:ind w:right="4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1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87"/>
              </w:rPr>
              <w:t>Increase</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12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860" w:type="dxa"/>
            <w:vAlign w:val="bottom"/>
            <w:gridSpan w:val="2"/>
          </w:tcPr>
          <w:p>
            <w:pPr>
              <w:jc w:val="right"/>
              <w:ind w:right="15"/>
              <w:spacing w:after="0" w:line="149" w:lineRule="exact"/>
              <w:rPr>
                <w:sz w:val="20"/>
                <w:szCs w:val="20"/>
                <w:color w:val="auto"/>
              </w:rPr>
            </w:pPr>
            <w:r>
              <w:rPr>
                <w:rFonts w:ascii="Arial" w:cs="Arial" w:eastAsia="Arial" w:hAnsi="Arial"/>
                <w:sz w:val="14"/>
                <w:szCs w:val="14"/>
                <w:b w:val="1"/>
                <w:bCs w:val="1"/>
                <w:color w:val="auto"/>
              </w:rPr>
              <w:t>(Decrease)</w:t>
            </w: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(Decrease)</w:t>
            </w:r>
          </w:p>
        </w:tc>
        <w:tc>
          <w:tcPr>
            <w:tcW w:w="200" w:type="dxa"/>
            <w:vAlign w:val="bottom"/>
          </w:tcPr>
          <w:p>
            <w:pPr>
              <w:spacing w:after="0"/>
              <w:rPr>
                <w:sz w:val="12"/>
                <w:szCs w:val="12"/>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(Decrease)Amount</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4"/>
              </w:rPr>
              <w:t>(Decrease)Percent</w:t>
            </w:r>
          </w:p>
        </w:tc>
        <w:tc>
          <w:tcPr>
            <w:tcW w:w="0" w:type="dxa"/>
            <w:vAlign w:val="bottom"/>
          </w:tcPr>
          <w:p>
            <w:pPr>
              <w:spacing w:after="0"/>
              <w:rPr>
                <w:sz w:val="1"/>
                <w:szCs w:val="1"/>
                <w:color w:val="auto"/>
              </w:rPr>
            </w:pPr>
          </w:p>
        </w:tc>
      </w:tr>
      <w:tr>
        <w:trPr>
          <w:trHeight w:val="270"/>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184,234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167,226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17,008</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512,531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497,945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14,586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7"/>
        </w:trPr>
        <w:tc>
          <w:tcPr>
            <w:tcW w:w="24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143,023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128,212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14,811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393,269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379,423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13,846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13,352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603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39,606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38,052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1,554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27,628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25,291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2,337</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Depreciation and</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gridSpan w:val="2"/>
          </w:tcPr>
          <w:p>
            <w:pPr>
              <w:ind w:left="34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2,734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7,667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8,498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8"/>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168,584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152,431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16,153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468,170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451,264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16,906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97"/>
        </w:trPr>
        <w:tc>
          <w:tcPr>
            <w:tcW w:w="240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15,650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14,795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855</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6 %</w:t>
            </w:r>
          </w:p>
        </w:tc>
        <w:tc>
          <w:tcPr>
            <w:tcW w:w="18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44,361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46,681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9"/>
        </w:trPr>
        <w:tc>
          <w:tcPr>
            <w:tcW w:w="240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epay Segment total revenues for the three and nine months ended September 30, 2017 were $184.2 million and $512.5 million, respectively, an increase of $17.0 million or 10% and $14.6 million or 3% as compared to the same periods in 2016. The increases in total revenues were primarily due to an increase in the number of non-mobile transactions processed in Germany, an increase in vouchers distributed by our cadooz subsidiary following the acquisition of new customers and the net impact of of the U.S. dollar weakening against key foreign currencies. Foreign currency movements increased total revenues by approximately $7.6 million for the three months ended September 30, 2017 compared to the same period in 2016 and had minimal effect on total revenues for the first nine months of 2017 as compared to the same period in 2016. The increases in total revenues were partially offset by the decrease in prepaid mobile transactions processed in the U.S. and U.K. due to competitive pressures on prepaid mobile carriers and the result of high promotion driven revenues from non-mobile transactions in a particular market during the prior year which did not recur in the current period.</w:t>
      </w:r>
    </w:p>
    <w:p>
      <w:pPr>
        <w:spacing w:after="0" w:line="5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Revenues per transaction were $0.63 for the third quarter and $0.57 for the first nine months of 2017 compared to $0.53 and $0.52 for the same periods in 2016. The increases in revenues per transaction were primarily driven by the revenue growth from non-mobile transactions processed, for which we generally earn higher revenues per transaction than mobile transactions and the net impact of the U.S. dollar weakening against key foreign currencies. The increase in revenues per transaction was also favorably impacted by the loss of a high-volume, low-margin customer in the Middle East.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epay Segment direct operating costs were $143.0 million and $393.3 million for the three and nine months ended September 30, 2017, respectively, an increase of $14.8 million and $13.8 million as compared to the same periods in 2016. Direct operating costs in our epay Segment include the commissions we pay to retail merchants for the distribution and sale of prepaid mobile airtime and other prepaid products, expenses incurred to operate POS terminals and the cost of vouchers sold and physical gifts fulfilled. The increases in direct operating costs were primarily due to the increase in vouchers distributed by our cadooz subsidiary and non-mobile transactions processed in Germany. The increase for the three months ended September 30, 2017 was also partly due to the net impact of the U.S. dollar weakening against key foreign currencies.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Gross profit was $41.2 million and $119.3 million for the three and nine months ended September 30, 2017, respectively, as compared to $39.0 million and $118.5 million for the three and nine months ended September 30, 2016, respectively. The increases in gross profit were primarily due to growth in non-mobile transactions processed in Germany partly offset by a decrease in promotional activities for non-mobile transactions processed in a particular market. For the third quarter, the increase was also partly due to the net impact of the U.S. dollar weakening against key foreign currencies.</w:t>
      </w:r>
    </w:p>
    <w:p>
      <w:pPr>
        <w:spacing w:after="0" w:line="46"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During the three and nine months ended September 30, 2017, the gross margin was 22.4% and 23.3%, as compared to 23.3% and 23.8% for the same periods in 2016. The decreases in gross margins for the third quarter were impacted by lower gross margins realized on voucher distributions and the result of high promotion driven revenues from non-mobile transactions in a particular market during the prior year which did not recur in the current period.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Salaries and benefits expense increased slightly for the three and nine months ended September 30, 2017 compared to the same periods in 2016. The increases were mainly driven by higher headcount in an effort to grow the segment. As a percentage of revenues, salaries and benefits were 7.6% and 7.7% for the three and nine months ended September 30, 2017, as compared to 8.0% and 7.6% for the same periods in 2016.</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Selling, general and administrative expenses were $9.1 million and $27.6 million for the three and nine months ended September 30, 2017, respectively, an increase of 12% and 9% as compared to the same periods in 2016. The increases in selling, general and administrative expenses were mainly due to increased promotional cost for our non-mobile products in Germany and other costs related to the settlement of disputes in certain foreign markets. As a percentage of revenues, selling, general and administrative expenses were 5.0% and 5.4% for the three and nine months ended September 30, 2017, respectively, as compared to 4.9% and 5.1% for the same periods in 2016.</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Depreciation and amortization expense primarily represents depreciation of POS terminals we place in retail stores and the amortization of acquired intangible assets. Depreciation and amortization expense decreased slightly for the three and nine months ended September 30, 2017 as compared to the same periods in 2016. As a percentage of revenues, depreciation and amortization expense was 1.3% and 1.5% for the three and nine months ended September 30, 2017, respectively, and 1.6% and 1.7% for the three and nine months ended September 30, 2016,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epay Segment operating income for the three and nine months ended September 30, 2017 was $15.7 million and $44.4 million, respectively, an increase of $0.9 million and a decrease of $2.3 million as compared to the same periods in 2016. Operating income for the nine months ended September 30, 2017 decreased as the result of additional cost to support the transaction growth of our non-mobile products in Germany and a decrease in promotion driven revenues from non-mobile transactions, partly offset by an increase in gross profit from non-mobile products in Germany. Operating income for the three months ended September 30, 2017 improved as a result of increased gross profit from non-mobile products in Germany, along with the net impact of the U.S. dollar weakening against key foreign currencies, partly offset by the decrease in promotion driven revenues from non-mobile transactions processed in a particular market.</w:t>
      </w:r>
    </w:p>
    <w:p>
      <w:pPr>
        <w:spacing w:after="0" w:line="8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Operating margin decreased to 8.5% and 8.7% for the three and nine months ended September 30, 2017, respectively, from 8.8% and 9.4% for the same periods in 2016. Operating income per transaction was $0.05 for the three and nine months ended September 30, 2017 and 2016, respectively.</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results of operations for the three and nine months ended September 30, 2017 and 2016 for the Money Transfer Segment:</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4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ind w:left="26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82"/>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16"/>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2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4"/>
              </w:rPr>
              <w:t>Increase</w:t>
            </w:r>
          </w:p>
        </w:tc>
        <w:tc>
          <w:tcPr>
            <w:tcW w:w="120" w:type="dxa"/>
            <w:vAlign w:val="bottom"/>
          </w:tcPr>
          <w:p>
            <w:pPr>
              <w:spacing w:after="0"/>
              <w:rPr>
                <w:sz w:val="13"/>
                <w:szCs w:val="13"/>
                <w:color w:val="auto"/>
              </w:rPr>
            </w:pPr>
          </w:p>
        </w:tc>
        <w:tc>
          <w:tcPr>
            <w:tcW w:w="98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228,105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204,611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23,494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649,205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587,664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61,541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123,588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109,944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13,644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348,724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309,706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39,018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44,110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38,365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5,745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125,273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114,582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10,691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28,648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23,924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4,724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77,912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68,930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8,982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7,403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7,195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208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21,941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21,868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203,749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179,428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24,321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573,850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515,086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58,764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97"/>
        </w:trPr>
        <w:tc>
          <w:tcPr>
            <w:tcW w:w="26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24,356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25,183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75,355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72,578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2,777</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9"/>
        </w:trPr>
        <w:tc>
          <w:tcPr>
            <w:tcW w:w="26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Money Transfer Segment total revenues for the three and nine months ended September 30, 2017 were $228.1 million and $649.2 million, respectively, an increase of $23.5 million or 11% and $61.5 million or 10% as compared to the same periods in 2016. The increases in total revenues for the three and nine months ended September 30, 2017 were primarily due to increases in the number of money transfers processed, driven by growth in the U.S. and foreign agent and correspondent payout networks, and an increase in transactions in our domestic Walmart-2-Walmart money transfer service. These increases were partly offset by the reduced rates for our Walmart-2-Walmart product beginning in the second quarter of 2017, the effects of the hurricanes in Texas, Florida and Puerto Rico and a decrease in transactions processed by HiFX as a result of currency volatility from the Brexit vote during the prior year which did not recur in the current period.</w:t>
      </w:r>
    </w:p>
    <w:p>
      <w:pPr>
        <w:spacing w:after="0" w:line="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Revenues per transaction decreased to $9.54 for the third quarter and $9.63 for the first nine months of 2017 from $9.61 for the third quarter and $9.71 for the first nine months of 2016. The decreases were primarily due to the impact of the increase in volume from our Walmart money transfer product, which earns lower revenues per transaction than other money transfer services and reduced rates charged for the Walmart-2-Walmart product beginning in the second quarter of 2017. In the fourth quarter of 2016, the Company took over the processing of xe money transfers from a third party and began recording the full customer fees as revenues, which partly offset the decreases in revenues per transaction.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Money Transfer Segment direct operating costs were $123.6 million and $348.7 million for the three and nine months ended September 30, 2017, respectively, an increase of $13.6 million or 12% and $39.0 million or 13% as compared to the same periods in 2016. Direct operating costs in the Money Transfer Segment primarily consist of commissions paid to agents who originate money transfers on our behalf and correspondent agents who disburse funds to the customers’ destination beneficiaries, together with less significant costs, such as bank depository fees. The increases in direct operating costs for the three and nine months of 2017 were primarily due to growth in the number of money transfer transactions processed in both the U.S. and foreign markets.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Gross profit was $104.5 million and $300.5 million for the three and nine months ended September 30, 2017, respectively, as compared to $94.7 million and $278.0 million for the three and nine months ended September 30, 2016, respectively. The increases in gross profit were primarily due to growth in the number of money transfer transactions processed in both the U.S. and foreign markets.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three and nine months ended September 30, 2017, gross margin decreased to 45.8% and 46.3% for the three and nine months ended September 30, 2017, respectively, as compared to 46.3% and 47.3% for the three and nine months ended September 30, 2016, respectively. The decreases are primarily due to the growth of our Walmart money transfer product in the U.S., which earns a lower gross profit per transaction than other money transfer services and reduced rates charged for the Walmart-2-Walmart product beginning in the second quarter of 2017.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Salaries and benefits expense increased $5.7 million or 15% and $10.7 million or 9% for the three and nine months ended September 30, 2017, respectively, as compared to the same periods in 2016. The increases in salaries and benefits were primarily due to the expansion of our operations in foreign markets. As a percentage of revenues, salaries and benefits were 19.3% for the three and nine months ended September 30, 2017, as compared to 18.8% and 19.5% for the three and nine months ended September 30, 2016,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Selling, general and administrative expenses for the three and nine months ended September 30, 2017 were $28.6 million and $77.9 million, an increase of $4.7 million or 20% and $9.0 million or 13% as compared to the same periods in 2016. The increases were primarily due to expenses incurred to support the growth of our money transfer services and the expansion of new products in both the U.S. and foreign markets.</w:t>
      </w:r>
    </w:p>
    <w:p>
      <w:pPr>
        <w:spacing w:after="0" w:line="5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As a percentage of revenues, selling, general and administrative expenses increased to 12.6% and 12.0% for the three and nine months ended September 30, 2017, respectively, as compared to 11.7% for both of the same periods in 2016. This increase was primarily due to the growth rate of support costs exceeding the growth rate of money transfer revenues as we develop and promote expanded payout locations and new products.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Depreciation and amortization primarily represents amortization of acquired intangible assets and depreciation of money transfer terminals, computers and software, leasehold improvements and office equipment. Depreciation and amortization expense was essentially flat for the three and nine months ended September 30, 2017 as compared to the same periods in 2016.</w:t>
      </w:r>
    </w:p>
    <w:p>
      <w:pPr>
        <w:spacing w:after="0" w:line="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a percentage of revenues, depreciation and amortization expense was 3.2% for the third quarter and 3.4% for the first nine months of 2017 as compared to 3.5% and 3.7% for the same periods of 2016. The decreases were primarily due to the effect of revenues earned from our Walmart money transfer product, which requires less capital investment than other money transfer products.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Money Transfer Segment operating income for the three and nine months ended September 30, 2017 was $24.4 million and $75.4 million, a decrease of $0.8 million or 3% and an increase of $2.8 million or 4% as compared to the same periods of 2016. Operating income for the three months ended September 30, 2017 decreased primarily as a result of the the reduced rates for our Walmart-2-Walmart product, the effects of the hurricanes in Texas, Florida and Puerto Rico and additional salaries and benefits and other costs incurred to support the current and future growth in the business. Operating income for the nine months ended September 30, 2017 increased primarily due to the growth in the number of money transfers processed. The increase was partly offset by the additional salaries and benefits and other costs incurred, reduced rates for Walmart-2-Walmart transfer services as well as increased transactions processed by HiFX as a result of the Brexit vote in the prior period, which did not recur in the current period.</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a percentage of revenues, operating margin was 10.7% and 11.6% for the three and nine months ended September 30, 2017 as compared to 12.3% and 12.4% for the same periods in 2016. Operating income per transaction decreased to $1.02 for the third quarter and $1.12 for the first nine months of 2017 from $1.18 and $1.20 for the same periods in 2016. Operating margin and operating income per transaction decreased primarily due to the decrease in margin realized with the renewal of the Walmart-2-Walmart agreement and the additional salaries and benefits and other costs incurred to support the growth in the business.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operating expenses for the three and nine months ended September 30, 2017 and 2016 for Corporate Services: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20" w:type="dxa"/>
            <w:vAlign w:val="bottom"/>
            <w:gridSpan w:val="3"/>
            <w:vMerge w:val="restart"/>
          </w:tcPr>
          <w:p>
            <w:pPr>
              <w:jc w:val="right"/>
              <w:ind w:right="224"/>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4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192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9"/>
              <w:spacing w:after="0" w:line="153" w:lineRule="exact"/>
              <w:rPr>
                <w:sz w:val="20"/>
                <w:szCs w:val="20"/>
                <w:color w:val="auto"/>
              </w:rPr>
            </w:pPr>
            <w:r>
              <w:rPr>
                <w:rFonts w:ascii="Arial" w:cs="Arial" w:eastAsia="Arial" w:hAnsi="Arial"/>
                <w:sz w:val="14"/>
                <w:szCs w:val="14"/>
                <w:b w:val="1"/>
                <w:bCs w:val="1"/>
                <w:color w:val="auto"/>
                <w:w w:val="87"/>
              </w:rPr>
              <w:t>Increase</w:t>
            </w:r>
          </w:p>
        </w:tc>
        <w:tc>
          <w:tcPr>
            <w:tcW w:w="100" w:type="dxa"/>
            <w:vAlign w:val="bottom"/>
          </w:tcPr>
          <w:p>
            <w:pPr>
              <w:spacing w:after="0"/>
              <w:rPr>
                <w:sz w:val="13"/>
                <w:szCs w:val="13"/>
                <w:color w:val="auto"/>
              </w:rPr>
            </w:pPr>
          </w:p>
        </w:tc>
        <w:tc>
          <w:tcPr>
            <w:tcW w:w="126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87"/>
              </w:rPr>
              <w:t>Increase</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59"/>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(Decrease)</w:t>
            </w:r>
          </w:p>
        </w:tc>
        <w:tc>
          <w:tcPr>
            <w:tcW w:w="10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(Decrease)</w:t>
            </w:r>
          </w:p>
        </w:tc>
        <w:tc>
          <w:tcPr>
            <w:tcW w:w="240" w:type="dxa"/>
            <w:vAlign w:val="bottom"/>
          </w:tcPr>
          <w:p>
            <w:pPr>
              <w:spacing w:after="0"/>
              <w:rPr>
                <w:sz w:val="12"/>
                <w:szCs w:val="12"/>
                <w:color w:val="auto"/>
              </w:rPr>
            </w:pPr>
          </w:p>
        </w:tc>
        <w:tc>
          <w:tcPr>
            <w:tcW w:w="78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7,252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21,613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Selling, general and</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200"/>
              <w:spacing w:after="0"/>
              <w:rPr>
                <w:sz w:val="20"/>
                <w:szCs w:val="20"/>
                <w:color w:val="auto"/>
              </w:rPr>
            </w:pPr>
            <w:r>
              <w:rPr>
                <w:rFonts w:ascii="Arial" w:cs="Arial" w:eastAsia="Arial" w:hAnsi="Arial"/>
                <w:sz w:val="18"/>
                <w:szCs w:val="18"/>
                <w:color w:val="auto"/>
              </w:rPr>
              <w:t>administrative</w:t>
            </w:r>
          </w:p>
        </w:tc>
        <w:tc>
          <w:tcPr>
            <w:tcW w:w="240" w:type="dxa"/>
            <w:vAlign w:val="bottom"/>
          </w:tcPr>
          <w:p>
            <w:pPr>
              <w:spacing w:after="0"/>
              <w:rPr>
                <w:sz w:val="20"/>
                <w:szCs w:val="20"/>
                <w:color w:val="auto"/>
              </w:rPr>
            </w:pP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2,614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1,680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934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56 %</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10,219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5,303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8"/>
                <w:szCs w:val="18"/>
                <w:color w:val="auto"/>
              </w:rPr>
              <w:t>4,916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7"/>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9,902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8,948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954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2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31,928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28,188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3,740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Overall, operating expenses for Corporate Services were $9.9 million and $31.9 million for the three and nine months ended September 30, 2017, an increase of 11% and 13% as compared to the same periods in 2016. The decrease in salaries and benefits for the first nine months of 2017 was primarily due to a decrease in bonus expense related to the Company's performance relative to its targets. The increases in selling, general and administrative expenses were primarily attributable to professional services and other costs incurred in connection with the proposed acquisition of MoneyGram International, Inc.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40" w:type="dxa"/>
            <w:vAlign w:val="bottom"/>
            <w:gridSpan w:val="3"/>
            <w:vMerge w:val="restart"/>
          </w:tcPr>
          <w:p>
            <w:pPr>
              <w:jc w:val="right"/>
              <w:ind w:right="241"/>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5"/>
          </w:tcPr>
          <w:p>
            <w:pPr>
              <w:ind w:left="24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880" w:type="dxa"/>
            <w:vAlign w:val="bottom"/>
            <w:gridSpan w:val="3"/>
            <w:vMerge w:val="restart"/>
          </w:tcPr>
          <w:p>
            <w:pPr>
              <w:jc w:val="right"/>
              <w:ind w:right="201"/>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18"/>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260" w:type="dxa"/>
            <w:vAlign w:val="bottom"/>
            <w:gridSpan w:val="2"/>
          </w:tcPr>
          <w:p>
            <w:pPr>
              <w:jc w:val="right"/>
              <w:ind w:right="460"/>
              <w:spacing w:after="0" w:line="153" w:lineRule="exact"/>
              <w:rPr>
                <w:sz w:val="20"/>
                <w:szCs w:val="20"/>
                <w:color w:val="auto"/>
              </w:rPr>
            </w:pPr>
            <w:r>
              <w:rPr>
                <w:rFonts w:ascii="Arial" w:cs="Arial" w:eastAsia="Arial" w:hAnsi="Arial"/>
                <w:sz w:val="14"/>
                <w:szCs w:val="14"/>
                <w:b w:val="1"/>
                <w:bCs w:val="1"/>
                <w:color w:val="auto"/>
              </w:rPr>
              <w:t>Increase</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18"/>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12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2"/>
                <w:szCs w:val="12"/>
                <w:color w:val="auto"/>
              </w:rPr>
            </w:pPr>
          </w:p>
        </w:tc>
        <w:tc>
          <w:tcPr>
            <w:tcW w:w="78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765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(1,810)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(4,090)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gain</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(loss), net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8,179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9,706</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n/m</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21,035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22,334</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Other gains</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n/m</w:t>
            </w:r>
          </w:p>
        </w:tc>
        <w:tc>
          <w:tcPr>
            <w:tcW w:w="240" w:type="dxa"/>
            <w:vAlign w:val="bottom"/>
          </w:tcPr>
          <w:p>
            <w:pPr>
              <w:spacing w:after="0"/>
              <w:rPr>
                <w:sz w:val="21"/>
                <w:szCs w:val="21"/>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19,903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(19,868)</w:t>
            </w:r>
          </w:p>
        </w:tc>
        <w:tc>
          <w:tcPr>
            <w:tcW w:w="120" w:type="dxa"/>
            <w:vAlign w:val="bottom"/>
          </w:tcPr>
          <w:p>
            <w:pPr>
              <w:spacing w:after="0"/>
              <w:rPr>
                <w:sz w:val="21"/>
                <w:szCs w:val="21"/>
                <w:color w:val="auto"/>
              </w:rPr>
            </w:pPr>
          </w:p>
        </w:tc>
        <w:tc>
          <w:tcPr>
            <w:tcW w:w="980" w:type="dxa"/>
            <w:vAlign w:val="bottom"/>
          </w:tcPr>
          <w:p>
            <w:pPr>
              <w:jc w:val="right"/>
              <w:ind w:right="10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7,927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540" w:type="dxa"/>
            <w:vAlign w:val="bottom"/>
            <w:vMerge w:val="restart"/>
          </w:tcPr>
          <w:p>
            <w:pPr>
              <w:spacing w:after="0"/>
              <w:rPr>
                <w:sz w:val="20"/>
                <w:szCs w:val="20"/>
                <w:color w:val="auto"/>
              </w:rPr>
            </w:pPr>
            <w:r>
              <w:rPr>
                <w:rFonts w:ascii="Arial" w:cs="Arial" w:eastAsia="Arial" w:hAnsi="Arial"/>
                <w:sz w:val="18"/>
                <w:szCs w:val="18"/>
                <w:color w:val="auto"/>
              </w:rPr>
              <w:t>________________</w:t>
            </w:r>
          </w:p>
        </w:tc>
        <w:tc>
          <w:tcPr>
            <w:tcW w:w="1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5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increases in interest income for the three and nine months ended September 30, 2017 compared to the same periods in 2016 were primarily due to interest earned on a tax refund received in India in the first quarter of 2017.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increases in interest expense for the three and nine months ended September 30, 2017 compared to the same periods in 2016 were primarily related to higher interest rates and additional borrowings under the Credit Facility throughout the third quarter and first nine months of 2017 to fund the operating cash for our Independent ATM Deployed (“IAD”) networks.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gain (loss), net</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composed of U.S. dollar functional currency entities, to certain European entities that use the euro as the functional currency. As the U.S.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recorded net foreign currency exchange gains of $8.2 million and $21.0 million for the three and nine months ended September 30, 2017, respectively, as compared to a net foreign currency loss of $1.5 million and gain of $1.3 million for the same periods in 2016. These realized and unrealized net foreign currency exchange gains and losses reflect the fluctuation in the value of the U.S. dollar against the currencies of the countries in which we operated during the respective periods.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gains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results for the first nine months of 2016 included an investment gain of $19.4 million related to the sale of the sale of our membership in Visa Europe Limited ("Visa Europe") to Visa, Inc. ("Visa") on June 21, 2016.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The Company's effective income tax rate was 13.4% and 19.3% for the three and nine months ended </w:t>
      </w:r>
      <w:r>
        <w:rPr>
          <w:rFonts w:ascii="Arial" w:cs="Arial" w:eastAsia="Arial" w:hAnsi="Arial"/>
          <w:sz w:val="16"/>
          <w:szCs w:val="16"/>
          <w:color w:val="252525"/>
        </w:rPr>
        <w:t>September 30, 2017</w:t>
      </w:r>
      <w:r>
        <w:rPr>
          <w:rFonts w:ascii="Arial" w:cs="Arial" w:eastAsia="Arial" w:hAnsi="Arial"/>
          <w:sz w:val="16"/>
          <w:szCs w:val="16"/>
          <w:color w:val="auto"/>
        </w:rPr>
        <w:t>, respectively, as compared to 25.5% and 23.7% for the same periods in 2016. The Company's effective income tax rate for the three and nine months ended September 30, 2017 and 2016 was lower than the applicable statutory income tax rate of 35% primarily attributable to the release in 2017 of a $16.3 million valuation allowance against certain foreign net deferred tax assets and, to a lesser extent, the Company's continued U.S. income tax positions. Due to the recent significant year over year and year to date profitability of ATMs under management in Europe, the Company believes certain foreign net deferred tax assets, including net operating loss carryforwards, will more likely than not be realized in future periods. In addition to the foreign valuation allowance release, the Company continues to have significant net operating loss carryforwards in the U.S. with no recent history of taxable income; therefore, the Company has recorded a valuation allowance against its U.S. net deferred tax assets. Accordingly, in instances when the Company generates U.S. GAAP income for the period, no income tax expense is recognized to the extent there are net operating loss carryforwards to offset that income. The decrease in the effective tax rates for 2017 compared to 2016 is largely due to the the release of valuation allowance against certain foreign net deferred tax assets.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ATTRIBUTABLE TO NONCONTROLLING INTERESTS</w:t>
      </w:r>
    </w:p>
    <w:p>
      <w:pPr>
        <w:spacing w:after="0" w:line="2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Noncontrolling interests represents the elimination of net income or loss attributable to the minority shareholders’ portion of the following consolidated subsidiaries that are not wholly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240" w:type="dxa"/>
            <w:vAlign w:val="bottom"/>
            <w:vMerge w:val="restart"/>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Percent</w:t>
            </w: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Segment - Country</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Owned</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900" w:type="dxa"/>
            <w:vAlign w:val="bottom"/>
            <w:tcBorders>
              <w:bottom w:val="single" w:sz="8" w:color="CCEEFF"/>
            </w:tcBorders>
            <w:shd w:val="clear" w:color="auto" w:fill="CCEEFF"/>
          </w:tcPr>
          <w:p>
            <w:pPr>
              <w:jc w:val="center"/>
              <w:ind w:right="176"/>
              <w:spacing w:after="0"/>
              <w:rPr>
                <w:sz w:val="20"/>
                <w:szCs w:val="20"/>
                <w:color w:val="auto"/>
              </w:rPr>
            </w:pPr>
            <w:r>
              <w:rPr>
                <w:rFonts w:ascii="Arial" w:cs="Arial" w:eastAsia="Arial" w:hAnsi="Arial"/>
                <w:sz w:val="18"/>
                <w:szCs w:val="18"/>
                <w:color w:val="auto"/>
                <w:w w:val="88"/>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epay - Spain</w:t>
            </w:r>
          </w:p>
        </w:tc>
        <w:tc>
          <w:tcPr>
            <w:tcW w:w="0" w:type="dxa"/>
            <w:vAlign w:val="bottom"/>
          </w:tcPr>
          <w:p>
            <w:pPr>
              <w:spacing w:after="0"/>
              <w:rPr>
                <w:sz w:val="1"/>
                <w:szCs w:val="1"/>
                <w:color w:val="auto"/>
              </w:rPr>
            </w:pPr>
          </w:p>
        </w:tc>
      </w:tr>
      <w:tr>
        <w:trPr>
          <w:trHeight w:val="243"/>
        </w:trPr>
        <w:tc>
          <w:tcPr>
            <w:tcW w:w="8260" w:type="dxa"/>
            <w:vAlign w:val="bottom"/>
            <w:gridSpan w:val="3"/>
          </w:tcPr>
          <w:p>
            <w:pPr>
              <w:ind w:left="40"/>
              <w:spacing w:after="0"/>
              <w:rPr>
                <w:sz w:val="20"/>
                <w:szCs w:val="20"/>
                <w:color w:val="auto"/>
              </w:rPr>
            </w:pPr>
            <w:r>
              <w:rPr>
                <w:rFonts w:ascii="Arial" w:cs="Arial" w:eastAsia="Arial" w:hAnsi="Arial"/>
                <w:sz w:val="18"/>
                <w:szCs w:val="18"/>
                <w:color w:val="auto"/>
              </w:rPr>
              <w:t>Euronet China</w:t>
            </w:r>
          </w:p>
        </w:tc>
        <w:tc>
          <w:tcPr>
            <w:tcW w:w="900" w:type="dxa"/>
            <w:vAlign w:val="bottom"/>
          </w:tcPr>
          <w:p>
            <w:pPr>
              <w:jc w:val="center"/>
              <w:ind w:right="176"/>
              <w:spacing w:after="0"/>
              <w:rPr>
                <w:sz w:val="20"/>
                <w:szCs w:val="20"/>
                <w:color w:val="auto"/>
              </w:rPr>
            </w:pPr>
            <w:r>
              <w:rPr>
                <w:rFonts w:ascii="Arial" w:cs="Arial" w:eastAsia="Arial" w:hAnsi="Arial"/>
                <w:sz w:val="18"/>
                <w:szCs w:val="18"/>
                <w:color w:val="auto"/>
                <w:w w:val="88"/>
              </w:rPr>
              <w:t>85%</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EFT - China</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900" w:type="dxa"/>
            <w:vAlign w:val="bottom"/>
            <w:tcBorders>
              <w:bottom w:val="single" w:sz="8" w:color="CCEEFF"/>
            </w:tcBorders>
            <w:shd w:val="clear" w:color="auto" w:fill="CCEEFF"/>
          </w:tcPr>
          <w:p>
            <w:pPr>
              <w:jc w:val="center"/>
              <w:ind w:right="176"/>
              <w:spacing w:after="0"/>
              <w:rPr>
                <w:sz w:val="20"/>
                <w:szCs w:val="20"/>
                <w:color w:val="auto"/>
              </w:rPr>
            </w:pPr>
            <w:r>
              <w:rPr>
                <w:rFonts w:ascii="Arial" w:cs="Arial" w:eastAsia="Arial" w:hAnsi="Arial"/>
                <w:sz w:val="18"/>
                <w:szCs w:val="18"/>
                <w:color w:val="auto"/>
                <w:w w:val="88"/>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EFT - Pakistan</w:t>
            </w:r>
          </w:p>
        </w:tc>
        <w:tc>
          <w:tcPr>
            <w:tcW w:w="0" w:type="dxa"/>
            <w:vAlign w:val="bottom"/>
          </w:tcPr>
          <w:p>
            <w:pPr>
              <w:spacing w:after="0"/>
              <w:rPr>
                <w:sz w:val="1"/>
                <w:szCs w:val="1"/>
                <w:color w:val="auto"/>
              </w:rPr>
            </w:pPr>
          </w:p>
        </w:tc>
      </w:tr>
      <w:tr>
        <w:trPr>
          <w:trHeight w:val="243"/>
        </w:trPr>
        <w:tc>
          <w:tcPr>
            <w:tcW w:w="8260" w:type="dxa"/>
            <w:vAlign w:val="bottom"/>
            <w:gridSpan w:val="3"/>
          </w:tcPr>
          <w:p>
            <w:pPr>
              <w:ind w:left="40"/>
              <w:spacing w:after="0"/>
              <w:rPr>
                <w:sz w:val="20"/>
                <w:szCs w:val="20"/>
                <w:color w:val="auto"/>
              </w:rPr>
            </w:pPr>
            <w:r>
              <w:rPr>
                <w:rFonts w:ascii="Arial" w:cs="Arial" w:eastAsia="Arial" w:hAnsi="Arial"/>
                <w:sz w:val="18"/>
                <w:szCs w:val="18"/>
                <w:color w:val="auto"/>
              </w:rPr>
              <w:t>Universal Solution Providers (1)</w:t>
            </w:r>
          </w:p>
        </w:tc>
        <w:tc>
          <w:tcPr>
            <w:tcW w:w="900" w:type="dxa"/>
            <w:vAlign w:val="bottom"/>
          </w:tcPr>
          <w:p>
            <w:pPr>
              <w:jc w:val="center"/>
              <w:ind w:right="156"/>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6"/>
              </w:rPr>
              <w:t>EFT - UAE</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______________</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3"/>
          </w:tcPr>
          <w:p>
            <w:pPr>
              <w:spacing w:after="0"/>
              <w:rPr>
                <w:sz w:val="20"/>
                <w:szCs w:val="20"/>
                <w:color w:val="auto"/>
              </w:rPr>
            </w:pPr>
            <w:r>
              <w:rPr>
                <w:rFonts w:ascii="Arial" w:cs="Arial" w:eastAsia="Arial" w:hAnsi="Arial"/>
                <w:sz w:val="18"/>
                <w:szCs w:val="18"/>
                <w:color w:val="auto"/>
                <w:w w:val="91"/>
              </w:rPr>
              <w:t>(1) The Company purchased the 49% noncontrolling interest during the three months ended September 30, 2017.</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EURONET</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Net income attributable to Euronet was $100.3 million and $179.8 million for the three and nine months ended September 30, 2017, respectively, an increase of $39.6 million and $34.3 million as compared to the same periods in 2016. The increase in net income for the first nine months of 2017 was primarily due to an increase in operating income of $33.2 million, an increase of $22.3 million in net foreign currency exchange gains, an increase in interest income of $0.8 million and a decrease in income tax expense of $2.0 million. The increase was partly offset by a $19.4 million gain from the sale of our investment in Visa Europe in 2016 which did not recur in the current period and increase in interest expense of $4.1 million.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September 30, 2017 and December 31, 2016, we had working capital, which is calculated as the difference between total current assets and total current liabilities, of $626.1 million and $405.9 million, respectively. Our ratio of current assets to current liabilities at September 30, 2017 and December 31, 2016 was 1.48 and 1.34, respectively.</w:t>
      </w:r>
    </w:p>
    <w:p>
      <w:pPr>
        <w:spacing w:after="0" w:line="7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require substantial working capital to finance operations. In the Money Transfer Segment, we fund the payout of the majority of our consumer-to-consumer money transfer services before receiving the benefit of amounts collected from customers by agents. Working capital needs increase due to weekends and international banking holidays. As a result, we may report more or less working capital for the Money Transfer Segment based solely upon the day on which the reporting period ends. The epay Segment produces positive working capital, but much of it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our revolving credit facilities and cash flows from operations. As of September 30, 2017, we had approximately $626 million of our own cash in use or designated for use in our ATM network, which is recorded in cash and cash equivalents and trade accounts receivable, for ATM withdrawals pending settlement, on the Consolidated Balance Sheet.</w:t>
      </w:r>
    </w:p>
    <w:p>
      <w:pPr>
        <w:spacing w:after="0" w:line="5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We had cash and cash equivalents of $1,062.2 million at September 30, 2017, of which $939.1 million was held outside of the United States and is expected to be indefinitely reinvested for continued use in foreign operations. Repatriation of these assets to the U.S. could have negative tax consequences.</w:t>
      </w:r>
    </w:p>
    <w:p>
      <w:pPr>
        <w:spacing w:after="0" w:line="16" w:lineRule="exact"/>
        <w:rPr>
          <w:sz w:val="20"/>
          <w:szCs w:val="20"/>
          <w:color w:val="auto"/>
        </w:rPr>
      </w:pPr>
    </w:p>
    <w:p>
      <w:pPr>
        <w:jc w:val="both"/>
        <w:ind w:right="340"/>
        <w:spacing w:after="0" w:line="277" w:lineRule="auto"/>
        <w:rPr>
          <w:sz w:val="20"/>
          <w:szCs w:val="20"/>
          <w:color w:val="auto"/>
        </w:rPr>
      </w:pPr>
      <w:r>
        <w:rPr>
          <w:rFonts w:ascii="Arial" w:cs="Arial" w:eastAsia="Arial" w:hAnsi="Arial"/>
          <w:sz w:val="18"/>
          <w:szCs w:val="18"/>
          <w:color w:val="auto"/>
        </w:rPr>
        <w:t>The following table identifies cash and cash equivalents provided by/(used in) our operating, investing and financing activities for the nine month periods ended September 30, 2017 and 2016 (in thousands):</w:t>
      </w:r>
    </w:p>
    <w:p>
      <w:pPr>
        <w:spacing w:after="0" w:line="225"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Liquidity</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provided by (used in):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230,496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217,491</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(55,581)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126,615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31,234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44,739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10,634</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Increase in cash and cash equivalents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327,827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203,778</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activity cash flow</w:t>
      </w:r>
    </w:p>
    <w:p>
      <w:pPr>
        <w:spacing w:after="0" w:line="117"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Cash flows provided by operating activities were $230.5 million for the first nine months of 2017 compared to $217.5 million for the first nine months of 2016. The increase is primarily due to improved operating results, partly offset by fluctuations in working capital mainly associated with the timing of the settlement processes with content providers in the epay Segment and with correspondents in the Money Transfer Segment.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Cash flows used in investing activities were $74.0 million for the first nine months of 2017 compared to $55.6 million for the first nine months of 2016. The increase is primarily due to increased capital expenditures mainly related to our ATM network expansion and the proceeds of $11.9 million received for the sale of our ownership interest in Visa Europe in 2016. During the first nine months of 2017, we used $70.9 million for purchases of property and equipment compared to $61.6 million during the first nine months of 2016. Cash used for software development and other investing activities totaled $3.2 million and $3.7 million for the first nine months of 2017 and 2016, respectively.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Cash flows provided by financing activities were $126.6 million for the first nine months of 2017 compared to $31.2 million for the first nine months of 2016. Our financing activities for the first nine months of 2017 consisted of net borrowings of $123.8 million compared to net debt borrowings of $103.9 million for the first nine months of 2016. The increase in net borrowings for the first nine months of 2017 compared to the same period of 2016 was the result of additional borrowings under the credit facilities to fund the operating cash of our IAD networks. Additionally, we used $3.5 million and $2.0 million during the first nine months of 2017 and 2016, respectively, for capital lease repayments. We repurchased $2.3 million and $76.5 million of our stock during the first nine months of 2017 and 2016, respectively. During the first nine months of 2017, we paid $2.3 million for the amount of payroll taxes represented by the common stock withheld on restricted stock vestings and stock option exercises compared to $0.9 million for the same period of 2016. We received proceeds from stock option exercises of $8.3 million and $5.1 million for the first nine months of 2017 and 2016,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u w:val="single" w:color="auto"/>
          <w:color w:val="auto"/>
        </w:rPr>
        <w:t>Credit Facility</w:t>
      </w:r>
      <w:r>
        <w:rPr>
          <w:rFonts w:ascii="Arial" w:cs="Arial" w:eastAsia="Arial" w:hAnsi="Arial"/>
          <w:sz w:val="18"/>
          <w:szCs w:val="18"/>
          <w:color w:val="auto"/>
        </w:rPr>
        <w:t xml:space="preserve"> - As of September 30, 2017, we had a $675 million senior secured credit facility that matures on April 9, 2019 (the "Credit Facility") consisting of a $590 million revolving credit facility, a $10 million India revolving credit facility and a $75 million term loan ("Term Loan A"), which has been reduced to $53.4 million through principal amortization payments. The revolving credit facility allows for borrowings in U.S. dollars, euros, British pounds, Australian dollars and/or Indian rupees and contains a $200 million sublimit for the issuance of letters of credit and a $25 million sublimit for swingline loans. We use the revolving credit facility primarily to fund working capital requirements which are expected to increase as we expand the Money Transfer business and our independent ATM network. Based on our current projected working capital requirements, we anticipate that our revolving credit facility will be sufficient to fund our working capital needs.</w:t>
      </w:r>
    </w:p>
    <w:p>
      <w:pPr>
        <w:spacing w:after="0" w:line="18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As of September 30, 2017, fees and interest on borrowings varied based upon the Company's consolidated total leverage ratio (as defined in the Credit Facility) and are based, in the case of letter of credit fees, on a margin, and in the case of interest, on a margin over LIBOR or a margin over the base rate, as selected by us, with the applicable margin ranging from 1.375% to 2.375% for LIBOR loans and 0.375% to 1.375% for base rate loans.</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September 30, 2017, we had borrowings of $53.4 million outstanding under the term loan. We had $191.6 million of borrowings and $45.1 million of stand-by letters of credit outstanding under the revolving credit facility as of September 30, 2017. The remaining $363.3 million under the revolving credit facility was available for borrowing. As of September 30, 2017, the weighted average interest rates under the revolving credit facility and Term Loan A were 3.04% and 2.86%, respectively, excluding amortization of deferred financing costs.</w:t>
      </w:r>
    </w:p>
    <w:p>
      <w:pPr>
        <w:spacing w:after="0" w:line="18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u w:val="single" w:color="auto"/>
          <w:color w:val="auto"/>
        </w:rPr>
        <w:t>Convertible debt</w:t>
      </w:r>
      <w:r>
        <w:rPr>
          <w:rFonts w:ascii="Arial" w:cs="Arial" w:eastAsia="Arial" w:hAnsi="Arial"/>
          <w:sz w:val="17"/>
          <w:szCs w:val="17"/>
          <w:color w:val="auto"/>
        </w:rPr>
        <w:t xml:space="preserve"> - We have $402.5 million in principal amount of Convertible Senior Notes due 2044 (“Convertible Notes”). The Convertible Notes have an interest rate of 1.5% per annum payable semi-annually in April and October, and are convertible into shares of Euronet Common Stock at a conversion price of approximately $72.18 per share if certain conditions are met (relating to the closing prices of Euronet Common Stock exceeding certain thresholds for specified periods). During the quarter ended September 30, 2017, a conversion condition was met and the Convertible Notes became convertible at the holders’ option beginning on October 1, 2017 and ending on December 31, 2017.</w:t>
      </w:r>
    </w:p>
    <w:p>
      <w:pPr>
        <w:spacing w:after="0" w:line="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While the Convertible Notes are convertible during the fourth quarter of 2017, we believe holders are unlikely to exercise their conversion rights, primarily due to the fair value of the Convertible Notes exceeding their conversion value. As of September 30, 2017, the fair value of the Convertible Notes was $550.5 million and their conversion value was $528.5 million. However, should any holders exercise their conversion rights, we believe our capital resources are sufficient to satisfy any conversion.</w:t>
      </w:r>
    </w:p>
    <w:p>
      <w:pPr>
        <w:spacing w:after="0" w:line="7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Additionally, holders of the Convertible Notes have the option to require us to purchase their notes at par on October 1, 2020, and have additional options to require us to purchase their notes at par on October 1, 2024, 2029, 2034, and 2039, or upon a change in control of the Company. In connection with the issuance of the Convertible Notes, we recorded $10.7 million in debt issuance costs, which are being amortized through October 1, 2020.</w:t>
      </w:r>
    </w:p>
    <w:p>
      <w:pPr>
        <w:spacing w:after="0" w:line="14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u w:val="single" w:color="auto"/>
          <w:color w:val="auto"/>
        </w:rPr>
        <w:t>ATM Facility</w:t>
      </w:r>
      <w:r>
        <w:rPr>
          <w:rFonts w:ascii="Arial" w:cs="Arial" w:eastAsia="Arial" w:hAnsi="Arial"/>
          <w:sz w:val="16"/>
          <w:szCs w:val="16"/>
          <w:color w:val="auto"/>
        </w:rPr>
        <w:t xml:space="preserve"> - On June, 27, 2017, we entered into a short-term credit facility in the amount of $100 million for the sole purpose of providing cash for our ATM network. Interest is charged on this financing on an annual basis at the Overnight LIBOR rate plus 2.0%. The facility expires on November 30, 2017.</w:t>
      </w:r>
    </w:p>
    <w:p>
      <w:pPr>
        <w:spacing w:after="0" w:line="12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u w:val="single" w:color="auto"/>
          <w:color w:val="auto"/>
        </w:rPr>
        <w:t>Other debt obligations</w:t>
      </w:r>
      <w:r>
        <w:rPr>
          <w:rFonts w:ascii="Arial" w:cs="Arial" w:eastAsia="Arial" w:hAnsi="Arial"/>
          <w:sz w:val="17"/>
          <w:szCs w:val="17"/>
          <w:color w:val="auto"/>
        </w:rPr>
        <w:t xml:space="preserve"> - Certain of our subsidiaries also have available credit lines and overdraft facilities to generally supplement short-term working capital requirements. As of September 30, 2017, there was $24.8 million outstanding under these other obligation arrangements. Short-term debt obligations, excluding the ATM facility, as of September 30, 2017 were primarily comprised of $24.7 million due in the next twelve months under these other obligation arrangements and $12.2 million of payments due in the next twelve months under the Term Loan A.</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including capital lease expenditures, for the first nine months of 2017 were $76.8 million. These capital expenditures were made primarily for the purchase of ATMs to expand our independent ATM network in Europe, the purchase and installation of ATMs in key under-penetrated markets, the purchase of POS terminals for the epay and Money Transfer Segments, and office, data center and company store computer equipment and software. Total capital expenditures for 2017 are currently estimated to range from approximately $105 million to $115 million.</w:t>
      </w:r>
    </w:p>
    <w:p>
      <w:pPr>
        <w:spacing w:after="0" w:line="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sources, will be sufficient to meet our debt,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September 30, 2017, there were no material changes from the disclosure in our Annual Report on Form 10-K for the year ended December 31, 2016. To date, we are not aware of any significant claims made by the indemnified parties or parties to whom we have provided guarantees on behalf of our subsidiaries and, accordingly, no liabilities have been recorded as of September 30, 2017. See also Note 11, Commitments, to the unaudited consolidated financial statements included elsewhere in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As of September 30, 2017, our future contractual obligations have not changed significantly from the amounts reported within our 2016 Form 10-K, other than those resulting from changes in the amount of outstanding debt discussed in the Liquidity and Capital Resources section.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422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ind w:right="20"/>
        <w:spacing w:after="0" w:line="271" w:lineRule="auto"/>
        <w:rPr>
          <w:sz w:val="20"/>
          <w:szCs w:val="20"/>
          <w:color w:val="auto"/>
        </w:rPr>
      </w:pPr>
      <w:r>
        <w:rPr>
          <w:rFonts w:ascii="Arial" w:cs="Arial" w:eastAsia="Arial" w:hAnsi="Arial"/>
          <w:sz w:val="17"/>
          <w:szCs w:val="17"/>
          <w:color w:val="auto"/>
        </w:rPr>
        <w:t>As of September 30, 2017, our total debt outstanding was $736.3 million. Of this amount, $366.5 million, net of debt discounts, or 50% of our total debt obligations, relates to our Convertible Notes that have a fixed coupon rate. Our $402.5 million principal amount of Convertible Notes, issued in October 2014, accrue cash interest at a rate of 1.5% of the principal amount per annum. Based on quoted market prices, as of September 30, 2017, the fair value of our fixed rate Convertible Notes was $550.5 million, compared to a carrying value of $366.5 million. Interest expense for these notes, including accretion and amortization of deferred debt issuance costs, has a weighted average interest rate of 4.7% annually. Additionally, $345.0 million, or 47% of our total debt obligations, relates to debt borrowings under our Credit Facility and ATM Facility. If we were to maximize the potential borrowings available under the revolving credit facility and maintain these borrowings for one year, a 1% (100 basis points) increase in the applicable interest rate would result in additional annual interest expense to the Company of approximately $6.1 million.</w:t>
      </w:r>
    </w:p>
    <w:p>
      <w:pPr>
        <w:spacing w:after="0" w:line="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remaining $24.8 million, or 3%, of our total debt obligations, is related to borrowings by certain subsidiaries to fund, from time to time, working capital requirements. These arrangements generally are due within one year and accrue interest at variable rates.</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Additionally, as of September 30, 2017, we had approximately $14.1 million of capitalized leases with fixed payment and interest terms that expire between 2017 and 2021.</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the first nine months of 2017, approximately 74% of our revenues were generated in non-U.S. dollar countries and we expect to continue generating a significant portion of our revenues in countries with currencies other than the U.S. dollar.</w:t>
      </w:r>
    </w:p>
    <w:p>
      <w:pPr>
        <w:spacing w:after="0" w:line="6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September 30, 2017, we estimate that a 10% fluctuation in these foreign currency exchange rates would have the combined annualized effect on reported net income and working capital of approximately $140 million to $145 million. This effect is estimated by applying a 10% adjustment factor to our non-U.S. dollar results from operations, intercompany loans that generate foreign currency exchange gains or losses and working capital balances that require translation from the respective functional currency to the U.S. dollar reporting currency.</w:t>
      </w:r>
    </w:p>
    <w:p>
      <w:pPr>
        <w:spacing w:after="0" w:line="70"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$100 million to</w:t>
      </w:r>
    </w:p>
    <w:p>
      <w:pPr>
        <w:spacing w:after="0"/>
        <w:rPr>
          <w:sz w:val="20"/>
          <w:szCs w:val="20"/>
          <w:color w:val="auto"/>
        </w:rPr>
      </w:pPr>
      <w:r>
        <w:rPr>
          <w:rFonts w:ascii="Arial" w:cs="Arial" w:eastAsia="Arial" w:hAnsi="Arial"/>
          <w:sz w:val="16"/>
          <w:szCs w:val="16"/>
          <w:color w:val="auto"/>
        </w:rPr>
        <w:t>$105 million as a result of the change in value of these items during translation to the U.S. dollar. For the fluctuations described above, a strengthening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dollar produces a financial loss, while a weakening U.S. dollar produces a financial gain.</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is incurred in the functional currencies of our international operating entities, the profits we earn in foreign currencies are positively impacted by a weakening of the U.S. dollar and negatively impacted by a strengthening of the U.S. dollar. Additionally, our debt obligations are primarily in U.S. dollars; therefore, as foreign currency exchange rates fluctuate, the amount available for repayment of debt will also increase or decrease.</w:t>
      </w:r>
    </w:p>
    <w:p>
      <w:pPr>
        <w:spacing w:after="0" w:line="8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use derivatives to minimize our exposures related to changes in foreign currency exchange rates and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 majority of our consumer-to-consumer money transfer operations involves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gain, net on the Consolidated Statements of Income. As of September 30, 2017, we had foreign currency derivative contracts outstanding with a notional value of $244 million, primarily in Australian dollars, British pounds, Canadian dollars, euros and Mexican pesos, that were not designated as hedges and mature within a few days.</w:t>
      </w:r>
    </w:p>
    <w:p>
      <w:pPr>
        <w:spacing w:after="0" w:line="5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For derivative instruments our HiFX operations write for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Income. As of September 30, 2017, we held foreign currency derivative contracts outstanding with a notional value of $1.3 billion, primarily in U.S. dollars, euros, British pounds, Australian dollars and New Zealand dollars, that were not designated as hedges and for which the majority mature within the next twelve months.</w:t>
      </w:r>
    </w:p>
    <w:p>
      <w:pPr>
        <w:spacing w:after="0" w:line="5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use longer-term foreign currency forward contracts to mitigate risks associated with changes in foreign currency exchange rates on certain foreign currency denominated other asset and liability positions. As of September 30, 2017, the Company had foreign currency forward contracts outstanding with a notional value of $282 million, primarily in British pounds, euros and Polish zloty.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See Note 7, Derivative Instruments and Hedging Activities to our Consolidated Financial Statements for additional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September 30, 2017.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Internal Controls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not been any changes in internal control over financial reporting during the three months ended September 30, 2017 that have materially affected, or are reasonably likely to materially affect, our internal control over financial reporting.</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discussion regarding contingencies in Part I, Item 1 — Financial Statements (unaudited), Note 12, Litigation and Contingencies, to the unaudited consolidated financial statements in this report is incorporated herein by reference.</w:t>
      </w:r>
    </w:p>
    <w:p>
      <w:pPr>
        <w:spacing w:after="0" w:line="62"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Currently, there are no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252525"/>
        </w:rPr>
        <w:t xml:space="preserve">There were no material changes to the risk factors previously disclosed in our Annual Report on Form 10-K for the year ended </w:t>
      </w:r>
      <w:r>
        <w:rPr>
          <w:rFonts w:ascii="Arial" w:cs="Arial" w:eastAsia="Arial" w:hAnsi="Arial"/>
          <w:sz w:val="18"/>
          <w:szCs w:val="18"/>
          <w:color w:val="000000"/>
        </w:rPr>
        <w:t>December 31, 2016, as filed</w:t>
      </w:r>
      <w:r>
        <w:rPr>
          <w:rFonts w:ascii="Arial" w:cs="Arial" w:eastAsia="Arial" w:hAnsi="Arial"/>
          <w:sz w:val="18"/>
          <w:szCs w:val="18"/>
          <w:color w:val="252525"/>
        </w:rPr>
        <w:t xml:space="preserve"> </w:t>
      </w:r>
      <w:r>
        <w:rPr>
          <w:rFonts w:ascii="Arial" w:cs="Arial" w:eastAsia="Arial" w:hAnsi="Arial"/>
          <w:sz w:val="18"/>
          <w:szCs w:val="18"/>
          <w:color w:val="000000"/>
        </w:rPr>
        <w:t>with the SEC.</w:t>
      </w:r>
    </w:p>
    <w:p>
      <w:pPr>
        <w:spacing w:after="0" w:line="200" w:lineRule="exact"/>
        <w:rPr>
          <w:sz w:val="20"/>
          <w:szCs w:val="20"/>
          <w:color w:val="auto"/>
        </w:rPr>
      </w:pPr>
    </w:p>
    <w:p>
      <w:pPr>
        <w:spacing w:after="0" w:line="237" w:lineRule="exact"/>
        <w:rPr>
          <w:sz w:val="20"/>
          <w:szCs w:val="20"/>
          <w:color w:val="auto"/>
        </w:rPr>
      </w:pPr>
    </w:p>
    <w:p>
      <w:pPr>
        <w:ind w:right="4180"/>
        <w:spacing w:after="0" w:line="407"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40" w:type="dxa"/>
            <w:vAlign w:val="bottom"/>
          </w:tcPr>
          <w:p>
            <w:pPr>
              <w:ind w:left="760"/>
              <w:spacing w:after="0"/>
              <w:rPr>
                <w:sz w:val="20"/>
                <w:szCs w:val="20"/>
                <w:color w:val="auto"/>
              </w:rPr>
            </w:pPr>
            <w:r>
              <w:rPr>
                <w:rFonts w:ascii="Arial" w:cs="Arial" w:eastAsia="Arial" w:hAnsi="Arial"/>
                <w:sz w:val="14"/>
                <w:szCs w:val="14"/>
                <w:b w:val="1"/>
                <w:bCs w:val="1"/>
                <w:color w:val="auto"/>
              </w:rPr>
              <w:t>Description</w:t>
            </w:r>
          </w:p>
        </w:tc>
      </w:tr>
      <w:tr>
        <w:trPr>
          <w:trHeight w:val="432"/>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40" w:type="dxa"/>
            <w:vAlign w:val="bottom"/>
            <w:tcBorders>
              <w:top w:val="single" w:sz="8" w:color="auto"/>
            </w:tcBorders>
            <w:gridSpan w:val="5"/>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Computation of Ratio of Earnings to Fixed Charges</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rFonts w:ascii="Arial" w:cs="Arial" w:eastAsia="Arial" w:hAnsi="Arial"/>
                <w:sz w:val="18"/>
                <w:szCs w:val="18"/>
                <w:color w:val="0000FF"/>
                <w:w w:val="90"/>
              </w:rPr>
            </w:pPr>
            <w:hyperlink w:anchor="page42">
              <w:r>
                <w:rPr>
                  <w:rFonts w:ascii="Arial" w:cs="Arial" w:eastAsia="Arial" w:hAnsi="Arial"/>
                  <w:sz w:val="18"/>
                  <w:szCs w:val="18"/>
                  <w:color w:val="0000FF"/>
                  <w:w w:val="90"/>
                </w:rPr>
                <w:t>Section 302</w:t>
              </w:r>
            </w:hyperlink>
          </w:p>
        </w:tc>
        <w:tc>
          <w:tcPr>
            <w:tcW w:w="9360" w:type="dxa"/>
            <w:vAlign w:val="bottom"/>
            <w:gridSpan w:val="4"/>
          </w:tcPr>
          <w:p>
            <w:pPr>
              <w:ind w:left="20"/>
              <w:spacing w:after="0"/>
              <w:rPr>
                <w:rFonts w:ascii="Arial" w:cs="Arial" w:eastAsia="Arial" w:hAnsi="Arial"/>
                <w:sz w:val="18"/>
                <w:szCs w:val="18"/>
                <w:color w:val="0000FF"/>
              </w:rPr>
            </w:pPr>
            <w:hyperlink w:anchor="page42">
              <w:r>
                <w:rPr>
                  <w:rFonts w:ascii="Arial" w:cs="Arial" w:eastAsia="Arial" w:hAnsi="Arial"/>
                  <w:sz w:val="18"/>
                  <w:szCs w:val="18"/>
                  <w:color w:val="0000FF"/>
                </w:rPr>
                <w:t>— Certification of Chief Executive Officer</w:t>
              </w:r>
            </w:hyperlink>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43">
              <w:r>
                <w:rPr>
                  <w:rFonts w:ascii="Arial" w:cs="Arial" w:eastAsia="Arial" w:hAnsi="Arial"/>
                  <w:sz w:val="18"/>
                  <w:szCs w:val="18"/>
                  <w:color w:val="0000FF"/>
                  <w:w w:val="90"/>
                </w:rPr>
                <w:t>Section 302</w:t>
              </w:r>
            </w:hyperlink>
          </w:p>
        </w:tc>
        <w:tc>
          <w:tcPr>
            <w:tcW w:w="3080" w:type="dxa"/>
            <w:vAlign w:val="bottom"/>
            <w:tcBorders>
              <w:top w:val="single" w:sz="8" w:color="0000FF"/>
              <w:bottom w:val="single" w:sz="8" w:color="0000FF"/>
            </w:tcBorders>
            <w:gridSpan w:val="2"/>
          </w:tcPr>
          <w:p>
            <w:pPr>
              <w:ind w:left="20"/>
              <w:spacing w:after="0"/>
              <w:rPr>
                <w:rFonts w:ascii="Arial" w:cs="Arial" w:eastAsia="Arial" w:hAnsi="Arial"/>
                <w:sz w:val="18"/>
                <w:szCs w:val="18"/>
                <w:color w:val="0000FF"/>
                <w:w w:val="94"/>
              </w:rPr>
            </w:pPr>
            <w:hyperlink w:anchor="page43">
              <w:r>
                <w:rPr>
                  <w:rFonts w:ascii="Arial" w:cs="Arial" w:eastAsia="Arial" w:hAnsi="Arial"/>
                  <w:sz w:val="18"/>
                  <w:szCs w:val="18"/>
                  <w:color w:val="0000FF"/>
                  <w:w w:val="94"/>
                </w:rPr>
                <w:t>— Certification of Chief Financial Officer</w:t>
              </w:r>
            </w:hyperlink>
          </w:p>
        </w:tc>
        <w:tc>
          <w:tcPr>
            <w:tcW w:w="40" w:type="dxa"/>
            <w:vAlign w:val="bottom"/>
            <w:tcBorders>
              <w:top w:val="single" w:sz="8" w:color="0000FF"/>
            </w:tcBorders>
          </w:tcPr>
          <w:p>
            <w:pPr>
              <w:spacing w:after="0"/>
              <w:rPr>
                <w:sz w:val="21"/>
                <w:szCs w:val="21"/>
                <w:color w:val="auto"/>
              </w:rPr>
            </w:pPr>
          </w:p>
        </w:tc>
        <w:tc>
          <w:tcPr>
            <w:tcW w:w="6240" w:type="dxa"/>
            <w:vAlign w:val="bottom"/>
          </w:tcPr>
          <w:p>
            <w:pPr>
              <w:spacing w:after="0"/>
              <w:rPr>
                <w:sz w:val="21"/>
                <w:szCs w:val="21"/>
                <w:color w:val="auto"/>
              </w:rPr>
            </w:pPr>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Section 906</w:t>
              </w:r>
            </w:hyperlink>
          </w:p>
        </w:tc>
        <w:tc>
          <w:tcPr>
            <w:tcW w:w="9360" w:type="dxa"/>
            <w:vAlign w:val="bottom"/>
            <w:gridSpan w:val="4"/>
          </w:tcPr>
          <w:p>
            <w:pPr>
              <w:ind w:left="20"/>
              <w:spacing w:after="0"/>
              <w:rPr>
                <w:rFonts w:ascii="Arial" w:cs="Arial" w:eastAsia="Arial" w:hAnsi="Arial"/>
                <w:sz w:val="18"/>
                <w:szCs w:val="18"/>
                <w:color w:val="0000FF"/>
              </w:rPr>
            </w:pPr>
            <w:hyperlink w:anchor="page44">
              <w:r>
                <w:rPr>
                  <w:rFonts w:ascii="Arial" w:cs="Arial" w:eastAsia="Arial" w:hAnsi="Arial"/>
                  <w:sz w:val="18"/>
                  <w:szCs w:val="18"/>
                  <w:color w:val="0000FF"/>
                </w:rPr>
                <w:t>— Certification of Chief Executive Officer</w:t>
              </w:r>
            </w:hyperlink>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Section 906</w:t>
              </w:r>
            </w:hyperlink>
          </w:p>
        </w:tc>
        <w:tc>
          <w:tcPr>
            <w:tcW w:w="3080" w:type="dxa"/>
            <w:vAlign w:val="bottom"/>
            <w:tcBorders>
              <w:top w:val="single" w:sz="8" w:color="0000FF"/>
              <w:bottom w:val="single" w:sz="8" w:color="0000FF"/>
            </w:tcBorders>
            <w:gridSpan w:val="2"/>
          </w:tcPr>
          <w:p>
            <w:pPr>
              <w:ind w:left="20"/>
              <w:spacing w:after="0"/>
              <w:rPr>
                <w:rFonts w:ascii="Arial" w:cs="Arial" w:eastAsia="Arial" w:hAnsi="Arial"/>
                <w:sz w:val="18"/>
                <w:szCs w:val="18"/>
                <w:color w:val="0000FF"/>
                <w:w w:val="94"/>
              </w:rPr>
            </w:pPr>
            <w:hyperlink w:anchor="page45">
              <w:r>
                <w:rPr>
                  <w:rFonts w:ascii="Arial" w:cs="Arial" w:eastAsia="Arial" w:hAnsi="Arial"/>
                  <w:sz w:val="18"/>
                  <w:szCs w:val="18"/>
                  <w:color w:val="0000FF"/>
                  <w:w w:val="94"/>
                </w:rPr>
                <w:t>— Certification of Chief Financial Officer</w:t>
              </w:r>
            </w:hyperlink>
          </w:p>
        </w:tc>
        <w:tc>
          <w:tcPr>
            <w:tcW w:w="40" w:type="dxa"/>
            <w:vAlign w:val="bottom"/>
            <w:tcBorders>
              <w:top w:val="single" w:sz="8" w:color="0000FF"/>
            </w:tcBorders>
          </w:tcPr>
          <w:p>
            <w:pPr>
              <w:spacing w:after="0"/>
              <w:rPr>
                <w:sz w:val="21"/>
                <w:szCs w:val="21"/>
                <w:color w:val="auto"/>
              </w:rPr>
            </w:pPr>
          </w:p>
        </w:tc>
        <w:tc>
          <w:tcPr>
            <w:tcW w:w="6240" w:type="dxa"/>
            <w:vAlign w:val="bottom"/>
          </w:tcPr>
          <w:p>
            <w:pPr>
              <w:spacing w:after="0"/>
              <w:rPr>
                <w:sz w:val="21"/>
                <w:szCs w:val="21"/>
                <w:color w:val="auto"/>
              </w:rPr>
            </w:pPr>
          </w:p>
        </w:tc>
      </w:tr>
      <w:tr>
        <w:trPr>
          <w:trHeight w:val="276"/>
        </w:trPr>
        <w:tc>
          <w:tcPr>
            <w:tcW w:w="104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5"/>
          </w:tcPr>
          <w:p>
            <w:pPr>
              <w:spacing w:after="0"/>
              <w:rPr>
                <w:sz w:val="20"/>
                <w:szCs w:val="20"/>
                <w:color w:val="auto"/>
              </w:rPr>
            </w:pPr>
            <w:r>
              <w:rPr>
                <w:rFonts w:ascii="Arial" w:cs="Arial" w:eastAsia="Arial" w:hAnsi="Arial"/>
                <w:sz w:val="18"/>
                <w:szCs w:val="18"/>
                <w:color w:val="auto"/>
                <w:w w:val="98"/>
              </w:rPr>
              <w:t>The following materials from Euronet Worldwide, Inc.’s Quarterly Report on Form 10-Q for the quarter ended September 30, 2017,</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40" w:type="dxa"/>
            <w:vAlign w:val="bottom"/>
            <w:gridSpan w:val="5"/>
          </w:tcPr>
          <w:p>
            <w:pPr>
              <w:spacing w:after="0"/>
              <w:rPr>
                <w:sz w:val="20"/>
                <w:szCs w:val="20"/>
                <w:color w:val="auto"/>
              </w:rPr>
            </w:pPr>
            <w:r>
              <w:rPr>
                <w:rFonts w:ascii="Arial" w:cs="Arial" w:eastAsia="Arial" w:hAnsi="Arial"/>
                <w:sz w:val="18"/>
                <w:szCs w:val="18"/>
                <w:color w:val="auto"/>
                <w:w w:val="94"/>
              </w:rPr>
              <w:t>formatted in XBRL (eXtensible Business Reporting Language): (i) Consolidated Balance Sheets at September 30, 2017 (unaudited) and</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5"/>
          </w:tcPr>
          <w:p>
            <w:pPr>
              <w:spacing w:after="0"/>
              <w:rPr>
                <w:sz w:val="20"/>
                <w:szCs w:val="20"/>
                <w:color w:val="auto"/>
              </w:rPr>
            </w:pPr>
            <w:r>
              <w:rPr>
                <w:rFonts w:ascii="Arial" w:cs="Arial" w:eastAsia="Arial" w:hAnsi="Arial"/>
                <w:sz w:val="18"/>
                <w:szCs w:val="18"/>
                <w:color w:val="auto"/>
                <w:w w:val="91"/>
              </w:rPr>
              <w:t>December 31, 2016, (ii) Consolidated Statements of Income (unaudited) for the three and nine months ended September 30, 2017 and 2016,</w:t>
            </w:r>
          </w:p>
        </w:tc>
      </w:tr>
    </w:tbl>
    <w:p>
      <w:pPr>
        <w:ind w:left="1180" w:right="420"/>
        <w:spacing w:after="0" w:line="255" w:lineRule="auto"/>
        <w:rPr>
          <w:sz w:val="20"/>
          <w:szCs w:val="20"/>
          <w:color w:val="auto"/>
        </w:rPr>
      </w:pPr>
      <w:r>
        <w:rPr>
          <w:rFonts w:ascii="Arial" w:cs="Arial" w:eastAsia="Arial" w:hAnsi="Arial"/>
          <w:sz w:val="18"/>
          <w:szCs w:val="18"/>
          <w:color w:val="auto"/>
        </w:rPr>
        <w:t>(iii) Consolidated Statements of Comprehensive Income (unaudited) for the three and nine months ended September 30, 2017 and 2016, (iv) Consolidated Statements of Cash Flows (unaudited) for the nine months ended September 30, 2017 and 2016, and (v) Notes to the Unaudited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Filed herewith.</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Pursuant to Item 601(b)(32) of Regulation S-K, this Exhibit is furnished rather than filed with this Form 10-Q.</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October 27,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jc w:val="center"/>
              <w:ind w:right="10"/>
              <w:spacing w:after="0"/>
              <w:rPr>
                <w:sz w:val="20"/>
                <w:szCs w:val="20"/>
                <w:color w:val="auto"/>
              </w:rPr>
            </w:pPr>
            <w:r>
              <w:rPr>
                <w:rFonts w:ascii="Arial" w:cs="Arial" w:eastAsia="Arial" w:hAnsi="Arial"/>
                <w:sz w:val="18"/>
                <w:szCs w:val="18"/>
                <w:color w:val="auto"/>
                <w:w w:val="96"/>
              </w:rPr>
              <w:t>/s/ MICHAEL J. BROWN</w:t>
            </w:r>
          </w:p>
        </w:tc>
      </w:tr>
      <w:tr>
        <w:trPr>
          <w:trHeight w:val="27"/>
        </w:trPr>
        <w:tc>
          <w:tcPr>
            <w:tcW w:w="6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Michael J. Brown</w:t>
            </w:r>
          </w:p>
        </w:tc>
      </w:tr>
      <w:tr>
        <w:trPr>
          <w:trHeight w:val="270"/>
        </w:trPr>
        <w:tc>
          <w:tcPr>
            <w:tcW w:w="66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81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jc w:val="center"/>
              <w:ind w:right="10"/>
              <w:spacing w:after="0"/>
              <w:rPr>
                <w:sz w:val="20"/>
                <w:szCs w:val="20"/>
                <w:color w:val="auto"/>
              </w:rPr>
            </w:pPr>
            <w:r>
              <w:rPr>
                <w:rFonts w:ascii="Arial" w:cs="Arial" w:eastAsia="Arial" w:hAnsi="Arial"/>
                <w:sz w:val="18"/>
                <w:szCs w:val="18"/>
                <w:color w:val="auto"/>
                <w:w w:val="97"/>
              </w:rPr>
              <w:t>/s/ RICK L. WELLER</w:t>
            </w:r>
          </w:p>
        </w:tc>
      </w:tr>
      <w:tr>
        <w:trPr>
          <w:trHeight w:val="27"/>
        </w:trPr>
        <w:tc>
          <w:tcPr>
            <w:tcW w:w="6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70"/>
        </w:trPr>
        <w:tc>
          <w:tcPr>
            <w:tcW w:w="66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60"/>
          </w:cols>
          <w:pgMar w:left="240" w:top="125" w:right="3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12.1</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EURONET WORLDWIDE,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560" w:type="dxa"/>
            <w:vAlign w:val="bottom"/>
            <w:gridSpan w:val="4"/>
          </w:tcPr>
          <w:p>
            <w:pPr>
              <w:ind w:left="10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56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r>
      <w:tr>
        <w:trPr>
          <w:trHeight w:val="228"/>
        </w:trPr>
        <w:tc>
          <w:tcPr>
            <w:tcW w:w="5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Pretax income before adjustment for income from unconsolidated</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7"/>
        </w:trPr>
        <w:tc>
          <w:tcPr>
            <w:tcW w:w="5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115,926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81,566</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222,899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190,547</w:t>
            </w: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8"/>
                <w:szCs w:val="18"/>
                <w:color w:val="auto"/>
              </w:rPr>
              <w:t>Add:</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5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Fixed charges</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10,321</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27,901</w:t>
            </w:r>
          </w:p>
        </w:tc>
      </w:tr>
      <w:tr>
        <w:trPr>
          <w:trHeight w:val="297"/>
        </w:trPr>
        <w:tc>
          <w:tcPr>
            <w:tcW w:w="54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Adjusted pretax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128,508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91,887</w:t>
            </w:r>
          </w:p>
        </w:tc>
        <w:tc>
          <w:tcPr>
            <w:tcW w:w="1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255,715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218,448</w:t>
            </w:r>
          </w:p>
        </w:tc>
      </w:tr>
      <w:tr>
        <w:trPr>
          <w:trHeight w:val="237"/>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r>
      <w:tr>
        <w:trPr>
          <w:trHeight w:val="243"/>
        </w:trPr>
        <w:tc>
          <w:tcPr>
            <w:tcW w:w="548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7,724</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25,058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20,968</w:t>
            </w:r>
          </w:p>
        </w:tc>
      </w:tr>
      <w:tr>
        <w:trPr>
          <w:trHeight w:val="27"/>
        </w:trPr>
        <w:tc>
          <w:tcPr>
            <w:tcW w:w="5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5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Estimate of interest within rental expense</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6,933</w:t>
            </w:r>
          </w:p>
        </w:tc>
      </w:tr>
      <w:tr>
        <w:trPr>
          <w:trHeight w:val="297"/>
        </w:trPr>
        <w:tc>
          <w:tcPr>
            <w:tcW w:w="54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fixed charges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10,321</w:t>
            </w:r>
          </w:p>
        </w:tc>
        <w:tc>
          <w:tcPr>
            <w:tcW w:w="1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32,816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27,901</w:t>
            </w:r>
          </w:p>
        </w:tc>
      </w:tr>
      <w:tr>
        <w:trPr>
          <w:trHeight w:val="230"/>
        </w:trPr>
        <w:tc>
          <w:tcPr>
            <w:tcW w:w="5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5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ectPr>
          <w:pgSz w:w="11900" w:h="16838" w:orient="portrait"/>
          <w:cols w:equalWidth="0" w:num="1">
            <w:col w:w="10300"/>
          </w:cols>
          <w:pgMar w:left="136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2017</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2017</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September 30, 2017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October 27, 2017</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September 30, 2017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October 27,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lowerLetter"/>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2019-12-29T04:20:11Z</dcterms:created>
  <dcterms:modified xsi:type="dcterms:W3CDTF">2019-12-29T04:20:11Z</dcterms:modified>
</cp:coreProperties>
</file>