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2010</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001-31648</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the registrant as specified in its charter)</w:t>
      </w:r>
    </w:p>
    <w:p>
      <w:pPr>
        <w:spacing w:after="0" w:line="205"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488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tcPr>
          <w:p>
            <w:pPr>
              <w:jc w:val="right"/>
              <w:ind w:right="190"/>
              <w:spacing w:after="0"/>
              <w:rPr>
                <w:sz w:val="20"/>
                <w:szCs w:val="20"/>
                <w:color w:val="auto"/>
              </w:rPr>
            </w:pPr>
            <w:r>
              <w:rPr>
                <w:rFonts w:ascii="Arial" w:cs="Arial" w:eastAsia="Arial" w:hAnsi="Arial"/>
                <w:sz w:val="18"/>
                <w:szCs w:val="18"/>
                <w:b w:val="1"/>
                <w:bCs w:val="1"/>
                <w:color w:val="auto"/>
              </w:rPr>
              <w:t>74-2806888</w:t>
            </w:r>
          </w:p>
        </w:tc>
      </w:tr>
      <w:tr>
        <w:trPr>
          <w:trHeight w:val="216"/>
        </w:trPr>
        <w:tc>
          <w:tcPr>
            <w:tcW w:w="488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(State or other jurisdiction</w:t>
            </w:r>
          </w:p>
        </w:tc>
        <w:tc>
          <w:tcPr>
            <w:tcW w:w="3320" w:type="dxa"/>
            <w:vAlign w:val="bottom"/>
          </w:tcPr>
          <w:p>
            <w:pPr>
              <w:jc w:val="center"/>
              <w:ind w:left="18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88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of incorporation or organization)</w:t>
            </w:r>
          </w:p>
        </w:tc>
        <w:tc>
          <w:tcPr>
            <w:tcW w:w="3320" w:type="dxa"/>
            <w:vAlign w:val="bottom"/>
          </w:tcPr>
          <w:p>
            <w:pPr>
              <w:jc w:val="center"/>
              <w:ind w:left="181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4880" w:type="dxa"/>
            <w:vAlign w:val="bottom"/>
          </w:tcPr>
          <w:p>
            <w:pPr>
              <w:jc w:val="center"/>
              <w:ind w:right="1810"/>
              <w:spacing w:after="0"/>
              <w:rPr>
                <w:sz w:val="20"/>
                <w:szCs w:val="20"/>
                <w:color w:val="auto"/>
              </w:rPr>
            </w:pPr>
            <w:r>
              <w:rPr>
                <w:rFonts w:ascii="Arial" w:cs="Arial" w:eastAsia="Arial" w:hAnsi="Arial"/>
                <w:sz w:val="18"/>
                <w:szCs w:val="18"/>
                <w:b w:val="1"/>
                <w:bCs w:val="1"/>
                <w:color w:val="auto"/>
                <w:w w:val="89"/>
              </w:rPr>
              <w:t>3500 College Boulevard</w:t>
            </w:r>
          </w:p>
        </w:tc>
        <w:tc>
          <w:tcPr>
            <w:tcW w:w="3320" w:type="dxa"/>
            <w:vAlign w:val="bottom"/>
          </w:tcPr>
          <w:p>
            <w:pPr>
              <w:spacing w:after="0"/>
              <w:rPr>
                <w:sz w:val="24"/>
                <w:szCs w:val="24"/>
                <w:color w:val="auto"/>
              </w:rPr>
            </w:pPr>
          </w:p>
        </w:tc>
      </w:tr>
      <w:tr>
        <w:trPr>
          <w:trHeight w:val="216"/>
        </w:trPr>
        <w:tc>
          <w:tcPr>
            <w:tcW w:w="4880" w:type="dxa"/>
            <w:vAlign w:val="bottom"/>
          </w:tcPr>
          <w:p>
            <w:pPr>
              <w:jc w:val="center"/>
              <w:ind w:right="1790"/>
              <w:spacing w:after="0"/>
              <w:rPr>
                <w:sz w:val="20"/>
                <w:szCs w:val="20"/>
                <w:color w:val="auto"/>
              </w:rPr>
            </w:pPr>
            <w:r>
              <w:rPr>
                <w:rFonts w:ascii="Arial" w:cs="Arial" w:eastAsia="Arial" w:hAnsi="Arial"/>
                <w:sz w:val="18"/>
                <w:szCs w:val="18"/>
                <w:b w:val="1"/>
                <w:bCs w:val="1"/>
                <w:color w:val="auto"/>
                <w:w w:val="89"/>
              </w:rPr>
              <w:t>Leawood, Kansas</w:t>
            </w:r>
          </w:p>
        </w:tc>
        <w:tc>
          <w:tcPr>
            <w:tcW w:w="3320" w:type="dxa"/>
            <w:vAlign w:val="bottom"/>
          </w:tcPr>
          <w:p>
            <w:pPr>
              <w:jc w:val="right"/>
              <w:ind w:right="410"/>
              <w:spacing w:after="0"/>
              <w:rPr>
                <w:sz w:val="20"/>
                <w:szCs w:val="20"/>
                <w:color w:val="auto"/>
              </w:rPr>
            </w:pPr>
            <w:r>
              <w:rPr>
                <w:rFonts w:ascii="Arial" w:cs="Arial" w:eastAsia="Arial" w:hAnsi="Arial"/>
                <w:sz w:val="18"/>
                <w:szCs w:val="18"/>
                <w:b w:val="1"/>
                <w:bCs w:val="1"/>
                <w:color w:val="auto"/>
              </w:rPr>
              <w:t>66211</w:t>
            </w:r>
          </w:p>
        </w:tc>
      </w:tr>
      <w:tr>
        <w:trPr>
          <w:trHeight w:val="234"/>
        </w:trPr>
        <w:tc>
          <w:tcPr>
            <w:tcW w:w="4880" w:type="dxa"/>
            <w:vAlign w:val="bottom"/>
          </w:tcPr>
          <w:p>
            <w:pPr>
              <w:jc w:val="center"/>
              <w:ind w:right="18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320" w:type="dxa"/>
            <w:vAlign w:val="bottom"/>
          </w:tcPr>
          <w:p>
            <w:pPr>
              <w:jc w:val="center"/>
              <w:ind w:left="179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3"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2" w:right="239" w:bottom="1440" w:gutter="0" w:footer="0" w:header="0"/>
        </w:sectPr>
      </w:pPr>
    </w:p>
    <w:p>
      <w:pPr>
        <w:spacing w:after="0" w:line="22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80" w:space="720"/>
            <w:col w:w="1460" w:space="720"/>
            <w:col w:w="3340" w:space="600"/>
            <w:col w:w="2100"/>
          </w:cols>
          <w:pgMar w:left="240" w:top="122"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APPLICABLE ONLY TO CORPORATE ISSUERS: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the issuer’s common stock, $0.02 par value, outstanding as of October 31, 2010 was 50,820,636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060" w:type="dxa"/>
            <w:vAlign w:val="bottom"/>
            <w:gridSpan w:val="14"/>
          </w:tcPr>
          <w:p>
            <w:pPr>
              <w:spacing w:after="0"/>
              <w:rPr>
                <w:sz w:val="20"/>
                <w:szCs w:val="20"/>
                <w:color w:val="auto"/>
              </w:rPr>
            </w:pPr>
            <w:r>
              <w:rPr>
                <w:rFonts w:ascii="Arial" w:cs="Arial" w:eastAsia="Arial" w:hAnsi="Arial"/>
                <w:sz w:val="18"/>
                <w:szCs w:val="18"/>
                <w:b w:val="1"/>
                <w:bCs w:val="1"/>
                <w:color w:val="auto"/>
              </w:rPr>
              <w:t>Table of Contents</w:t>
            </w:r>
          </w:p>
        </w:tc>
        <w:tc>
          <w:tcPr>
            <w:tcW w:w="1260" w:type="dxa"/>
            <w:vAlign w:val="bottom"/>
          </w:tcPr>
          <w:p>
            <w:pPr>
              <w:spacing w:after="0"/>
              <w:rPr>
                <w:sz w:val="20"/>
                <w:szCs w:val="20"/>
                <w:color w:val="auto"/>
              </w:rPr>
            </w:pPr>
          </w:p>
        </w:tc>
      </w:tr>
      <w:tr>
        <w:trPr>
          <w:trHeight w:val="392"/>
        </w:trPr>
        <w:tc>
          <w:tcPr>
            <w:tcW w:w="1006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I—FINANCIAL INFORMATION</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840" w:type="dxa"/>
            <w:vAlign w:val="bottom"/>
            <w:gridSpan w:val="13"/>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 FINANCIAL STATEMENTS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78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2. MANAGEMENT’S DISCUSSION AND ANALYSIS OF FINANCIAL CONDITION AND RESULTS OF</w:t>
              </w:r>
            </w:hyperlink>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Borders>
              <w:bottom w:val="single" w:sz="8" w:color="0000EE"/>
            </w:tcBorders>
          </w:tcPr>
          <w:p>
            <w:pPr>
              <w:spacing w:after="0" w:line="196" w:lineRule="exact"/>
              <w:rPr>
                <w:rFonts w:ascii="Arial" w:cs="Arial" w:eastAsia="Arial" w:hAnsi="Arial"/>
                <w:sz w:val="18"/>
                <w:szCs w:val="18"/>
                <w:b w:val="1"/>
                <w:bCs w:val="1"/>
                <w:color w:val="0000EE"/>
                <w:w w:val="97"/>
              </w:rPr>
            </w:pPr>
            <w:hyperlink w:anchor="page18">
              <w:r>
                <w:rPr>
                  <w:rFonts w:ascii="Arial" w:cs="Arial" w:eastAsia="Arial" w:hAnsi="Arial"/>
                  <w:sz w:val="18"/>
                  <w:szCs w:val="18"/>
                  <w:b w:val="1"/>
                  <w:bCs w:val="1"/>
                  <w:color w:val="0000EE"/>
                  <w:w w:val="97"/>
                </w:rPr>
                <w:t>OPERATIONS</w:t>
              </w:r>
            </w:hyperlink>
          </w:p>
        </w:tc>
        <w:tc>
          <w:tcPr>
            <w:tcW w:w="8460" w:type="dxa"/>
            <w:vAlign w:val="bottom"/>
            <w:gridSpan w:val="11"/>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20" w:type="dxa"/>
            <w:vAlign w:val="bottom"/>
          </w:tcPr>
          <w:p>
            <w:pPr>
              <w:spacing w:after="0"/>
              <w:rPr>
                <w:sz w:val="17"/>
                <w:szCs w:val="17"/>
                <w:color w:val="auto"/>
              </w:rPr>
            </w:pPr>
          </w:p>
        </w:tc>
        <w:tc>
          <w:tcPr>
            <w:tcW w:w="716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3. QUANTITATIVE AND QUALITATIVE DISCLOSURES ABOUT MARKET RISK</w:t>
              </w:r>
            </w:hyperlink>
          </w:p>
        </w:tc>
        <w:tc>
          <w:tcPr>
            <w:tcW w:w="2680" w:type="dxa"/>
            <w:vAlign w:val="bottom"/>
            <w:gridSpan w:val="2"/>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20" w:type="dxa"/>
            <w:vAlign w:val="bottom"/>
          </w:tcPr>
          <w:p>
            <w:pPr>
              <w:spacing w:after="0"/>
              <w:rPr>
                <w:sz w:val="17"/>
                <w:szCs w:val="17"/>
                <w:color w:val="auto"/>
              </w:rPr>
            </w:pPr>
          </w:p>
        </w:tc>
        <w:tc>
          <w:tcPr>
            <w:tcW w:w="9840" w:type="dxa"/>
            <w:vAlign w:val="bottom"/>
            <w:gridSpan w:val="13"/>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ITEM 4. CONTROLS AND PROCEDURES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22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268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PART II—OTHER INFORMATION</w:t>
              </w:r>
            </w:hyperlink>
          </w:p>
        </w:tc>
        <w:tc>
          <w:tcPr>
            <w:tcW w:w="7380" w:type="dxa"/>
            <w:vAlign w:val="bottom"/>
            <w:gridSpan w:val="8"/>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220" w:type="dxa"/>
            <w:vAlign w:val="bottom"/>
          </w:tcPr>
          <w:p>
            <w:pPr>
              <w:spacing w:after="0"/>
              <w:rPr>
                <w:sz w:val="17"/>
                <w:szCs w:val="17"/>
                <w:color w:val="auto"/>
              </w:rPr>
            </w:pPr>
          </w:p>
        </w:tc>
        <w:tc>
          <w:tcPr>
            <w:tcW w:w="270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ITEM 1. LEGAL PROCEEDINGS</w:t>
              </w:r>
            </w:hyperlink>
          </w:p>
        </w:tc>
        <w:tc>
          <w:tcPr>
            <w:tcW w:w="7140" w:type="dxa"/>
            <w:vAlign w:val="bottom"/>
            <w:gridSpan w:val="7"/>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220" w:type="dxa"/>
            <w:vAlign w:val="bottom"/>
          </w:tcPr>
          <w:p>
            <w:pPr>
              <w:spacing w:after="0"/>
              <w:rPr>
                <w:sz w:val="17"/>
                <w:szCs w:val="17"/>
                <w:color w:val="auto"/>
              </w:rPr>
            </w:pPr>
          </w:p>
        </w:tc>
        <w:tc>
          <w:tcPr>
            <w:tcW w:w="216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9"/>
              </w:rPr>
            </w:pPr>
            <w:hyperlink w:anchor="page36">
              <w:r>
                <w:rPr>
                  <w:rFonts w:ascii="Arial" w:cs="Arial" w:eastAsia="Arial" w:hAnsi="Arial"/>
                  <w:sz w:val="18"/>
                  <w:szCs w:val="18"/>
                  <w:b w:val="1"/>
                  <w:bCs w:val="1"/>
                  <w:color w:val="0000EE"/>
                  <w:w w:val="99"/>
                </w:rPr>
                <w:t>ITEM 1A. RISK FACTORS</w:t>
              </w:r>
            </w:hyperlink>
          </w:p>
        </w:tc>
        <w:tc>
          <w:tcPr>
            <w:tcW w:w="7680" w:type="dxa"/>
            <w:vAlign w:val="bottom"/>
            <w:gridSpan w:val="9"/>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220" w:type="dxa"/>
            <w:vAlign w:val="bottom"/>
          </w:tcPr>
          <w:p>
            <w:pPr>
              <w:spacing w:after="0"/>
              <w:rPr>
                <w:sz w:val="17"/>
                <w:szCs w:val="17"/>
                <w:color w:val="auto"/>
              </w:rPr>
            </w:pPr>
          </w:p>
        </w:tc>
        <w:tc>
          <w:tcPr>
            <w:tcW w:w="9840" w:type="dxa"/>
            <w:vAlign w:val="bottom"/>
            <w:gridSpan w:val="13"/>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ITEM 2. UNREGISTERED SALES OF EQUITY SECURITIES AND USE OF PROCEEDS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2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ITEM 5. OTHER INFORMATION</w:t>
              </w:r>
            </w:hyperlink>
          </w:p>
        </w:tc>
        <w:tc>
          <w:tcPr>
            <w:tcW w:w="4320" w:type="dxa"/>
            <w:vAlign w:val="bottom"/>
            <w:tcBorders>
              <w:top w:val="single" w:sz="8" w:color="0000EE"/>
            </w:tcBorders>
            <w:gridSpan w:val="3"/>
          </w:tcPr>
          <w:p>
            <w:pPr>
              <w:spacing w:after="0"/>
              <w:rPr>
                <w:sz w:val="17"/>
                <w:szCs w:val="17"/>
                <w:color w:val="auto"/>
              </w:rPr>
            </w:pPr>
          </w:p>
        </w:tc>
        <w:tc>
          <w:tcPr>
            <w:tcW w:w="2760" w:type="dxa"/>
            <w:vAlign w:val="bottom"/>
            <w:gridSpan w:val="3"/>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20" w:type="dxa"/>
            <w:vAlign w:val="bottom"/>
          </w:tcPr>
          <w:p>
            <w:pPr>
              <w:spacing w:after="0"/>
              <w:rPr>
                <w:sz w:val="17"/>
                <w:szCs w:val="17"/>
                <w:color w:val="auto"/>
              </w:rPr>
            </w:pPr>
          </w:p>
        </w:tc>
        <w:tc>
          <w:tcPr>
            <w:tcW w:w="9840" w:type="dxa"/>
            <w:vAlign w:val="bottom"/>
            <w:gridSpan w:val="13"/>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ITEM 6. EXHIBITS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EX-12.1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540" w:type="dxa"/>
            <w:vAlign w:val="bottom"/>
          </w:tcPr>
          <w:p>
            <w:pPr>
              <w:spacing w:after="0"/>
              <w:rPr>
                <w:sz w:val="10"/>
                <w:szCs w:val="10"/>
                <w:color w:val="auto"/>
              </w:rPr>
            </w:pPr>
          </w:p>
        </w:tc>
        <w:tc>
          <w:tcPr>
            <w:tcW w:w="8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(unaudited)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178,709</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0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102,205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73,148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Inventory — PINs and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58,520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tcPr>
          <w:p>
            <w:pPr>
              <w:ind w:left="400"/>
              <w:spacing w:after="0" w:line="201" w:lineRule="exact"/>
              <w:rPr>
                <w:sz w:val="20"/>
                <w:szCs w:val="20"/>
                <w:color w:val="auto"/>
              </w:rPr>
            </w:pPr>
            <w:r>
              <w:rPr>
                <w:rFonts w:ascii="Arial" w:cs="Arial" w:eastAsia="Arial" w:hAnsi="Arial"/>
                <w:sz w:val="18"/>
                <w:szCs w:val="18"/>
                <w:color w:val="auto"/>
              </w:rPr>
              <w:t>Trade accounts receivable, net of allowances for doubtful accounts of $15,117 at September 30, 2010 and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ind w:left="600"/>
              <w:spacing w:after="0"/>
              <w:rPr>
                <w:sz w:val="20"/>
                <w:szCs w:val="20"/>
                <w:color w:val="auto"/>
              </w:rPr>
            </w:pPr>
            <w:r>
              <w:rPr>
                <w:rFonts w:ascii="Arial" w:cs="Arial" w:eastAsia="Arial" w:hAnsi="Arial"/>
                <w:sz w:val="18"/>
                <w:szCs w:val="18"/>
                <w:color w:val="auto"/>
              </w:rPr>
              <w:t>$13,909 at December 31, 2009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266,095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282,905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40,391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31,344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8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645,920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Property and equipment, net of accumulated depreciation of $165,542 at September 30, 2010 and $153,255 at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93,673</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518,698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504,650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Acquired intangible assets, net of accumulated amortization of $104,261 at September 30, 2010 and $88,924 at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105,252</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tcPr>
          <w:p>
            <w:pPr>
              <w:spacing w:after="0" w:line="201" w:lineRule="exact"/>
              <w:rPr>
                <w:sz w:val="20"/>
                <w:szCs w:val="20"/>
                <w:color w:val="auto"/>
              </w:rPr>
            </w:pPr>
            <w:r>
              <w:rPr>
                <w:rFonts w:ascii="Arial" w:cs="Arial" w:eastAsia="Arial" w:hAnsi="Arial"/>
                <w:sz w:val="18"/>
                <w:szCs w:val="18"/>
                <w:color w:val="auto"/>
                <w:w w:val="99"/>
              </w:rPr>
              <w:t>Other assets, net of accumulated amortization of $19,786 at September 30, 2010 and $16,866 at 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46,854</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39,903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assets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1,410,397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1,412,679</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LIABILITIES AND EQUITY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00"/>
              <w:spacing w:after="0"/>
              <w:rPr>
                <w:sz w:val="20"/>
                <w:szCs w:val="20"/>
                <w:color w:val="auto"/>
              </w:rPr>
            </w:pPr>
            <w:r>
              <w:rPr>
                <w:rFonts w:ascii="Arial" w:cs="Arial" w:eastAsia="Arial" w:hAnsi="Arial"/>
                <w:sz w:val="18"/>
                <w:szCs w:val="18"/>
                <w:color w:val="auto"/>
              </w:rPr>
              <w:t>Trade accounts payable</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282,674</w:t>
            </w:r>
          </w:p>
        </w:tc>
        <w:tc>
          <w:tcPr>
            <w:tcW w:w="120" w:type="dxa"/>
            <w:vAlign w:val="bottom"/>
          </w:tcPr>
          <w:p>
            <w:pPr>
              <w:spacing w:after="0"/>
              <w:rPr>
                <w:sz w:val="18"/>
                <w:szCs w:val="18"/>
                <w:color w:val="auto"/>
              </w:rPr>
            </w:pP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228,768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196,389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00"/>
              <w:spacing w:after="0"/>
              <w:rPr>
                <w:sz w:val="20"/>
                <w:szCs w:val="20"/>
                <w:color w:val="auto"/>
              </w:rPr>
            </w:pPr>
            <w:r>
              <w:rPr>
                <w:rFonts w:ascii="Arial" w:cs="Arial" w:eastAsia="Arial" w:hAnsi="Arial"/>
                <w:sz w:val="18"/>
                <w:szCs w:val="18"/>
                <w:color w:val="auto"/>
              </w:rPr>
              <w:t>Current portion of capital lease obligations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2,877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00"/>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15,900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509,388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 net of current portion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284,865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Capital lease obligations, net of current portion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25,445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830,372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846,176</w:t>
            </w:r>
          </w:p>
        </w:tc>
        <w:tc>
          <w:tcPr>
            <w:tcW w:w="0" w:type="dxa"/>
            <w:vAlign w:val="bottom"/>
          </w:tcPr>
          <w:p>
            <w:pPr>
              <w:spacing w:after="0"/>
              <w:rPr>
                <w:sz w:val="1"/>
                <w:szCs w:val="1"/>
                <w:color w:val="auto"/>
              </w:rPr>
            </w:pP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Euronet Worldwide, Inc.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0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5"/>
              </w:rPr>
              <w:t>Common Stock, $0.02 par value. 90,000,000 shares authorized; 51,294,128 issued at September 30, 2010 and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51,101,833 issued at December 31, 2009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00"/>
              <w:spacing w:after="0"/>
              <w:rPr>
                <w:sz w:val="20"/>
                <w:szCs w:val="20"/>
                <w:color w:val="auto"/>
              </w:rPr>
            </w:pPr>
            <w:r>
              <w:rPr>
                <w:rFonts w:ascii="Arial" w:cs="Arial" w:eastAsia="Arial" w:hAnsi="Arial"/>
                <w:sz w:val="18"/>
                <w:szCs w:val="18"/>
                <w:color w:val="auto"/>
              </w:rPr>
              <w:t>Additional paid-in-capital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749,178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740,990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Treasury stock, at cost, 480,292 shares at September 30, 2010 and 241,644 shares at December 31, 2009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0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(180,831)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(203,139)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Restricted reserve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40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572,969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558,969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580,025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566,503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800"/>
              <w:spacing w:after="0"/>
              <w:rPr>
                <w:sz w:val="20"/>
                <w:szCs w:val="20"/>
                <w:color w:val="auto"/>
              </w:rPr>
            </w:pPr>
            <w:r>
              <w:rPr>
                <w:rFonts w:ascii="Arial" w:cs="Arial" w:eastAsia="Arial" w:hAnsi="Arial"/>
                <w:sz w:val="18"/>
                <w:szCs w:val="18"/>
                <w:color w:val="auto"/>
              </w:rPr>
              <w:t>Total liabilities and equity</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1,410,397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1,412,679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EFT Processing Segment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49,098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50,939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144,152</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142,737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epay Segment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148,037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153,610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431,106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Money Transfer Segment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63,088</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60,271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179,196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171,008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260,223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264,820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754,454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747,131</w:t>
            </w:r>
          </w:p>
        </w:tc>
        <w:tc>
          <w:tcPr>
            <w:tcW w:w="0" w:type="dxa"/>
            <w:vAlign w:val="bottom"/>
          </w:tcPr>
          <w:p>
            <w:pPr>
              <w:spacing w:after="0"/>
              <w:rPr>
                <w:sz w:val="1"/>
                <w:szCs w:val="1"/>
                <w:color w:val="auto"/>
              </w:rPr>
            </w:pPr>
          </w:p>
        </w:tc>
      </w:tr>
      <w:tr>
        <w:trPr>
          <w:trHeight w:val="439"/>
        </w:trPr>
        <w:tc>
          <w:tcPr>
            <w:tcW w:w="55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167,439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173,493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494,136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35,007</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34,733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98,627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94,414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23,226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20,069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64,269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Goodwill and acquired intangible assets impairment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42,389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40,884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48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239,961</w:t>
            </w:r>
          </w:p>
        </w:tc>
        <w:tc>
          <w:tcPr>
            <w:tcW w:w="60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242,735</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699,421</w:t>
            </w:r>
          </w:p>
        </w:tc>
        <w:tc>
          <w:tcPr>
            <w:tcW w:w="6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697,324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20,262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22,085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55,033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49,807</w:t>
            </w:r>
          </w:p>
        </w:tc>
        <w:tc>
          <w:tcPr>
            <w:tcW w:w="0" w:type="dxa"/>
            <w:vAlign w:val="bottom"/>
          </w:tcPr>
          <w:p>
            <w:pPr>
              <w:spacing w:after="0"/>
              <w:rPr>
                <w:sz w:val="1"/>
                <w:szCs w:val="1"/>
                <w:color w:val="auto"/>
              </w:rPr>
            </w:pPr>
          </w:p>
        </w:tc>
      </w:tr>
      <w:tr>
        <w:trPr>
          <w:trHeight w:val="439"/>
        </w:trPr>
        <w:tc>
          <w:tcPr>
            <w:tcW w:w="55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(5,074)</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(6,042)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(15,059)</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unconsolidated affiliates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Gain on dispute settlement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3,110</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3,110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 of investment securities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Loss on early retirement of debt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exchange gain (loss),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(5,467)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80" w:type="dxa"/>
            <w:vAlign w:val="bottom"/>
          </w:tcPr>
          <w:p>
            <w:pPr>
              <w:ind w:left="60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7,857</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4,593</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(14,423)</w:t>
            </w: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(7,433)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 before income taxes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26,678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40,610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(7,054)</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(8,110)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(17,185)</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(19,824)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21,065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23,425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22,550</w:t>
            </w:r>
          </w:p>
        </w:tc>
        <w:tc>
          <w:tcPr>
            <w:tcW w:w="0" w:type="dxa"/>
            <w:vAlign w:val="bottom"/>
          </w:tcPr>
          <w:p>
            <w:pPr>
              <w:spacing w:after="0"/>
              <w:rPr>
                <w:sz w:val="1"/>
                <w:szCs w:val="1"/>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Discontinued operations, net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452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21,065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23,425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00"/>
              <w:spacing w:after="0"/>
              <w:rPr>
                <w:sz w:val="20"/>
                <w:szCs w:val="20"/>
                <w:color w:val="auto"/>
              </w:rPr>
            </w:pPr>
            <w:r>
              <w:rPr>
                <w:rFonts w:ascii="Arial" w:cs="Arial" w:eastAsia="Arial" w:hAnsi="Arial"/>
                <w:sz w:val="18"/>
                <w:szCs w:val="18"/>
                <w:color w:val="auto"/>
              </w:rPr>
              <w:t>Less: Net income attributable to noncontrolling interests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attributable to Euronet Worldwide, Inc.</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20,965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18,865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22,308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22,111</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w w:val="96"/>
              </w:rPr>
              <w:t>Earnings per share attributable to Euronet Worldwide, Inc. stockholders</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5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 basic:</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50,872,551</w:t>
            </w:r>
          </w:p>
        </w:tc>
        <w:tc>
          <w:tcPr>
            <w:tcW w:w="10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50,560,371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50,862,725</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50,426,113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Earnings per share attributable to Euronet Worldwide, Inc. stockholders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diluted:</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0.41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0.35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0.43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Total</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0.41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0.36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0.43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weighted average shares outstanding</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51,539,150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51,906,902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51,685,713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51,206,363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419" w:right="239" w:bottom="138"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38"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0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21,065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19,020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23,425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23,087</w:t>
            </w:r>
          </w:p>
        </w:tc>
      </w:tr>
      <w:tr>
        <w:trPr>
          <w:trHeight w:val="432"/>
        </w:trPr>
        <w:tc>
          <w:tcPr>
            <w:tcW w:w="58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Translation adjustment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50,448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15,887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(13,183)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34,010</w:t>
            </w:r>
          </w:p>
        </w:tc>
      </w:tr>
      <w:tr>
        <w:trPr>
          <w:trHeight w:val="216"/>
        </w:trPr>
        <w:tc>
          <w:tcPr>
            <w:tcW w:w="5820" w:type="dxa"/>
            <w:vAlign w:val="bottom"/>
          </w:tcPr>
          <w:p>
            <w:pPr>
              <w:ind w:left="220"/>
              <w:spacing w:after="0"/>
              <w:rPr>
                <w:sz w:val="20"/>
                <w:szCs w:val="20"/>
                <w:color w:val="auto"/>
              </w:rPr>
            </w:pPr>
            <w:r>
              <w:rPr>
                <w:rFonts w:ascii="Arial" w:cs="Arial" w:eastAsia="Arial" w:hAnsi="Arial"/>
                <w:sz w:val="18"/>
                <w:szCs w:val="18"/>
                <w:color w:val="auto"/>
              </w:rPr>
              <w:t>Gain on investment securities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1,631</w:t>
            </w:r>
          </w:p>
        </w:tc>
      </w:tr>
      <w:tr>
        <w:trPr>
          <w:trHeight w:val="216"/>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 adjustment related to sale of investment securities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(1,751)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(1,751)</w:t>
            </w:r>
          </w:p>
        </w:tc>
      </w:tr>
      <w:tr>
        <w:trPr>
          <w:trHeight w:val="230"/>
        </w:trPr>
        <w:tc>
          <w:tcPr>
            <w:tcW w:w="5820" w:type="dxa"/>
            <w:vAlign w:val="bottom"/>
          </w:tcPr>
          <w:p>
            <w:pPr>
              <w:ind w:left="220"/>
              <w:spacing w:after="0"/>
              <w:rPr>
                <w:sz w:val="20"/>
                <w:szCs w:val="20"/>
                <w:color w:val="auto"/>
              </w:rPr>
            </w:pPr>
            <w:r>
              <w:rPr>
                <w:rFonts w:ascii="Arial" w:cs="Arial" w:eastAsia="Arial" w:hAnsi="Arial"/>
                <w:sz w:val="18"/>
                <w:szCs w:val="18"/>
                <w:color w:val="auto"/>
              </w:rPr>
              <w:t>Unrealized gain on interest rate swaps</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830</w:t>
            </w:r>
          </w:p>
        </w:tc>
      </w:tr>
      <w:tr>
        <w:trPr>
          <w:trHeight w:val="209"/>
        </w:trPr>
        <w:tc>
          <w:tcPr>
            <w:tcW w:w="5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71,513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33,757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10,242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57,807</w:t>
            </w:r>
          </w:p>
        </w:tc>
      </w:tr>
      <w:tr>
        <w:trPr>
          <w:trHeight w:val="216"/>
        </w:trPr>
        <w:tc>
          <w:tcPr>
            <w:tcW w:w="5820" w:type="dxa"/>
            <w:vAlign w:val="bottom"/>
          </w:tcPr>
          <w:p>
            <w:pPr>
              <w:ind w:left="620"/>
              <w:spacing w:after="0"/>
              <w:rPr>
                <w:sz w:val="20"/>
                <w:szCs w:val="20"/>
                <w:color w:val="auto"/>
              </w:rPr>
            </w:pPr>
            <w:r>
              <w:rPr>
                <w:rFonts w:ascii="Arial" w:cs="Arial" w:eastAsia="Arial" w:hAnsi="Arial"/>
                <w:sz w:val="18"/>
                <w:szCs w:val="18"/>
                <w:color w:val="auto"/>
              </w:rPr>
              <w:t>Comprehensive income attributable to noncontrolling interests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(773)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(658)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(1,367)</w:t>
            </w:r>
          </w:p>
        </w:tc>
      </w:tr>
      <w:tr>
        <w:trPr>
          <w:trHeight w:val="27"/>
        </w:trPr>
        <w:tc>
          <w:tcPr>
            <w:tcW w:w="5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 attributable to Euronet Worldwide, Inc.</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70,740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33,315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9,584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56,440</w:t>
            </w:r>
          </w:p>
        </w:tc>
      </w:tr>
      <w:tr>
        <w:trPr>
          <w:trHeight w:val="20"/>
        </w:trPr>
        <w:tc>
          <w:tcPr>
            <w:tcW w:w="5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2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23,425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23,087</w:t>
            </w:r>
          </w:p>
        </w:tc>
        <w:tc>
          <w:tcPr>
            <w:tcW w:w="0" w:type="dxa"/>
            <w:vAlign w:val="bottom"/>
          </w:tcPr>
          <w:p>
            <w:pPr>
              <w:spacing w:after="0"/>
              <w:rPr>
                <w:sz w:val="1"/>
                <w:szCs w:val="1"/>
                <w:color w:val="auto"/>
              </w:rPr>
            </w:pPr>
          </w:p>
        </w:tc>
      </w:tr>
      <w:tr>
        <w:trPr>
          <w:trHeight w:val="432"/>
        </w:trPr>
        <w:tc>
          <w:tcPr>
            <w:tcW w:w="846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42,389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6,659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foreign exchange (gain) loss, net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Non-cash impairment of goodwill and acquired intangible assets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dispute settlement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Gain on sale of investment securities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Income from unconsolidated affiliates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(1,035)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of convertible debentures discount and amortization of debt issuance costs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Changes in working capital, net of amounts acquired:</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 payable, net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00"/>
              <w:spacing w:after="0"/>
              <w:rPr>
                <w:sz w:val="20"/>
                <w:szCs w:val="20"/>
                <w:color w:val="auto"/>
              </w:rPr>
            </w:pPr>
            <w:r>
              <w:rPr>
                <w:rFonts w:ascii="Arial" w:cs="Arial" w:eastAsia="Arial" w:hAnsi="Arial"/>
                <w:sz w:val="18"/>
                <w:szCs w:val="18"/>
                <w:color w:val="auto"/>
              </w:rPr>
              <w:t>Restricted cash</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(25,481)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Inventory — PINs and other</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38,274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00"/>
              <w:spacing w:after="0"/>
              <w:rPr>
                <w:sz w:val="20"/>
                <w:szCs w:val="20"/>
                <w:color w:val="auto"/>
              </w:rPr>
            </w:pPr>
            <w:r>
              <w:rPr>
                <w:rFonts w:ascii="Arial" w:cs="Arial" w:eastAsia="Arial" w:hAnsi="Arial"/>
                <w:sz w:val="18"/>
                <w:szCs w:val="18"/>
                <w:color w:val="auto"/>
              </w:rPr>
              <w:t>Trade accounts receivable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28,221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00"/>
              <w:spacing w:after="0"/>
              <w:rPr>
                <w:sz w:val="20"/>
                <w:szCs w:val="20"/>
                <w:color w:val="auto"/>
              </w:rPr>
            </w:pPr>
            <w:r>
              <w:rPr>
                <w:rFonts w:ascii="Arial" w:cs="Arial" w:eastAsia="Arial" w:hAnsi="Arial"/>
                <w:sz w:val="18"/>
                <w:szCs w:val="18"/>
                <w:color w:val="auto"/>
              </w:rPr>
              <w:t>Trade accounts payable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29,466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(39,605)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noncurrent assets and liabilities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(9,515)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44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85,765</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117,343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(24,418)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Purchases of other long-term assets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(3,287)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investment securities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2,074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(46,706)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(35,371)</w:t>
            </w:r>
          </w:p>
        </w:tc>
        <w:tc>
          <w:tcPr>
            <w:tcW w:w="0" w:type="dxa"/>
            <w:vAlign w:val="bottom"/>
          </w:tcPr>
          <w:p>
            <w:pPr>
              <w:spacing w:after="0"/>
              <w:rPr>
                <w:sz w:val="1"/>
                <w:szCs w:val="1"/>
                <w:color w:val="auto"/>
              </w:rPr>
            </w:pPr>
          </w:p>
        </w:tc>
      </w:tr>
      <w:tr>
        <w:trPr>
          <w:trHeight w:val="439"/>
        </w:trPr>
        <w:tc>
          <w:tcPr>
            <w:tcW w:w="84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shares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Borrowings from revolving credit agreements classified as non-current liabilities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119,000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revolving credit agreements classified as non-current liabilities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(158,172)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(311,165)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Repayments of long-term debt obligations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(2,727)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capital lease obligations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Cash dividends paid to noncontrolling interests stockholders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(1,676)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40" w:type="dxa"/>
            <w:vAlign w:val="bottom"/>
          </w:tcPr>
          <w:p>
            <w:pPr>
              <w:ind w:left="600"/>
              <w:spacing w:after="0"/>
              <w:rPr>
                <w:sz w:val="20"/>
                <w:szCs w:val="20"/>
                <w:color w:val="auto"/>
              </w:rPr>
            </w:pPr>
            <w:r>
              <w:rPr>
                <w:rFonts w:ascii="Arial" w:cs="Arial" w:eastAsia="Arial" w:hAnsi="Arial"/>
                <w:sz w:val="18"/>
                <w:szCs w:val="18"/>
                <w:color w:val="auto"/>
              </w:rPr>
              <w:t>Net cash used in financing activities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(43,556)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(48,010)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40" w:type="dxa"/>
            <w:vAlign w:val="bottom"/>
          </w:tcPr>
          <w:p>
            <w:pPr>
              <w:ind w:left="600"/>
              <w:spacing w:after="0"/>
              <w:rPr>
                <w:sz w:val="20"/>
                <w:szCs w:val="20"/>
                <w:color w:val="auto"/>
              </w:rPr>
            </w:pPr>
            <w:r>
              <w:rPr>
                <w:rFonts w:ascii="Arial" w:cs="Arial" w:eastAsia="Arial" w:hAnsi="Arial"/>
                <w:sz w:val="18"/>
                <w:szCs w:val="18"/>
                <w:color w:val="auto"/>
              </w:rPr>
              <w:t>Increase (decrease) in cash and cash equivalents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(4,819)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w w:val="97"/>
              </w:rPr>
              <w:t>Cash and cash equivalents at beginning of period (includes cash of discontinued operations of $552 in 2009)</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183,528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181,893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4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 (includes cash of discontinued operations of $1,389 in 2009)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178,709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221,599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Interest paid during the period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6,952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Income taxes paid during the period</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20,056</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23,199</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419" w:right="239" w:bottom="1043"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043"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Euronet Worldwide, Inc. and its subsidiaries (the “Company” or “Euronet”) is an industry leader in processing secure electronic financial transactions in three principal operating segments. Euronet’s EFT Processing Segment provides end-to-end solutions relating to operations of automated teller machine (“ATM”) and point-of-sale (“POS”) networks, and debit and credit card processing in Europe, the Middle East and Asia Pacific. The epay Segment is one of the world’s largest providers of “top-up” services for prepaid products, primarily prepaid mobile airtime, distributing these products in Europe, the Middle East, Asia Pacific, North America and South America. The Money Transfer Segment is comprised primarily of the Company’s RIA Envia, Inc. (“RIA”) subsidiary and its operating subsidiaries, which is one of the largest global money transfer companies based upon revenues and volumes. The Money Transfer Segment provides services through a sending network of agents and Company-owned stores primarily in North America and Europe, disbursing money transfers through a worldwide correspondent network. See Note 9, Segment Information, for additional information about the Company’s operating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of normal interim closing procedures) necessary to present fairly the financial position of the Company as of September 30, 2010, and the results of its operations for the three- and nine-month periods ended September 30, 2010 and 2009 and its cash flows for the nine-month periods ended September 30, 2010 and 2009.</w:t>
      </w:r>
    </w:p>
    <w:p>
      <w:pPr>
        <w:spacing w:after="0" w:line="5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unaudited consolidated financial statements should be read in conjunction with the audited consolidated financial statements of Euronet for the year ended December 31, 2009, including the notes thereto, set forth in the Company’s 2009 Annual Report on Form 10-K.</w:t>
      </w:r>
    </w:p>
    <w:p>
      <w:pPr>
        <w:spacing w:after="0" w:line="3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unaudited consolidated financial statements and accompanying notes. Actual results could differ from those estimates. The results of operations for the three- and nine-month periods ended September 30, 2010 are not necessarily indicative of the results to be expected for the full year ending December 31, 2010. Certain amounts in the prior year have been reclassified to conform to current period presentation.</w:t>
      </w:r>
    </w:p>
    <w:p>
      <w:pPr>
        <w:spacing w:after="0" w:line="167" w:lineRule="exact"/>
        <w:rPr>
          <w:sz w:val="20"/>
          <w:szCs w:val="20"/>
          <w:color w:val="auto"/>
        </w:rPr>
      </w:pPr>
    </w:p>
    <w:p>
      <w:pPr>
        <w:ind w:right="4920"/>
        <w:spacing w:after="0" w:line="378" w:lineRule="auto"/>
        <w:rPr>
          <w:sz w:val="20"/>
          <w:szCs w:val="20"/>
          <w:color w:val="auto"/>
        </w:rPr>
      </w:pPr>
      <w:r>
        <w:rPr>
          <w:rFonts w:ascii="Arial" w:cs="Arial" w:eastAsia="Arial" w:hAnsi="Arial"/>
          <w:sz w:val="18"/>
          <w:szCs w:val="18"/>
          <w:b w:val="1"/>
          <w:bCs w:val="1"/>
          <w:color w:val="auto"/>
        </w:rPr>
        <w:t xml:space="preserve">(2) SUMMARY OF SIGNIFICANT ACCOUNTING POLICIES AND PRACTICES </w:t>
      </w:r>
      <w:r>
        <w:rPr>
          <w:rFonts w:ascii="Arial" w:cs="Arial" w:eastAsia="Arial" w:hAnsi="Arial"/>
          <w:sz w:val="18"/>
          <w:szCs w:val="18"/>
          <w:i w:val="1"/>
          <w:iCs w:val="1"/>
          <w:color w:val="auto"/>
        </w:rPr>
        <w:t>Multiple-deliverable revenue arrangements</w:t>
      </w:r>
    </w:p>
    <w:p>
      <w:pPr>
        <w:ind w:right="120"/>
        <w:spacing w:after="0" w:line="255" w:lineRule="auto"/>
        <w:rPr>
          <w:sz w:val="20"/>
          <w:szCs w:val="20"/>
          <w:color w:val="auto"/>
        </w:rPr>
      </w:pPr>
      <w:r>
        <w:rPr>
          <w:rFonts w:ascii="Arial" w:cs="Arial" w:eastAsia="Arial" w:hAnsi="Arial"/>
          <w:sz w:val="18"/>
          <w:szCs w:val="18"/>
          <w:color w:val="auto"/>
        </w:rPr>
        <w:t xml:space="preserve">Effective January 1, 2010, the Company adopted the provisions of Financial Accounting Standards Board (“FASB”) Accounting Standards Update (“ASU”) 2009-13, </w:t>
      </w:r>
      <w:r>
        <w:rPr>
          <w:rFonts w:ascii="Arial" w:cs="Arial" w:eastAsia="Arial" w:hAnsi="Arial"/>
          <w:sz w:val="18"/>
          <w:szCs w:val="18"/>
          <w:i w:val="1"/>
          <w:iCs w:val="1"/>
          <w:color w:val="auto"/>
        </w:rPr>
        <w:t>Revenue Recognition (Topic 605): Multiple-Deliverable Revenue Arrangements — a consensus of the FASB Emerging Issues Task Force.</w:t>
      </w:r>
      <w:r>
        <w:rPr>
          <w:rFonts w:ascii="Arial" w:cs="Arial" w:eastAsia="Arial" w:hAnsi="Arial"/>
          <w:sz w:val="18"/>
          <w:szCs w:val="18"/>
          <w:color w:val="auto"/>
        </w:rPr>
        <w:t xml:space="preserve"> ASU 2009-13 adds estimated selling price as acceptable evidence of fair value of undelivered products and services in revenue arrangements with multiple deliverables. Estimated selling price can be used if there is no vendor specific objective evidence or third-party evidence of fair value. Additionally, ASU 2009-13 eliminates the use of the residual method of allocating revenue and establishes the relative selling price method as the appropriate means to allocate revenue to each deliverable of an arrangement. The adoption of ASU 2009-13 did not materially affect the Company’s unaudited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Money transfer settlement obligations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Money transfer settlement obligations are recorded in accrued expenses and other current liabilities on the Company’s unaudited Consolidated Balance Sheets and consist of amounts owed by Euronet to money transfer recipients. As of September 30, 2010, the Company’s money transfer settlement obligations were $33.2 million.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any potential dilution of the assumed conversion of the Company’s convertible debentures, shares issuable in connection with acquisition obligations, restricted stock and options to purchase the Company’s common stock. The following table provides the computation of diluted weighted average number of common shares outstanding: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0" w:type="dxa"/>
            <w:vAlign w:val="bottom"/>
            <w:gridSpan w:val="7"/>
          </w:tcPr>
          <w:p>
            <w:pPr>
              <w:jc w:val="right"/>
              <w:ind w:right="9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center"/>
              <w:ind w:right="1080"/>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1100"/>
              <w:spacing w:after="0"/>
              <w:rPr>
                <w:sz w:val="20"/>
                <w:szCs w:val="20"/>
                <w:color w:val="auto"/>
              </w:rPr>
            </w:pPr>
            <w:r>
              <w:rPr>
                <w:rFonts w:ascii="Arial" w:cs="Arial" w:eastAsia="Arial" w:hAnsi="Arial"/>
                <w:sz w:val="14"/>
                <w:szCs w:val="14"/>
                <w:b w:val="1"/>
                <w:bCs w:val="1"/>
                <w:color w:val="auto"/>
                <w:w w:val="89"/>
              </w:rPr>
              <w:t>September 30,</w:t>
            </w:r>
          </w:p>
        </w:tc>
      </w:tr>
      <w:tr>
        <w:trPr>
          <w:trHeight w:val="142"/>
        </w:trPr>
        <w:tc>
          <w:tcPr>
            <w:tcW w:w="4860" w:type="dxa"/>
            <w:vAlign w:val="bottom"/>
          </w:tcPr>
          <w:p>
            <w:pPr>
              <w:spacing w:after="0"/>
              <w:rPr>
                <w:sz w:val="12"/>
                <w:szCs w:val="12"/>
                <w:color w:val="auto"/>
              </w:rPr>
            </w:pPr>
          </w:p>
        </w:tc>
        <w:tc>
          <w:tcPr>
            <w:tcW w:w="1080" w:type="dxa"/>
            <w:vAlign w:val="bottom"/>
            <w:gridSpan w:val="2"/>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1740" w:type="dxa"/>
            <w:vAlign w:val="bottom"/>
            <w:gridSpan w:val="4"/>
          </w:tcPr>
          <w:p>
            <w:pPr>
              <w:jc w:val="right"/>
              <w:ind w:right="170"/>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tcPr>
          <w:p>
            <w:pPr>
              <w:jc w:val="right"/>
              <w:ind w:right="179"/>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1720" w:type="dxa"/>
            <w:vAlign w:val="bottom"/>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w w:val="98"/>
              </w:rPr>
              <w:t>Computation of diluted weighted average shares outstanding:</w:t>
            </w: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r>
      <w:tr>
        <w:trPr>
          <w:trHeight w:val="216"/>
        </w:trPr>
        <w:tc>
          <w:tcPr>
            <w:tcW w:w="4860" w:type="dxa"/>
            <w:vAlign w:val="bottom"/>
          </w:tcPr>
          <w:p>
            <w:pPr>
              <w:ind w:left="220"/>
              <w:spacing w:after="0"/>
              <w:rPr>
                <w:sz w:val="20"/>
                <w:szCs w:val="20"/>
                <w:color w:val="auto"/>
              </w:rPr>
            </w:pPr>
            <w:r>
              <w:rPr>
                <w:rFonts w:ascii="Arial" w:cs="Arial" w:eastAsia="Arial" w:hAnsi="Arial"/>
                <w:sz w:val="18"/>
                <w:szCs w:val="18"/>
                <w:color w:val="auto"/>
              </w:rPr>
              <w:t>Basic weighted average shares outstanding</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50,872,551</w:t>
            </w:r>
          </w:p>
        </w:tc>
        <w:tc>
          <w:tcPr>
            <w:tcW w:w="2000" w:type="dxa"/>
            <w:vAlign w:val="bottom"/>
            <w:gridSpan w:val="5"/>
          </w:tcPr>
          <w:p>
            <w:pPr>
              <w:jc w:val="right"/>
              <w:ind w:right="260"/>
              <w:spacing w:after="0"/>
              <w:rPr>
                <w:sz w:val="20"/>
                <w:szCs w:val="20"/>
                <w:color w:val="auto"/>
              </w:rPr>
            </w:pPr>
            <w:r>
              <w:rPr>
                <w:rFonts w:ascii="Arial" w:cs="Arial" w:eastAsia="Arial" w:hAnsi="Arial"/>
                <w:sz w:val="18"/>
                <w:szCs w:val="18"/>
                <w:color w:val="auto"/>
              </w:rPr>
              <w:t>50,560,371</w:t>
            </w:r>
          </w:p>
        </w:tc>
        <w:tc>
          <w:tcPr>
            <w:tcW w:w="1500" w:type="dxa"/>
            <w:vAlign w:val="bottom"/>
            <w:gridSpan w:val="4"/>
          </w:tcPr>
          <w:p>
            <w:pPr>
              <w:jc w:val="right"/>
              <w:ind w:right="20"/>
              <w:spacing w:after="0"/>
              <w:rPr>
                <w:sz w:val="20"/>
                <w:szCs w:val="20"/>
                <w:color w:val="auto"/>
              </w:rPr>
            </w:pPr>
            <w:r>
              <w:rPr>
                <w:rFonts w:ascii="Arial" w:cs="Arial" w:eastAsia="Arial" w:hAnsi="Arial"/>
                <w:sz w:val="18"/>
                <w:szCs w:val="18"/>
                <w:color w:val="auto"/>
              </w:rPr>
              <w:t>50,862,725</w:t>
            </w:r>
          </w:p>
        </w:tc>
        <w:tc>
          <w:tcPr>
            <w:tcW w:w="1980" w:type="dxa"/>
            <w:vAlign w:val="bottom"/>
            <w:gridSpan w:val="5"/>
          </w:tcPr>
          <w:p>
            <w:pPr>
              <w:jc w:val="right"/>
              <w:ind w:right="260"/>
              <w:spacing w:after="0"/>
              <w:rPr>
                <w:sz w:val="20"/>
                <w:szCs w:val="20"/>
                <w:color w:val="auto"/>
              </w:rPr>
            </w:pPr>
            <w:r>
              <w:rPr>
                <w:rFonts w:ascii="Arial" w:cs="Arial" w:eastAsia="Arial" w:hAnsi="Arial"/>
                <w:sz w:val="18"/>
                <w:szCs w:val="18"/>
                <w:color w:val="auto"/>
              </w:rPr>
              <w:t>50,426,113</w:t>
            </w:r>
          </w:p>
        </w:tc>
      </w:tr>
      <w:tr>
        <w:trPr>
          <w:trHeight w:val="202"/>
        </w:trPr>
        <w:tc>
          <w:tcPr>
            <w:tcW w:w="48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Incremental shares from assumed conversion of stock</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and restricted stock</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666,599</w:t>
            </w:r>
          </w:p>
        </w:tc>
        <w:tc>
          <w:tcPr>
            <w:tcW w:w="920" w:type="dxa"/>
            <w:vAlign w:val="bottom"/>
            <w:gridSpan w:val="3"/>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1,346,531</w:t>
            </w:r>
          </w:p>
        </w:tc>
        <w:tc>
          <w:tcPr>
            <w:tcW w:w="2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822,988</w:t>
            </w:r>
          </w:p>
        </w:tc>
        <w:tc>
          <w:tcPr>
            <w:tcW w:w="198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780,250</w:t>
            </w:r>
          </w:p>
        </w:tc>
      </w:tr>
      <w:tr>
        <w:trPr>
          <w:trHeight w:val="20"/>
        </w:trPr>
        <w:tc>
          <w:tcPr>
            <w:tcW w:w="4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39"/>
        </w:trPr>
        <w:tc>
          <w:tcPr>
            <w:tcW w:w="4860" w:type="dxa"/>
            <w:vAlign w:val="bottom"/>
          </w:tcPr>
          <w:p>
            <w:pPr>
              <w:ind w:left="220"/>
              <w:spacing w:after="0"/>
              <w:rPr>
                <w:sz w:val="20"/>
                <w:szCs w:val="20"/>
                <w:color w:val="auto"/>
              </w:rPr>
            </w:pPr>
            <w:r>
              <w:rPr>
                <w:rFonts w:ascii="Arial" w:cs="Arial" w:eastAsia="Arial" w:hAnsi="Arial"/>
                <w:sz w:val="18"/>
                <w:szCs w:val="18"/>
                <w:color w:val="auto"/>
              </w:rPr>
              <w:t>Diluted weighted average shares outstanding</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51,539,150</w:t>
            </w:r>
          </w:p>
        </w:tc>
        <w:tc>
          <w:tcPr>
            <w:tcW w:w="920" w:type="dxa"/>
            <w:vAlign w:val="bottom"/>
            <w:gridSpan w:val="3"/>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51,906,902</w:t>
            </w:r>
          </w:p>
        </w:tc>
        <w:tc>
          <w:tcPr>
            <w:tcW w:w="260" w:type="dxa"/>
            <w:vAlign w:val="bottom"/>
          </w:tcPr>
          <w:p>
            <w:pPr>
              <w:spacing w:after="0"/>
              <w:rPr>
                <w:sz w:val="24"/>
                <w:szCs w:val="24"/>
                <w:color w:val="auto"/>
              </w:rPr>
            </w:pPr>
          </w:p>
        </w:tc>
        <w:tc>
          <w:tcPr>
            <w:tcW w:w="1500" w:type="dxa"/>
            <w:vAlign w:val="bottom"/>
            <w:gridSpan w:val="4"/>
          </w:tcPr>
          <w:p>
            <w:pPr>
              <w:jc w:val="right"/>
              <w:ind w:right="20"/>
              <w:spacing w:after="0"/>
              <w:rPr>
                <w:sz w:val="20"/>
                <w:szCs w:val="20"/>
                <w:color w:val="auto"/>
              </w:rPr>
            </w:pPr>
            <w:r>
              <w:rPr>
                <w:rFonts w:ascii="Arial" w:cs="Arial" w:eastAsia="Arial" w:hAnsi="Arial"/>
                <w:sz w:val="18"/>
                <w:szCs w:val="18"/>
                <w:color w:val="auto"/>
              </w:rPr>
              <w:t>51,685,713</w:t>
            </w:r>
          </w:p>
        </w:tc>
        <w:tc>
          <w:tcPr>
            <w:tcW w:w="1980" w:type="dxa"/>
            <w:vAlign w:val="bottom"/>
            <w:gridSpan w:val="5"/>
          </w:tcPr>
          <w:p>
            <w:pPr>
              <w:jc w:val="right"/>
              <w:ind w:right="260"/>
              <w:spacing w:after="0"/>
              <w:rPr>
                <w:sz w:val="20"/>
                <w:szCs w:val="20"/>
                <w:color w:val="auto"/>
              </w:rPr>
            </w:pPr>
            <w:r>
              <w:rPr>
                <w:rFonts w:ascii="Arial" w:cs="Arial" w:eastAsia="Arial" w:hAnsi="Arial"/>
                <w:sz w:val="18"/>
                <w:szCs w:val="18"/>
                <w:color w:val="auto"/>
              </w:rPr>
              <w:t>51,206,363</w:t>
            </w:r>
          </w:p>
        </w:tc>
      </w:tr>
      <w:tr>
        <w:trPr>
          <w:trHeight w:val="20"/>
        </w:trPr>
        <w:tc>
          <w:tcPr>
            <w:tcW w:w="4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table includes all stock options and restricted stock that are dilutive to Euronet’s weighted average common shares outstanding during the period. The calculation of diluted earnings per share excludes stock options or shares of restricted stock that are anti-dilutive to the Company’s weighted average common shares outstanding of approximately 2,360,000 and 2,350,000 for the three- and nine-month periods ended September 30, 2010, respectively, and of approximately 954,000 and 1,878,000 for the three- and nine-month periods ended September 30, 2009, respectively.</w:t>
      </w:r>
    </w:p>
    <w:p>
      <w:pPr>
        <w:spacing w:after="0" w:line="6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The Company has convertible debentures that, if converted, would have a potentially dilutive effect on the Company’s stock. As required by Accounting Standards Codification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if dilutive, the impact of the contingently issuable shares must be included in the calculation of diluted earnings per share under the “if-converted” method, regardless of whether the conditions upon which the debentures would be convertible into shares of the Company’s common stock have been met. The Company’s 3.50% debentures are convertible into 4.3 million shares of common stock only upon the occurrence of certain conditions. Under the if-converted method, the assumed conversion of the 3.50% debentures was anti-dilutive for the three- and nine-month periods ended September 30, 2010 and 2009. The Company’s remaining 1.625% convertible debentures outstanding were repurchased in January 2010 and the assumed conversion of the then-outstanding debentures was anti-dilutive for the nine-month period ended September 30, 2010 and for the three- and nine-month periods ended September 30, 2009.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Effective September 1, 2010, the Company acquired 98.8% of the common stock of Telecomnet, Inc. and its wholly-owned Brazilian operating subsidiary, which expands the Company’s epay operations into South America. The purchase price of approximately $44.5 million consists of $39.5 million paid from cash on hand and the $5.0 million fair value of contingent consideration. Pursuant to the terms of the Share Purchase and Sale Agreement, the Company may be required to pay the sellers additional consideration contingent upon the level of earnings achieved by Telecomnet, Inc. for 2010. Additionally, $4.9 million in cash is being held in escrow to secure certain obligations of the sellers under the Share Purchase and Sale Agreement. As of October 29, 2010, the Company executed a short-form merger, which effectively increased its ownership percentage to 100%. In the third quarter of 2010, the Company also acquired the net assets of a U.S.-based money transfer company for approximately $1.0 million in cash. The following table summarizes the fair values of the acquired net assets at the respective acquisition dates, which remain preliminary while management completes its valuation of the fair values of the net assets acquired: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8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168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1"/>
              </w:rPr>
              <w:t>Estimated Life</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80" w:type="dxa"/>
            <w:vAlign w:val="bottom"/>
          </w:tcPr>
          <w:p>
            <w:pPr>
              <w:spacing w:after="0"/>
              <w:rPr>
                <w:sz w:val="18"/>
                <w:szCs w:val="18"/>
                <w:color w:val="auto"/>
              </w:rPr>
            </w:pPr>
          </w:p>
        </w:tc>
        <w:tc>
          <w:tcPr>
            <w:tcW w:w="1680" w:type="dxa"/>
            <w:vAlign w:val="bottom"/>
            <w:gridSpan w:val="3"/>
          </w:tcPr>
          <w:p>
            <w:pPr>
              <w:jc w:val="center"/>
              <w:ind w:right="680"/>
              <w:spacing w:after="0"/>
              <w:rPr>
                <w:sz w:val="20"/>
                <w:szCs w:val="20"/>
                <w:color w:val="auto"/>
              </w:rPr>
            </w:pPr>
            <w:r>
              <w:rPr>
                <w:rFonts w:ascii="Arial" w:cs="Arial" w:eastAsia="Arial" w:hAnsi="Arial"/>
                <w:sz w:val="18"/>
                <w:szCs w:val="18"/>
                <w:color w:val="auto"/>
                <w:w w:val="89"/>
              </w:rPr>
              <w:t>3 - 5 years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3,564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center"/>
              <w:ind w:right="680"/>
              <w:spacing w:after="0"/>
              <w:rPr>
                <w:sz w:val="20"/>
                <w:szCs w:val="20"/>
                <w:color w:val="auto"/>
              </w:rPr>
            </w:pPr>
            <w:r>
              <w:rPr>
                <w:rFonts w:ascii="Arial" w:cs="Arial" w:eastAsia="Arial" w:hAnsi="Arial"/>
                <w:sz w:val="18"/>
                <w:szCs w:val="18"/>
                <w:color w:val="auto"/>
                <w:w w:val="88"/>
              </w:rPr>
              <w:t>8 years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580" w:type="dxa"/>
            <w:vAlign w:val="bottom"/>
          </w:tcPr>
          <w:p>
            <w:pPr>
              <w:spacing w:after="0"/>
              <w:rPr>
                <w:sz w:val="18"/>
                <w:szCs w:val="18"/>
                <w:color w:val="auto"/>
              </w:rPr>
            </w:pPr>
          </w:p>
        </w:tc>
        <w:tc>
          <w:tcPr>
            <w:tcW w:w="1680" w:type="dxa"/>
            <w:vAlign w:val="bottom"/>
            <w:gridSpan w:val="3"/>
          </w:tcPr>
          <w:p>
            <w:pPr>
              <w:jc w:val="center"/>
              <w:ind w:right="680"/>
              <w:spacing w:after="0"/>
              <w:rPr>
                <w:sz w:val="20"/>
                <w:szCs w:val="20"/>
                <w:color w:val="auto"/>
              </w:rPr>
            </w:pPr>
            <w:r>
              <w:rPr>
                <w:rFonts w:ascii="Arial" w:cs="Arial" w:eastAsia="Arial" w:hAnsi="Arial"/>
                <w:sz w:val="18"/>
                <w:szCs w:val="18"/>
                <w:color w:val="auto"/>
                <w:w w:val="88"/>
              </w:rPr>
              <w:t>2 years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center"/>
              <w:ind w:right="680"/>
              <w:spacing w:after="0"/>
              <w:rPr>
                <w:sz w:val="20"/>
                <w:szCs w:val="20"/>
                <w:color w:val="auto"/>
              </w:rPr>
            </w:pPr>
            <w:r>
              <w:rPr>
                <w:rFonts w:ascii="Arial" w:cs="Arial" w:eastAsia="Arial" w:hAnsi="Arial"/>
                <w:sz w:val="18"/>
                <w:szCs w:val="18"/>
                <w:color w:val="auto"/>
                <w:w w:val="88"/>
              </w:rPr>
              <w:t>2 years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Goodwill</w:t>
            </w:r>
          </w:p>
        </w:tc>
        <w:tc>
          <w:tcPr>
            <w:tcW w:w="580" w:type="dxa"/>
            <w:vAlign w:val="bottom"/>
          </w:tcPr>
          <w:p>
            <w:pPr>
              <w:spacing w:after="0"/>
              <w:rPr>
                <w:sz w:val="18"/>
                <w:szCs w:val="18"/>
                <w:color w:val="auto"/>
              </w:rPr>
            </w:pPr>
          </w:p>
        </w:tc>
        <w:tc>
          <w:tcPr>
            <w:tcW w:w="1680" w:type="dxa"/>
            <w:vAlign w:val="bottom"/>
            <w:gridSpan w:val="3"/>
          </w:tcPr>
          <w:p>
            <w:pPr>
              <w:jc w:val="center"/>
              <w:ind w:right="660"/>
              <w:spacing w:after="0"/>
              <w:rPr>
                <w:sz w:val="20"/>
                <w:szCs w:val="20"/>
                <w:color w:val="auto"/>
              </w:rPr>
            </w:pPr>
            <w:r>
              <w:rPr>
                <w:rFonts w:ascii="Arial" w:cs="Arial" w:eastAsia="Arial" w:hAnsi="Arial"/>
                <w:sz w:val="18"/>
                <w:szCs w:val="18"/>
                <w:color w:val="auto"/>
                <w:w w:val="95"/>
              </w:rPr>
              <w:t>Indefinite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25,871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Fair value of assets</w:t>
            </w: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(24,010)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Deferred income tax liability</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439"/>
        </w:trPr>
        <w:tc>
          <w:tcPr>
            <w:tcW w:w="8480" w:type="dxa"/>
            <w:vAlign w:val="bottom"/>
            <w:gridSpan w:val="2"/>
          </w:tcPr>
          <w:p>
            <w:pPr>
              <w:spacing w:after="0"/>
              <w:rPr>
                <w:sz w:val="20"/>
                <w:szCs w:val="20"/>
                <w:color w:val="auto"/>
              </w:rPr>
            </w:pPr>
            <w:r>
              <w:rPr>
                <w:rFonts w:ascii="Arial" w:cs="Arial" w:eastAsia="Arial" w:hAnsi="Arial"/>
                <w:sz w:val="18"/>
                <w:szCs w:val="18"/>
                <w:color w:val="auto"/>
              </w:rPr>
              <w:t>Fair value of net assets</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45,970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
        </w:trPr>
        <w:tc>
          <w:tcPr>
            <w:tcW w:w="848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48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22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45,432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dispute settlement</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the third quarter of 2010, the Company reached a settlement regarding a dispute with the sellers of RIA Envia, Inc. (“RIA”). The Company received 226,634 shares of Euronet stock that had been held in escrow related to the RIA acquisition. The $3.5 million fair value of the shares on the date of settlement was recorded as an addition to treasury stock and $3.1 million, net of settlement costs, was recorded as a non-operating gain.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121"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During the fourth quarter of 2009, the Company sold Euronet Essentis Limited (“Essentis”), a U.K. software entity, in order to focus its investments and resources on its transaction processing businesses. Accordingly, Essentis’s results of operations are shown as discontinued operations in the unaudited Consolidated Statements of Income. Previously, Essentis’s results were reported in the EFT Processing Segment. The segment results in Note 9, Segment Information, also reflect the classification of Essentis’s results in discontinued operations. The following amounts related to Essentis have been segregated from continuing operations and reported as discontinued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500" w:type="dxa"/>
            <w:vAlign w:val="bottom"/>
          </w:tcPr>
          <w:p>
            <w:pPr>
              <w:spacing w:after="0"/>
              <w:rPr>
                <w:sz w:val="14"/>
                <w:szCs w:val="14"/>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8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9"/>
              </w:rPr>
              <w:t>September 30, 2009</w:t>
            </w:r>
          </w:p>
        </w:tc>
        <w:tc>
          <w:tcPr>
            <w:tcW w:w="500" w:type="dxa"/>
            <w:vAlign w:val="bottom"/>
          </w:tcPr>
          <w:p>
            <w:pPr>
              <w:spacing w:after="0"/>
              <w:rPr>
                <w:sz w:val="14"/>
                <w:szCs w:val="14"/>
                <w:color w:val="auto"/>
              </w:rPr>
            </w:pPr>
          </w:p>
        </w:tc>
        <w:tc>
          <w:tcPr>
            <w:tcW w:w="14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9"/>
              </w:rPr>
              <w:t>September 30, 2009</w:t>
            </w:r>
          </w:p>
        </w:tc>
      </w:tr>
      <w:tr>
        <w:trPr>
          <w:trHeight w:val="210"/>
        </w:trPr>
        <w:tc>
          <w:tcPr>
            <w:tcW w:w="20" w:type="dxa"/>
            <w:vAlign w:val="bottom"/>
          </w:tcPr>
          <w:p>
            <w:pPr>
              <w:spacing w:after="0"/>
              <w:rPr>
                <w:sz w:val="18"/>
                <w:szCs w:val="18"/>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84"/>
              </w:rPr>
              <w:t>2,288</w:t>
            </w:r>
          </w:p>
        </w:tc>
        <w:tc>
          <w:tcPr>
            <w:tcW w:w="5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84"/>
              </w:rPr>
              <w:t>5,547</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10"/>
              <w:spacing w:after="0"/>
              <w:rPr>
                <w:sz w:val="20"/>
                <w:szCs w:val="20"/>
                <w:color w:val="auto"/>
              </w:rPr>
            </w:pPr>
            <w:r>
              <w:rPr>
                <w:rFonts w:ascii="Arial" w:cs="Arial" w:eastAsia="Arial" w:hAnsi="Arial"/>
                <w:sz w:val="18"/>
                <w:szCs w:val="18"/>
                <w:color w:val="auto"/>
              </w:rPr>
              <w:t>646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30"/>
              <w:spacing w:after="0"/>
              <w:rPr>
                <w:sz w:val="20"/>
                <w:szCs w:val="20"/>
                <w:color w:val="auto"/>
              </w:rPr>
            </w:pPr>
            <w:r>
              <w:rPr>
                <w:rFonts w:ascii="Arial" w:cs="Arial" w:eastAsia="Arial" w:hAnsi="Arial"/>
                <w:sz w:val="18"/>
                <w:szCs w:val="18"/>
                <w:color w:val="auto"/>
              </w:rPr>
              <w:t>765</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452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537</w:t>
            </w:r>
          </w:p>
        </w:tc>
      </w:tr>
      <w:tr>
        <w:trPr>
          <w:trHeight w:val="405"/>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700" w:type="dxa"/>
            <w:vAlign w:val="bottom"/>
          </w:tcPr>
          <w:p>
            <w:pPr>
              <w:jc w:val="right"/>
              <w:ind w:right="1710"/>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nine-month period ended September 30, 2010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5"/>
              </w:rPr>
              <w:t>Acquired</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Intangible</w:t>
            </w: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Goodwill</w:t>
            </w:r>
          </w:p>
        </w:tc>
        <w:tc>
          <w:tcPr>
            <w:tcW w:w="3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Intangible</w:t>
            </w:r>
          </w:p>
        </w:tc>
        <w:tc>
          <w:tcPr>
            <w:tcW w:w="0" w:type="dxa"/>
            <w:vAlign w:val="bottom"/>
          </w:tcPr>
          <w:p>
            <w:pPr>
              <w:spacing w:after="0"/>
              <w:rPr>
                <w:sz w:val="1"/>
                <w:szCs w:val="1"/>
                <w:color w:val="auto"/>
              </w:rPr>
            </w:pPr>
          </w:p>
        </w:tc>
      </w:tr>
      <w:tr>
        <w:trPr>
          <w:trHeight w:val="171"/>
        </w:trPr>
        <w:tc>
          <w:tcPr>
            <w:tcW w:w="72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2"/>
              </w:rPr>
              <w:t>Assets</w:t>
            </w:r>
          </w:p>
        </w:tc>
        <w:tc>
          <w:tcPr>
            <w:tcW w:w="10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$ 112,948</w:t>
            </w: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$ 504,650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$ 617,598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Increases (decreases):</w:t>
            </w: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12,719</w:t>
            </w: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25,871</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960" w:type="dxa"/>
            <w:vAlign w:val="bottom"/>
            <w:gridSpan w:val="3"/>
          </w:tcPr>
          <w:p>
            <w:pPr>
              <w:jc w:val="right"/>
              <w:ind w:right="620"/>
              <w:spacing w:after="0"/>
              <w:rPr>
                <w:sz w:val="20"/>
                <w:szCs w:val="20"/>
                <w:color w:val="auto"/>
              </w:rPr>
            </w:pPr>
            <w:r>
              <w:rPr>
                <w:rFonts w:ascii="Arial" w:cs="Arial" w:eastAsia="Arial" w:hAnsi="Arial"/>
                <w:sz w:val="18"/>
                <w:szCs w:val="18"/>
                <w:color w:val="auto"/>
              </w:rPr>
              <w:t>(17,066)</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(17,066)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(primarily changes in foreign currency exchange rates)</w:t>
            </w:r>
          </w:p>
        </w:tc>
        <w:tc>
          <w:tcPr>
            <w:tcW w:w="5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(3,349)</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(11,823)</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(15,172)</w:t>
            </w:r>
          </w:p>
        </w:tc>
        <w:tc>
          <w:tcPr>
            <w:tcW w:w="0" w:type="dxa"/>
            <w:vAlign w:val="bottom"/>
          </w:tcPr>
          <w:p>
            <w:pPr>
              <w:spacing w:after="0"/>
              <w:rPr>
                <w:sz w:val="1"/>
                <w:szCs w:val="1"/>
                <w:color w:val="auto"/>
              </w:rPr>
            </w:pPr>
          </w:p>
        </w:tc>
      </w:tr>
      <w:tr>
        <w:trPr>
          <w:trHeight w:val="20"/>
        </w:trPr>
        <w:tc>
          <w:tcPr>
            <w:tcW w:w="7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80" w:type="dxa"/>
            <w:vAlign w:val="bottom"/>
            <w:gridSpan w:val="2"/>
          </w:tcPr>
          <w:p>
            <w:pPr>
              <w:spacing w:after="0"/>
              <w:rPr>
                <w:sz w:val="20"/>
                <w:szCs w:val="20"/>
                <w:color w:val="auto"/>
              </w:rPr>
            </w:pPr>
            <w:r>
              <w:rPr>
                <w:rFonts w:ascii="Arial" w:cs="Arial" w:eastAsia="Arial" w:hAnsi="Arial"/>
                <w:sz w:val="18"/>
                <w:szCs w:val="18"/>
                <w:color w:val="auto"/>
              </w:rPr>
              <w:t>Balance as of September 30, 2010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$ 105,252</w:t>
            </w:r>
          </w:p>
        </w:tc>
        <w:tc>
          <w:tcPr>
            <w:tcW w:w="68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$ 518,698</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$ 623,950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Estimated annual amortization expense on intangible assets with finite lives, before income taxes, as of September 30, 2010, is expected to total $23.4 million for 2010, $21.4 million for 2011, $18.8 million for 2012, $14.0 million for 2013, $11.2 million for 2014 and $6.1 million for 2015.</w:t>
      </w:r>
    </w:p>
    <w:p>
      <w:pPr>
        <w:spacing w:after="0" w:line="38"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Company’s annual goodwill impairment test is performed during the fourth quarter. The Company’s annual impairment test for the year ended December 31, 2008 resulted in the Company recording an estimated non-cash goodwill impairment charge of $219.8 million in the fourth quarter of 2008 related to its RIA money transfer business and its Spanish prepaid business. The Company completed the impairment testing in the first quarter of 2009 and recorded an additional non-cash goodwill impairment charge of $8.8 million and a $1.1 million non-cash impairment charge related to a money transfer intangible asset in the first quarter of 2009. The annual impairment test completed in the fourth quarter of 2009 resulted in no impairment charges.</w:t>
      </w:r>
    </w:p>
    <w:p>
      <w:pPr>
        <w:spacing w:after="0" w:line="50"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estimates or assumptions could change, which may result in the Company recording additional material non-cash impairment charges during the year in which these changes take place.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obligation activity for the nine-month period ended September 30, 2010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92"/>
              </w:rPr>
              <w:t>Revolving</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1.625%</w:t>
            </w:r>
          </w:p>
        </w:tc>
        <w:tc>
          <w:tcPr>
            <w:tcW w:w="300" w:type="dxa"/>
            <w:vAlign w:val="bottom"/>
          </w:tcPr>
          <w:p>
            <w:pPr>
              <w:spacing w:after="0"/>
              <w:rPr>
                <w:sz w:val="14"/>
                <w:szCs w:val="14"/>
                <w:color w:val="auto"/>
              </w:rPr>
            </w:pPr>
          </w:p>
        </w:tc>
        <w:tc>
          <w:tcPr>
            <w:tcW w:w="980" w:type="dxa"/>
            <w:vAlign w:val="bottom"/>
            <w:gridSpan w:val="2"/>
          </w:tcPr>
          <w:p>
            <w:pPr>
              <w:jc w:val="center"/>
              <w:ind w:left="174"/>
              <w:spacing w:after="0"/>
              <w:rPr>
                <w:sz w:val="20"/>
                <w:szCs w:val="20"/>
                <w:color w:val="auto"/>
              </w:rPr>
            </w:pPr>
            <w:r>
              <w:rPr>
                <w:rFonts w:ascii="Arial" w:cs="Arial" w:eastAsia="Arial" w:hAnsi="Arial"/>
                <w:sz w:val="14"/>
                <w:szCs w:val="14"/>
                <w:b w:val="1"/>
                <w:bCs w:val="1"/>
                <w:color w:val="auto"/>
              </w:rPr>
              <w:t>3.50%</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Debt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Convertible</w:t>
            </w:r>
          </w:p>
        </w:tc>
        <w:tc>
          <w:tcPr>
            <w:tcW w:w="2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Credit</w:t>
            </w:r>
          </w:p>
        </w:tc>
        <w:tc>
          <w:tcPr>
            <w:tcW w:w="10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26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Debentures</w:t>
            </w:r>
          </w:p>
        </w:tc>
        <w:tc>
          <w:tcPr>
            <w:tcW w:w="280" w:type="dxa"/>
            <w:vAlign w:val="bottom"/>
          </w:tcPr>
          <w:p>
            <w:pPr>
              <w:spacing w:after="0"/>
              <w:rPr>
                <w:sz w:val="12"/>
                <w:szCs w:val="12"/>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2"/>
              </w:rPr>
              <w:t>Term Loan</w:t>
            </w:r>
          </w:p>
        </w:tc>
        <w:tc>
          <w:tcPr>
            <w:tcW w:w="240" w:type="dxa"/>
            <w:vAlign w:val="bottom"/>
          </w:tcPr>
          <w:p>
            <w:pPr>
              <w:spacing w:after="0"/>
              <w:rPr>
                <w:sz w:val="12"/>
                <w:szCs w:val="12"/>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4"/>
                <w:szCs w:val="14"/>
                <w:color w:val="auto"/>
              </w:rPr>
            </w:pPr>
          </w:p>
        </w:tc>
        <w:tc>
          <w:tcPr>
            <w:tcW w:w="12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0"/>
              </w:rPr>
              <w:t>Facilities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Obligations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Leases</w:t>
            </w:r>
          </w:p>
        </w:tc>
        <w:tc>
          <w:tcPr>
            <w:tcW w:w="240" w:type="dxa"/>
            <w:vAlign w:val="bottom"/>
          </w:tcPr>
          <w:p>
            <w:pPr>
              <w:spacing w:after="0"/>
              <w:rPr>
                <w:sz w:val="14"/>
                <w:szCs w:val="14"/>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Due 2024</w:t>
            </w:r>
          </w:p>
        </w:tc>
        <w:tc>
          <w:tcPr>
            <w:tcW w:w="26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Due 2025</w:t>
            </w:r>
          </w:p>
        </w:tc>
        <w:tc>
          <w:tcPr>
            <w:tcW w:w="2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39,164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4,507</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1,227</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$ 153,927</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$ 129,000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$ 327,917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Increases (decreases):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borrowings (repayments)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(39,172)</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(1,227)</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(1,500)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Accretion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5,250</w:t>
            </w:r>
          </w:p>
        </w:tc>
        <w:tc>
          <w:tcPr>
            <w:tcW w:w="2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 interest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tcPr>
          <w:p>
            <w:pPr>
              <w:ind w:left="200"/>
              <w:spacing w:after="0" w:line="201" w:lineRule="exact"/>
              <w:rPr>
                <w:sz w:val="20"/>
                <w:szCs w:val="20"/>
                <w:color w:val="auto"/>
              </w:rPr>
            </w:pPr>
            <w:r>
              <w:rPr>
                <w:rFonts w:ascii="Arial" w:cs="Arial" w:eastAsia="Arial" w:hAnsi="Arial"/>
                <w:sz w:val="18"/>
                <w:szCs w:val="18"/>
                <w:color w:val="auto"/>
              </w:rPr>
              <w:t>Foreign currency exchange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tcPr>
          <w:p>
            <w:pPr>
              <w:ind w:left="400"/>
              <w:spacing w:after="0"/>
              <w:rPr>
                <w:sz w:val="20"/>
                <w:szCs w:val="20"/>
                <w:color w:val="auto"/>
              </w:rPr>
            </w:pPr>
            <w:r>
              <w:rPr>
                <w:rFonts w:ascii="Arial" w:cs="Arial" w:eastAsia="Arial" w:hAnsi="Arial"/>
                <w:sz w:val="18"/>
                <w:szCs w:val="18"/>
                <w:color w:val="auto"/>
              </w:rPr>
              <w:t>(gain) loss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0"/>
                <w:szCs w:val="20"/>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5,019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159,177</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127,500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292,382</w:t>
            </w:r>
          </w:p>
        </w:tc>
        <w:tc>
          <w:tcPr>
            <w:tcW w:w="0" w:type="dxa"/>
            <w:vAlign w:val="bottom"/>
          </w:tcPr>
          <w:p>
            <w:pPr>
              <w:spacing w:after="0"/>
              <w:rPr>
                <w:sz w:val="1"/>
                <w:szCs w:val="1"/>
                <w:color w:val="auto"/>
              </w:rPr>
            </w:pPr>
          </w:p>
        </w:tc>
      </w:tr>
      <w:tr>
        <w:trPr>
          <w:trHeight w:val="432"/>
        </w:trPr>
        <w:tc>
          <w:tcPr>
            <w:tcW w:w="2620" w:type="dxa"/>
            <w:vAlign w:val="bottom"/>
            <w:gridSpan w:val="2"/>
          </w:tcPr>
          <w:p>
            <w:pPr>
              <w:spacing w:after="0"/>
              <w:rPr>
                <w:sz w:val="20"/>
                <w:szCs w:val="20"/>
                <w:color w:val="auto"/>
              </w:rPr>
            </w:pPr>
            <w:r>
              <w:rPr>
                <w:rFonts w:ascii="Arial" w:cs="Arial" w:eastAsia="Arial" w:hAnsi="Arial"/>
                <w:sz w:val="18"/>
                <w:szCs w:val="18"/>
                <w:color w:val="auto"/>
              </w:rPr>
              <w:t>Less — current maturities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(598)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(2,877)</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(1,900)</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Long-term obligations at</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September 30, 2010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2,142</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$ 159,177</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$ 125,600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$ 287,007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In January 2010, the Company elected to redeem the remaining $1.2 million of outstanding 1.625% debentures at par. Contractual interest expense for the 1.625% convertible debentures was $1 thousand for the nine months ended September 30, 2010. Contractual interest expense was $0.2 million and</w:t>
      </w:r>
    </w:p>
    <w:p>
      <w:pPr>
        <w:ind w:right="280"/>
        <w:spacing w:after="0" w:line="323" w:lineRule="auto"/>
        <w:rPr>
          <w:sz w:val="20"/>
          <w:szCs w:val="20"/>
          <w:color w:val="auto"/>
        </w:rPr>
      </w:pPr>
      <w:r>
        <w:rPr>
          <w:rFonts w:ascii="Arial" w:cs="Arial" w:eastAsia="Arial" w:hAnsi="Arial"/>
          <w:sz w:val="16"/>
          <w:szCs w:val="16"/>
          <w:color w:val="auto"/>
        </w:rPr>
        <w:t>$0.7 million and discount accretion was $0.6 million and $2.2 million for the three and nine months ended September 30, 2009, respectively. The effective interest rate was 1.625% for the period the debentures were outstanding during 2010 and 7.1% for the three and nine months ended September 30, 2009.</w:t>
      </w:r>
    </w:p>
    <w:p>
      <w:pPr>
        <w:spacing w:after="0" w:line="31"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The 3.50% convertible debentures had principal amounts outstanding of $175.0 million and unamortized discounts outstanding of $15.8 million and $21.1 million as of September 30, 2010 and December 31, 2009, respectively. The discount will be amortized through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October 15, 2012. Contractual interest expense was $1.5 million and $4.6 million for the respective three- and nine-month periods ended September 30, 2010 and 2009. Discount accretion was $1.8 million and $5.3 million for the three and nine months ended September 30, 2010, respectively, and $1.6 million and $4.8 million for the three and nine months ended September 30, 2009, respectively. The effective interest rate was 8.4% for the three and nine months ended September 30, 2010 and 2009.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 AND HEDGING ACTIVITIES</w:t>
      </w:r>
    </w:p>
    <w:p>
      <w:pPr>
        <w:spacing w:after="0" w:line="12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As of September 30, 2010, the Company had foreign currency forward contracts outstanding with a notional value of $49.5 million, primarily in euros and U.S. dollars, which were not designated as hedges and had a weighted average remaining maturity of 3.5 days. Although the Company enters into foreign currency forward contracts to offset foreign currency exposure related to the notional value of money transfer transactions collected in currencies other than the U.S. dollar, they are not designated as hedges under ASC Topic 815. This is mainly due to the relatively short duration of the contracts, typically 1 to 14 days, and the frequency with which the Company enters into them. Due to the short duration of the contracts and the Company’s credit profile, the Company is generally not required to post collateral with respect to its foreign currency forward contracts.</w:t>
      </w:r>
    </w:p>
    <w:p>
      <w:pPr>
        <w:spacing w:after="0" w:line="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has an office lease in a foreign country that requires payment in a currency that is not the functional currency of either party to the lease or the Company’s reporting currency. Therefore, the lease contains an embedded derivative per ASC Topic 815 and its fair value is recorded in the unaudited Consolidated Balance Sheets.</w:t>
      </w:r>
    </w:p>
    <w:p>
      <w:pPr>
        <w:spacing w:after="0" w:line="7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During 2007, the Company entered into interest rate swap agreements for a total notional amount of $50 million to manage interest rate exposure related to a portion of the term loan. The interest rate swap agreements were determined to be cash flow hedges and effectively converted $50 million of the term loan to a fixed interest rate of 7.3% through the May 2009 maturity date of the swap agreements. The swap agreements required no payment by either party at their maturities.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Below are the tabular disclosures required for derivative instruments: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3"/>
          </w:tcPr>
          <w:p>
            <w:pPr>
              <w:jc w:val="center"/>
              <w:ind w:left="75"/>
              <w:spacing w:after="0"/>
              <w:rPr>
                <w:sz w:val="20"/>
                <w:szCs w:val="20"/>
                <w:color w:val="auto"/>
              </w:rPr>
            </w:pPr>
            <w:r>
              <w:rPr>
                <w:rFonts w:ascii="Arial" w:cs="Arial" w:eastAsia="Arial" w:hAnsi="Arial"/>
                <w:sz w:val="14"/>
                <w:szCs w:val="14"/>
                <w:b w:val="1"/>
                <w:bCs w:val="1"/>
                <w:color w:val="auto"/>
                <w:w w:val="93"/>
              </w:rPr>
              <w:t>Fair Values of Derivative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Consolidated Balance</w:t>
            </w: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left="75"/>
              <w:spacing w:after="0"/>
              <w:rPr>
                <w:sz w:val="20"/>
                <w:szCs w:val="20"/>
                <w:color w:val="auto"/>
              </w:rPr>
            </w:pPr>
            <w:r>
              <w:rPr>
                <w:rFonts w:ascii="Arial" w:cs="Arial" w:eastAsia="Arial" w:hAnsi="Arial"/>
                <w:sz w:val="14"/>
                <w:szCs w:val="14"/>
                <w:b w:val="1"/>
                <w:bCs w:val="1"/>
                <w:color w:val="auto"/>
                <w:w w:val="94"/>
              </w:rPr>
              <w:t>Instruments</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380" w:type="dxa"/>
            <w:vAlign w:val="bottom"/>
            <w:gridSpan w:val="2"/>
            <w:vMerge w:val="continue"/>
          </w:tcPr>
          <w:p>
            <w:pPr>
              <w:spacing w:after="0"/>
              <w:rPr>
                <w:sz w:val="10"/>
                <w:szCs w:val="10"/>
                <w:color w:val="auto"/>
              </w:rPr>
            </w:pPr>
          </w:p>
        </w:tc>
        <w:tc>
          <w:tcPr>
            <w:tcW w:w="14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Sheet Location</w:t>
            </w:r>
          </w:p>
        </w:tc>
        <w:tc>
          <w:tcPr>
            <w:tcW w:w="200" w:type="dxa"/>
            <w:vAlign w:val="bottom"/>
          </w:tcPr>
          <w:p>
            <w:pPr>
              <w:spacing w:after="0"/>
              <w:rPr>
                <w:sz w:val="14"/>
                <w:szCs w:val="14"/>
                <w:color w:val="auto"/>
              </w:rPr>
            </w:pPr>
          </w:p>
        </w:tc>
        <w:tc>
          <w:tcPr>
            <w:tcW w:w="700" w:type="dxa"/>
            <w:vAlign w:val="bottom"/>
          </w:tcPr>
          <w:p>
            <w:pPr>
              <w:jc w:val="right"/>
              <w:ind w:right="215"/>
              <w:spacing w:after="0"/>
              <w:rPr>
                <w:sz w:val="20"/>
                <w:szCs w:val="20"/>
                <w:color w:val="auto"/>
              </w:rPr>
            </w:pPr>
            <w:r>
              <w:rPr>
                <w:rFonts w:ascii="Arial" w:cs="Arial" w:eastAsia="Arial" w:hAnsi="Arial"/>
                <w:sz w:val="14"/>
                <w:szCs w:val="14"/>
                <w:b w:val="1"/>
                <w:bCs w:val="1"/>
                <w:color w:val="auto"/>
              </w:rPr>
              <w:t>2010</w:t>
            </w:r>
          </w:p>
        </w:tc>
        <w:tc>
          <w:tcPr>
            <w:tcW w:w="580" w:type="dxa"/>
            <w:vAlign w:val="bottom"/>
          </w:tcPr>
          <w:p>
            <w:pPr>
              <w:spacing w:after="0"/>
              <w:rPr>
                <w:sz w:val="14"/>
                <w:szCs w:val="14"/>
                <w:color w:val="auto"/>
              </w:rPr>
            </w:pPr>
          </w:p>
        </w:tc>
        <w:tc>
          <w:tcPr>
            <w:tcW w:w="8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8"/>
              </w:rPr>
              <w:t>Derivatives not designated as hedging instruments under ASC Topic 815</w:t>
            </w: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w w:val="93"/>
              </w:rPr>
              <w:t>Asset Derivatives</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derivative contracts — gross gains</w:t>
            </w:r>
          </w:p>
        </w:tc>
        <w:tc>
          <w:tcPr>
            <w:tcW w:w="58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7"/>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Foreign currency derivative contracts — gross losses</w:t>
            </w:r>
          </w:p>
        </w:tc>
        <w:tc>
          <w:tcPr>
            <w:tcW w:w="580" w:type="dxa"/>
            <w:vAlign w:val="bottom"/>
          </w:tcPr>
          <w:p>
            <w:pPr>
              <w:spacing w:after="0"/>
              <w:rPr>
                <w:sz w:val="18"/>
                <w:szCs w:val="18"/>
                <w:color w:val="auto"/>
              </w:rPr>
            </w:pPr>
          </w:p>
        </w:tc>
        <w:tc>
          <w:tcPr>
            <w:tcW w:w="284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Cash and cash equivalents</w:t>
            </w:r>
          </w:p>
        </w:tc>
        <w:tc>
          <w:tcPr>
            <w:tcW w:w="2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(345)</w:t>
            </w:r>
          </w:p>
        </w:tc>
        <w:tc>
          <w:tcPr>
            <w:tcW w:w="4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(313)</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8"/>
                <w:szCs w:val="18"/>
                <w:b w:val="1"/>
                <w:bCs w:val="1"/>
                <w:color w:val="auto"/>
              </w:rPr>
              <w:t>Liability Derivatives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Embedded derivative in foreign lease</w:t>
            </w:r>
          </w:p>
        </w:tc>
        <w:tc>
          <w:tcPr>
            <w:tcW w:w="58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4"/>
              </w:rPr>
              <w:t>Other long-term liabilities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(174)</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(220)</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derivatives</w:t>
            </w: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8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(487)</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80" w:type="dxa"/>
            <w:vAlign w:val="bottom"/>
            <w:vMerge w:val="restart"/>
          </w:tcPr>
          <w:p>
            <w:pPr>
              <w:jc w:val="right"/>
              <w:ind w:right="270"/>
              <w:spacing w:after="0"/>
              <w:rPr>
                <w:sz w:val="20"/>
                <w:szCs w:val="20"/>
                <w:color w:val="auto"/>
              </w:rPr>
            </w:pPr>
            <w:r>
              <w:rPr>
                <w:rFonts w:ascii="Arial" w:cs="Arial" w:eastAsia="Arial" w:hAnsi="Arial"/>
                <w:sz w:val="18"/>
                <w:szCs w:val="18"/>
                <w:color w:val="auto"/>
                <w:w w:val="99"/>
              </w:rPr>
              <w:t>11</w:t>
            </w:r>
          </w:p>
        </w:tc>
        <w:tc>
          <w:tcPr>
            <w:tcW w:w="4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40" w:type="dxa"/>
            <w:vAlign w:val="bottom"/>
            <w:gridSpan w:val="10"/>
          </w:tcPr>
          <w:p>
            <w:pPr>
              <w:jc w:val="center"/>
              <w:ind w:right="180"/>
              <w:spacing w:after="0"/>
              <w:rPr>
                <w:sz w:val="20"/>
                <w:szCs w:val="20"/>
                <w:color w:val="auto"/>
              </w:rPr>
            </w:pPr>
            <w:r>
              <w:rPr>
                <w:rFonts w:ascii="Arial" w:cs="Arial" w:eastAsia="Arial" w:hAnsi="Arial"/>
                <w:sz w:val="14"/>
                <w:szCs w:val="14"/>
                <w:b w:val="1"/>
                <w:bCs w:val="1"/>
                <w:color w:val="auto"/>
                <w:w w:val="93"/>
              </w:rPr>
              <w:t>Amount of Gain Recognized in</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gridSpan w:val="11"/>
          </w:tcPr>
          <w:p>
            <w:pPr>
              <w:jc w:val="center"/>
              <w:ind w:right="60"/>
              <w:spacing w:after="0"/>
              <w:rPr>
                <w:sz w:val="20"/>
                <w:szCs w:val="20"/>
                <w:color w:val="auto"/>
              </w:rPr>
            </w:pPr>
            <w:r>
              <w:rPr>
                <w:rFonts w:ascii="Arial" w:cs="Arial" w:eastAsia="Arial" w:hAnsi="Arial"/>
                <w:sz w:val="14"/>
                <w:szCs w:val="14"/>
                <w:b w:val="1"/>
                <w:bCs w:val="1"/>
                <w:color w:val="auto"/>
                <w:w w:val="92"/>
              </w:rPr>
              <w:t>Amount of Gain Recognized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40" w:type="dxa"/>
            <w:vAlign w:val="bottom"/>
            <w:gridSpan w:val="10"/>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OCI on Derivative (Effective</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40" w:type="dxa"/>
            <w:vAlign w:val="bottom"/>
            <w:gridSpan w:val="11"/>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OCI on Derivative (Effective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3"/>
              </w:rPr>
              <w:t>Portion)</w:t>
            </w: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Portion)</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80" w:type="dxa"/>
            <w:vAlign w:val="bottom"/>
            <w:gridSpan w:val="8"/>
          </w:tcPr>
          <w:p>
            <w:pPr>
              <w:jc w:val="center"/>
              <w:ind w:right="137"/>
              <w:spacing w:after="0" w:line="119" w:lineRule="exact"/>
              <w:rPr>
                <w:sz w:val="20"/>
                <w:szCs w:val="20"/>
                <w:color w:val="auto"/>
              </w:rPr>
            </w:pPr>
            <w:r>
              <w:rPr>
                <w:rFonts w:ascii="Arial" w:cs="Arial" w:eastAsia="Arial" w:hAnsi="Arial"/>
                <w:sz w:val="13"/>
                <w:szCs w:val="13"/>
                <w:b w:val="1"/>
                <w:bCs w:val="1"/>
                <w:color w:val="auto"/>
              </w:rPr>
              <w:t>Three Months Ended</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gridSpan w:val="7"/>
          </w:tcPr>
          <w:p>
            <w:pPr>
              <w:jc w:val="center"/>
              <w:ind w:right="216"/>
              <w:spacing w:after="0" w:line="119" w:lineRule="exact"/>
              <w:rPr>
                <w:sz w:val="20"/>
                <w:szCs w:val="20"/>
                <w:color w:val="auto"/>
              </w:rPr>
            </w:pPr>
            <w:r>
              <w:rPr>
                <w:rFonts w:ascii="Arial" w:cs="Arial" w:eastAsia="Arial" w:hAnsi="Arial"/>
                <w:sz w:val="13"/>
                <w:szCs w:val="13"/>
                <w:b w:val="1"/>
                <w:bCs w:val="1"/>
                <w:color w:val="auto"/>
              </w:rPr>
              <w:t>Nine Months Ended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0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6"/>
          </w:tcPr>
          <w:p>
            <w:pPr>
              <w:jc w:val="center"/>
              <w:ind w:left="122"/>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ind w:right="20"/>
              <w:spacing w:after="0" w:line="142" w:lineRule="exact"/>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3"/>
          </w:tcPr>
          <w:p>
            <w:pPr>
              <w:jc w:val="right"/>
              <w:ind w:right="12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4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b w:val="1"/>
                <w:bCs w:val="1"/>
                <w:color w:val="auto"/>
              </w:rPr>
              <w:t>Derivatives in ASC Topic 815 Cash Flow Hedging Relationships</w:t>
            </w:r>
          </w:p>
        </w:tc>
        <w:tc>
          <w:tcPr>
            <w:tcW w:w="5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w w:val="90"/>
              </w:rPr>
              <w:t>Interest rate swaps related to floating rate debt</w:t>
            </w:r>
          </w:p>
        </w:tc>
        <w:tc>
          <w:tcPr>
            <w:tcW w:w="3140" w:type="dxa"/>
            <w:vAlign w:val="bottom"/>
            <w:gridSpan w:val="4"/>
          </w:tcPr>
          <w:p>
            <w:pPr>
              <w:jc w:val="right"/>
              <w:ind w:right="48"/>
              <w:spacing w:after="0"/>
              <w:rPr>
                <w:sz w:val="20"/>
                <w:szCs w:val="20"/>
                <w:color w:val="auto"/>
              </w:rPr>
            </w:pPr>
            <w:r>
              <w:rPr>
                <w:rFonts w:ascii="Arial" w:cs="Arial" w:eastAsia="Arial" w:hAnsi="Arial"/>
                <w:sz w:val="18"/>
                <w:szCs w:val="18"/>
                <w:color w:val="auto"/>
              </w:rPr>
              <w:t>$</w:t>
            </w:r>
          </w:p>
        </w:tc>
        <w:tc>
          <w:tcPr>
            <w:tcW w:w="520" w:type="dxa"/>
            <w:vAlign w:val="bottom"/>
            <w:gridSpan w:val="3"/>
          </w:tcPr>
          <w:p>
            <w:pPr>
              <w:ind w:left="320"/>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0"/>
                <w:szCs w:val="20"/>
                <w:color w:val="auto"/>
              </w:rPr>
            </w:pPr>
          </w:p>
        </w:tc>
        <w:tc>
          <w:tcPr>
            <w:tcW w:w="10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220" w:type="dxa"/>
            <w:vAlign w:val="bottom"/>
            <w:gridSpan w:val="3"/>
          </w:tcPr>
          <w:p>
            <w:pPr>
              <w:jc w:val="right"/>
              <w:ind w:right="25"/>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Amount of Gain (Loss)</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8"/>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9"/>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Location of Gain (Loss)</w:t>
            </w: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Derivative</w:t>
            </w:r>
          </w:p>
        </w:tc>
        <w:tc>
          <w:tcPr>
            <w:tcW w:w="2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Derivative</w:t>
            </w: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80" w:type="dxa"/>
            <w:vAlign w:val="bottom"/>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6"/>
          </w:tcPr>
          <w:p>
            <w:pPr>
              <w:jc w:val="center"/>
              <w:spacing w:after="0" w:line="119" w:lineRule="exact"/>
              <w:rPr>
                <w:sz w:val="20"/>
                <w:szCs w:val="20"/>
                <w:color w:val="auto"/>
              </w:rPr>
            </w:pPr>
            <w:r>
              <w:rPr>
                <w:rFonts w:ascii="Arial" w:cs="Arial" w:eastAsia="Arial" w:hAnsi="Arial"/>
                <w:sz w:val="13"/>
                <w:szCs w:val="13"/>
                <w:b w:val="1"/>
                <w:bCs w:val="1"/>
                <w:color w:val="auto"/>
              </w:rPr>
              <w:t>Three Months Ended</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gridSpan w:val="8"/>
          </w:tcPr>
          <w:p>
            <w:pPr>
              <w:jc w:val="center"/>
              <w:ind w:right="140"/>
              <w:spacing w:after="0" w:line="119" w:lineRule="exact"/>
              <w:rPr>
                <w:sz w:val="20"/>
                <w:szCs w:val="20"/>
                <w:color w:val="auto"/>
              </w:rPr>
            </w:pPr>
            <w:r>
              <w:rPr>
                <w:rFonts w:ascii="Arial" w:cs="Arial" w:eastAsia="Arial" w:hAnsi="Arial"/>
                <w:sz w:val="13"/>
                <w:szCs w:val="13"/>
                <w:b w:val="1"/>
                <w:bCs w:val="1"/>
                <w:color w:val="auto"/>
              </w:rPr>
              <w:t>Nine Months Ended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Recognized in Income</w:t>
            </w: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6"/>
          </w:tcPr>
          <w:p>
            <w:pPr>
              <w:jc w:val="center"/>
              <w:ind w:left="282"/>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0" w:type="dxa"/>
            <w:vAlign w:val="bottom"/>
            <w:gridSpan w:val="3"/>
          </w:tcPr>
          <w:p>
            <w:pPr>
              <w:spacing w:after="0" w:line="142" w:lineRule="exact"/>
              <w:rPr>
                <w:sz w:val="20"/>
                <w:szCs w:val="20"/>
                <w:color w:val="auto"/>
              </w:rPr>
            </w:pPr>
            <w:r>
              <w:rPr>
                <w:rFonts w:ascii="Arial" w:cs="Arial" w:eastAsia="Arial" w:hAnsi="Arial"/>
                <w:sz w:val="14"/>
                <w:szCs w:val="14"/>
                <w:color w:val="auto"/>
              </w:rPr>
              <w:t>(in thousands)</w:t>
            </w:r>
          </w:p>
        </w:tc>
        <w:tc>
          <w:tcPr>
            <w:tcW w:w="60" w:type="dxa"/>
            <w:vAlign w:val="bottom"/>
          </w:tcPr>
          <w:p>
            <w:pPr>
              <w:spacing w:after="0"/>
              <w:rPr>
                <w:sz w:val="12"/>
                <w:szCs w:val="12"/>
                <w:color w:val="auto"/>
              </w:rPr>
            </w:pPr>
          </w:p>
        </w:tc>
        <w:tc>
          <w:tcPr>
            <w:tcW w:w="30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3"/>
              </w:rPr>
              <w:t>on Derivative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right"/>
              <w:ind w:right="102"/>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4"/>
          </w:tcPr>
          <w:p>
            <w:pPr>
              <w:jc w:val="right"/>
              <w:ind w:right="90"/>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6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8"/>
              </w:rPr>
              <w:t>Derivatives not designated as hedging</w:t>
            </w: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3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 under ASC Topic 815</w:t>
            </w:r>
          </w:p>
        </w:tc>
        <w:tc>
          <w:tcPr>
            <w:tcW w:w="6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Foreign currency derivative Contracts</w:t>
            </w:r>
          </w:p>
        </w:tc>
        <w:tc>
          <w:tcPr>
            <w:tcW w:w="3140" w:type="dxa"/>
            <w:vAlign w:val="bottom"/>
            <w:gridSpan w:val="4"/>
          </w:tcPr>
          <w:p>
            <w:pPr>
              <w:jc w:val="center"/>
              <w:spacing w:after="0"/>
              <w:rPr>
                <w:sz w:val="20"/>
                <w:szCs w:val="20"/>
                <w:color w:val="auto"/>
              </w:rPr>
            </w:pPr>
            <w:r>
              <w:rPr>
                <w:rFonts w:ascii="Arial" w:cs="Arial" w:eastAsia="Arial" w:hAnsi="Arial"/>
                <w:sz w:val="18"/>
                <w:szCs w:val="18"/>
                <w:color w:val="auto"/>
                <w:w w:val="89"/>
              </w:rPr>
              <w:t>Foreign currency exchange gain (loss), net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540" w:type="dxa"/>
            <w:vAlign w:val="bottom"/>
            <w:gridSpan w:val="2"/>
          </w:tcPr>
          <w:p>
            <w:pPr>
              <w:jc w:val="right"/>
              <w:ind w:right="9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54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Embedded derivative in foreign lease</w:t>
            </w:r>
          </w:p>
        </w:tc>
        <w:tc>
          <w:tcPr>
            <w:tcW w:w="314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Foreign currency exchange gain (loss), net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143</w:t>
            </w:r>
          </w:p>
        </w:tc>
        <w:tc>
          <w:tcPr>
            <w:tcW w:w="54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(233</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 10, Fair Value Measurements, for the determination of the fair values of derivatives.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Euronet’s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660" w:right="280" w:hanging="436"/>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network participation, outsourced ATM and POS management solutions, credit and debit card outsourcing and electronic recharge services for prepaid mobile airtime. Through this segment, the Company also offers a suite of integrated electronic financial transaction (“EFT”) software solutions for electronic payment and transaction delivery systems.</w:t>
      </w:r>
    </w:p>
    <w:p>
      <w:pPr>
        <w:spacing w:after="0" w:line="93" w:lineRule="exact"/>
        <w:rPr>
          <w:rFonts w:ascii="Arial" w:cs="Arial" w:eastAsia="Arial" w:hAnsi="Arial"/>
          <w:sz w:val="18"/>
          <w:szCs w:val="18"/>
          <w:color w:val="auto"/>
        </w:rPr>
      </w:pPr>
    </w:p>
    <w:p>
      <w:pPr>
        <w:ind w:left="660" w:right="460" w:hanging="43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epay Segment, the Company provides distribution of prepaid mobile airtime and other electronic payment products and collection services in Europe, the Middle East, Asia Pacific, North America and South America.</w:t>
      </w:r>
    </w:p>
    <w:p>
      <w:pPr>
        <w:spacing w:after="0" w:line="75" w:lineRule="exact"/>
        <w:rPr>
          <w:rFonts w:ascii="Arial" w:cs="Arial" w:eastAsia="Arial" w:hAnsi="Arial"/>
          <w:sz w:val="18"/>
          <w:szCs w:val="18"/>
          <w:color w:val="auto"/>
        </w:rPr>
      </w:pPr>
    </w:p>
    <w:p>
      <w:pPr>
        <w:jc w:val="both"/>
        <w:ind w:left="660" w:right="320" w:hanging="436"/>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Money Transfer Segment, the Company provides global consumer-to-consumer money transfer and bill payment services through a sending network of agents and Company-owned stores primarily in North America and Europe, disbursing money transfers through a worldwide correspondent network. Bill payment services are offered primarily in the U.S.</w:t>
      </w:r>
    </w:p>
    <w:p>
      <w:pPr>
        <w:spacing w:after="0" w:line="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addition, in its administrative division, “Corporate Services, Eliminations and Other,” the Company accounts for non-operating activity, share-based compensation expense, certain intersegment eliminations and the costs of providing corporate and other administrative services to the three segments. These services are not directly identifiable with the Company’s reportable operating segments.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segment results of the Company’s operations for the three- and nine-month periods ended September 30, 2010 and 2009: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9"/>
          </w:tcPr>
          <w:p>
            <w:pPr>
              <w:ind w:left="200"/>
              <w:spacing w:after="0"/>
              <w:rPr>
                <w:sz w:val="20"/>
                <w:szCs w:val="20"/>
                <w:color w:val="auto"/>
              </w:rPr>
            </w:pPr>
            <w:r>
              <w:rPr>
                <w:rFonts w:ascii="Arial" w:cs="Arial" w:eastAsia="Arial" w:hAnsi="Arial"/>
                <w:sz w:val="14"/>
                <w:szCs w:val="14"/>
                <w:b w:val="1"/>
                <w:bCs w:val="1"/>
                <w:color w:val="auto"/>
              </w:rPr>
              <w:t>For the Three Months Ended September 30, 2010</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rPr>
              <w:t>EFT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epay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Processing</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Transfer</w:t>
            </w: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$ 49,098</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148,037</w:t>
            </w:r>
          </w:p>
        </w:tc>
        <w:tc>
          <w:tcPr>
            <w:tcW w:w="136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w w:val="96"/>
              </w:rPr>
              <w:t>$ 63,088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260,223</w:t>
            </w:r>
          </w:p>
        </w:tc>
        <w:tc>
          <w:tcPr>
            <w:tcW w:w="0" w:type="dxa"/>
            <w:vAlign w:val="bottom"/>
          </w:tcPr>
          <w:p>
            <w:pPr>
              <w:spacing w:after="0"/>
              <w:rPr>
                <w:sz w:val="1"/>
                <w:szCs w:val="1"/>
                <w:color w:val="auto"/>
              </w:rPr>
            </w:pPr>
          </w:p>
        </w:tc>
      </w:tr>
      <w:tr>
        <w:trPr>
          <w:trHeight w:val="439"/>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60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22,492</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115,847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29,100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167,439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1600" w:type="dxa"/>
            <w:vAlign w:val="bottom"/>
            <w:gridSpan w:val="5"/>
          </w:tcPr>
          <w:p>
            <w:pPr>
              <w:jc w:val="right"/>
              <w:ind w:right="360"/>
              <w:spacing w:after="0"/>
              <w:rPr>
                <w:sz w:val="20"/>
                <w:szCs w:val="20"/>
                <w:color w:val="auto"/>
              </w:rPr>
            </w:pPr>
            <w:r>
              <w:rPr>
                <w:rFonts w:ascii="Arial" w:cs="Arial" w:eastAsia="Arial" w:hAnsi="Arial"/>
                <w:sz w:val="18"/>
                <w:szCs w:val="18"/>
                <w:color w:val="auto"/>
              </w:rPr>
              <w:t>7,055</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8,600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14,924</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4,428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60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4,152</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7,619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10,191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00" w:type="dxa"/>
            <w:vAlign w:val="bottom"/>
            <w:gridSpan w:val="5"/>
          </w:tcPr>
          <w:p>
            <w:pPr>
              <w:jc w:val="right"/>
              <w:ind w:right="360"/>
              <w:spacing w:after="0"/>
              <w:rPr>
                <w:sz w:val="20"/>
                <w:szCs w:val="20"/>
                <w:color w:val="auto"/>
              </w:rPr>
            </w:pPr>
            <w:r>
              <w:rPr>
                <w:rFonts w:ascii="Arial" w:cs="Arial" w:eastAsia="Arial" w:hAnsi="Arial"/>
                <w:sz w:val="18"/>
                <w:szCs w:val="18"/>
                <w:color w:val="auto"/>
              </w:rPr>
              <w:t>4,894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4,173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5,148</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14,289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60" w:type="dxa"/>
            <w:vAlign w:val="bottom"/>
            <w:gridSpan w:val="2"/>
            <w:shd w:val="clear" w:color="auto" w:fill="CCEEFF"/>
          </w:tcPr>
          <w:p>
            <w:pPr>
              <w:spacing w:after="0"/>
              <w:rPr>
                <w:sz w:val="18"/>
                <w:szCs w:val="18"/>
                <w:color w:val="auto"/>
              </w:rPr>
            </w:pPr>
          </w:p>
        </w:tc>
        <w:tc>
          <w:tcPr>
            <w:tcW w:w="68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38,593</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136,239</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59,363</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239,961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44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1600" w:type="dxa"/>
            <w:vAlign w:val="bottom"/>
            <w:gridSpan w:val="5"/>
          </w:tcPr>
          <w:p>
            <w:pPr>
              <w:jc w:val="right"/>
              <w:ind w:right="360"/>
              <w:spacing w:after="0"/>
              <w:rPr>
                <w:sz w:val="20"/>
                <w:szCs w:val="20"/>
                <w:color w:val="auto"/>
              </w:rPr>
            </w:pPr>
            <w:r>
              <w:rPr>
                <w:rFonts w:ascii="Arial" w:cs="Arial" w:eastAsia="Arial" w:hAnsi="Arial"/>
                <w:sz w:val="18"/>
                <w:szCs w:val="18"/>
                <w:color w:val="auto"/>
              </w:rPr>
              <w:t>$ 10,505</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11,798</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3,725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(5,766)</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9"/>
          </w:tcPr>
          <w:p>
            <w:pPr>
              <w:ind w:left="200"/>
              <w:spacing w:after="0"/>
              <w:rPr>
                <w:sz w:val="20"/>
                <w:szCs w:val="20"/>
                <w:color w:val="auto"/>
              </w:rPr>
            </w:pPr>
            <w:r>
              <w:rPr>
                <w:rFonts w:ascii="Arial" w:cs="Arial" w:eastAsia="Arial" w:hAnsi="Arial"/>
                <w:sz w:val="14"/>
                <w:szCs w:val="14"/>
                <w:b w:val="1"/>
                <w:bCs w:val="1"/>
                <w:color w:val="auto"/>
              </w:rPr>
              <w:t>For the Three Months Ended September 30, 2009</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rPr>
              <w:t>EFT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Epay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Processing</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Transfer</w:t>
            </w: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$ 50,939</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153,610</w:t>
            </w:r>
          </w:p>
        </w:tc>
        <w:tc>
          <w:tcPr>
            <w:tcW w:w="136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w w:val="96"/>
              </w:rPr>
              <w:t>$ 60,271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264,820</w:t>
            </w:r>
          </w:p>
        </w:tc>
        <w:tc>
          <w:tcPr>
            <w:tcW w:w="0" w:type="dxa"/>
            <w:vAlign w:val="bottom"/>
          </w:tcPr>
          <w:p>
            <w:pPr>
              <w:spacing w:after="0"/>
              <w:rPr>
                <w:sz w:val="1"/>
                <w:szCs w:val="1"/>
                <w:color w:val="auto"/>
              </w:rPr>
            </w:pPr>
          </w:p>
        </w:tc>
      </w:tr>
      <w:tr>
        <w:trPr>
          <w:trHeight w:val="439"/>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60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21,973</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123,423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28,097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173,493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1600" w:type="dxa"/>
            <w:vAlign w:val="bottom"/>
            <w:gridSpan w:val="5"/>
          </w:tcPr>
          <w:p>
            <w:pPr>
              <w:jc w:val="right"/>
              <w:ind w:right="360"/>
              <w:spacing w:after="0"/>
              <w:rPr>
                <w:sz w:val="20"/>
                <w:szCs w:val="20"/>
                <w:color w:val="auto"/>
              </w:rPr>
            </w:pPr>
            <w:r>
              <w:rPr>
                <w:rFonts w:ascii="Arial" w:cs="Arial" w:eastAsia="Arial" w:hAnsi="Arial"/>
                <w:sz w:val="18"/>
                <w:szCs w:val="18"/>
                <w:color w:val="auto"/>
              </w:rPr>
              <w:t>7,890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7,486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14,626</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4,731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60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3,992</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5,219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9,680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00" w:type="dxa"/>
            <w:vAlign w:val="bottom"/>
            <w:gridSpan w:val="5"/>
          </w:tcPr>
          <w:p>
            <w:pPr>
              <w:jc w:val="right"/>
              <w:ind w:right="360"/>
              <w:spacing w:after="0"/>
              <w:rPr>
                <w:sz w:val="20"/>
                <w:szCs w:val="20"/>
                <w:color w:val="auto"/>
              </w:rPr>
            </w:pPr>
            <w:r>
              <w:rPr>
                <w:rFonts w:ascii="Arial" w:cs="Arial" w:eastAsia="Arial" w:hAnsi="Arial"/>
                <w:sz w:val="18"/>
                <w:szCs w:val="18"/>
                <w:color w:val="auto"/>
              </w:rPr>
              <w:t>4,835</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3,934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5,293</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378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14,440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60" w:type="dxa"/>
            <w:vAlign w:val="bottom"/>
            <w:gridSpan w:val="2"/>
            <w:shd w:val="clear" w:color="auto" w:fill="CCEEFF"/>
          </w:tcPr>
          <w:p>
            <w:pPr>
              <w:spacing w:after="0"/>
              <w:rPr>
                <w:sz w:val="18"/>
                <w:szCs w:val="18"/>
                <w:color w:val="auto"/>
              </w:rPr>
            </w:pPr>
          </w:p>
        </w:tc>
        <w:tc>
          <w:tcPr>
            <w:tcW w:w="68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38,690</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140,062</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57,696</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242,735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44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1600" w:type="dxa"/>
            <w:vAlign w:val="bottom"/>
            <w:gridSpan w:val="5"/>
          </w:tcPr>
          <w:p>
            <w:pPr>
              <w:jc w:val="right"/>
              <w:ind w:right="360"/>
              <w:spacing w:after="0"/>
              <w:rPr>
                <w:sz w:val="20"/>
                <w:szCs w:val="20"/>
                <w:color w:val="auto"/>
              </w:rPr>
            </w:pPr>
            <w:r>
              <w:rPr>
                <w:rFonts w:ascii="Arial" w:cs="Arial" w:eastAsia="Arial" w:hAnsi="Arial"/>
                <w:sz w:val="18"/>
                <w:szCs w:val="18"/>
                <w:color w:val="auto"/>
              </w:rPr>
              <w:t>$ 12,249</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13,548</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2,575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(6,287)</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9"/>
          </w:tcPr>
          <w:p>
            <w:pPr>
              <w:ind w:left="220"/>
              <w:spacing w:after="0"/>
              <w:rPr>
                <w:sz w:val="20"/>
                <w:szCs w:val="20"/>
                <w:color w:val="auto"/>
              </w:rPr>
            </w:pPr>
            <w:r>
              <w:rPr>
                <w:rFonts w:ascii="Arial" w:cs="Arial" w:eastAsia="Arial" w:hAnsi="Arial"/>
                <w:sz w:val="14"/>
                <w:szCs w:val="14"/>
                <w:b w:val="1"/>
                <w:bCs w:val="1"/>
                <w:color w:val="auto"/>
              </w:rPr>
              <w:t>For the Nine Months Ended September 30, 2010</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rPr>
              <w:t>EFT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epay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4"/>
                <w:szCs w:val="14"/>
                <w:color w:val="auto"/>
              </w:rPr>
            </w:pPr>
          </w:p>
        </w:tc>
        <w:tc>
          <w:tcPr>
            <w:tcW w:w="11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7"/>
              </w:rPr>
              <w:t>Processing</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6"/>
              </w:rPr>
              <w:t>Transfer</w:t>
            </w: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$ 144,152</w:t>
            </w:r>
          </w:p>
        </w:tc>
        <w:tc>
          <w:tcPr>
            <w:tcW w:w="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431,106</w:t>
            </w:r>
          </w:p>
        </w:tc>
        <w:tc>
          <w:tcPr>
            <w:tcW w:w="64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$ 179,196</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754,454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24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69,210</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341,200</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83,726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494,136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20,159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24,079</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43,007</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11,382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24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12,022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20,279</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27,801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4,167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14,304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12,150</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15,205</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730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42,389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0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115,695</w:t>
            </w:r>
          </w:p>
        </w:tc>
        <w:tc>
          <w:tcPr>
            <w:tcW w:w="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397,708</w:t>
            </w:r>
          </w:p>
        </w:tc>
        <w:tc>
          <w:tcPr>
            <w:tcW w:w="6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169,739</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699,421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44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500" w:type="dxa"/>
            <w:vAlign w:val="bottom"/>
          </w:tcPr>
          <w:p>
            <w:pPr>
              <w:spacing w:after="0"/>
              <w:rPr>
                <w:sz w:val="24"/>
                <w:szCs w:val="24"/>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96"/>
              </w:rPr>
              <w:t>$ 28,457</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33,398</w:t>
            </w:r>
          </w:p>
        </w:tc>
        <w:tc>
          <w:tcPr>
            <w:tcW w:w="64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9,457</w:t>
            </w:r>
          </w:p>
        </w:tc>
        <w:tc>
          <w:tcPr>
            <w:tcW w:w="6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(16,279)</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0" w:type="dxa"/>
            <w:vAlign w:val="bottom"/>
            <w:gridSpan w:val="5"/>
          </w:tcPr>
          <w:p>
            <w:pPr>
              <w:jc w:val="right"/>
              <w:ind w:right="26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8"/>
          </w:tcPr>
          <w:p>
            <w:pPr>
              <w:jc w:val="right"/>
              <w:ind w:right="580"/>
              <w:spacing w:after="0"/>
              <w:rPr>
                <w:sz w:val="20"/>
                <w:szCs w:val="20"/>
                <w:color w:val="auto"/>
              </w:rPr>
            </w:pPr>
            <w:r>
              <w:rPr>
                <w:rFonts w:ascii="Arial" w:cs="Arial" w:eastAsia="Arial" w:hAnsi="Arial"/>
                <w:sz w:val="14"/>
                <w:szCs w:val="14"/>
                <w:b w:val="1"/>
                <w:bCs w:val="1"/>
                <w:color w:val="auto"/>
                <w:w w:val="99"/>
              </w:rPr>
              <w:t>For the Nine Months Ended September 30, 2009</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EFT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w w:val="99"/>
              </w:rPr>
              <w:t>Money</w:t>
            </w:r>
          </w:p>
        </w:tc>
        <w:tc>
          <w:tcPr>
            <w:tcW w:w="1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epay</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7"/>
              </w:rPr>
              <w:t>Processing</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3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Transfer</w:t>
            </w: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142,737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433,386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171,008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747,131</w:t>
            </w:r>
          </w:p>
        </w:tc>
        <w:tc>
          <w:tcPr>
            <w:tcW w:w="0" w:type="dxa"/>
            <w:vAlign w:val="bottom"/>
          </w:tcPr>
          <w:p>
            <w:pPr>
              <w:spacing w:after="0"/>
              <w:rPr>
                <w:sz w:val="1"/>
                <w:szCs w:val="1"/>
                <w:color w:val="auto"/>
              </w:rPr>
            </w:pPr>
          </w:p>
        </w:tc>
      </w:tr>
      <w:tr>
        <w:trPr>
          <w:trHeight w:val="439"/>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60,584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349,800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81,710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492,094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22,345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20,703</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39,549</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11,817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94,414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12,296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15,170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27,342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5,240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Goodwill and acquired intangible assets impairment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9,884</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13,554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11,178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15,138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40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108,779</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396,851</w:t>
            </w: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173,623</w:t>
            </w:r>
          </w:p>
        </w:tc>
        <w:tc>
          <w:tcPr>
            <w:tcW w:w="10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18,071</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697,324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Operating income (loss)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33,958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36,535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(18,071)</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carrying amounts of cash and cash equivalents, trade accounts receivable, trade accounts payable and short-term debt obligations approximate fair values due to their short maturities. The carrying values of the Company’s term loan due 2014 and revolving credit agreements approximate fair values because interest is based on London Inter-Bank Offered Rate (“LIBOR”) that resets at various intervals of less than one year. The following table provides the estimated fair values of the Company’s other financial instruments, based on quoted market prices or significant other observable inputs.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ind w:right="1185"/>
              <w:spacing w:after="0"/>
              <w:rPr>
                <w:sz w:val="20"/>
                <w:szCs w:val="20"/>
                <w:color w:val="auto"/>
              </w:rPr>
            </w:pPr>
            <w:r>
              <w:rPr>
                <w:rFonts w:ascii="Arial" w:cs="Arial" w:eastAsia="Arial" w:hAnsi="Arial"/>
                <w:sz w:val="14"/>
                <w:szCs w:val="14"/>
                <w:b w:val="1"/>
                <w:bCs w:val="1"/>
                <w:color w:val="auto"/>
              </w:rPr>
              <w:t>As of</w:t>
            </w: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80" w:type="dxa"/>
            <w:vAlign w:val="bottom"/>
            <w:tcBorders>
              <w:bottom w:val="single" w:sz="8" w:color="auto"/>
            </w:tcBorders>
            <w:gridSpan w:val="3"/>
          </w:tcPr>
          <w:p>
            <w:pPr>
              <w:jc w:val="right"/>
              <w:ind w:right="756"/>
              <w:spacing w:after="0" w:line="142" w:lineRule="exact"/>
              <w:rPr>
                <w:sz w:val="20"/>
                <w:szCs w:val="20"/>
                <w:color w:val="auto"/>
              </w:rPr>
            </w:pPr>
            <w:r>
              <w:rPr>
                <w:rFonts w:ascii="Arial" w:cs="Arial" w:eastAsia="Arial" w:hAnsi="Arial"/>
                <w:sz w:val="14"/>
                <w:szCs w:val="14"/>
                <w:b w:val="1"/>
                <w:bCs w:val="1"/>
                <w:color w:val="auto"/>
              </w:rPr>
              <w:t>September 30, 2010</w:t>
            </w:r>
          </w:p>
        </w:tc>
        <w:tc>
          <w:tcPr>
            <w:tcW w:w="440" w:type="dxa"/>
            <w:vAlign w:val="bottom"/>
          </w:tcPr>
          <w:p>
            <w:pPr>
              <w:spacing w:after="0"/>
              <w:rPr>
                <w:sz w:val="12"/>
                <w:szCs w:val="12"/>
                <w:color w:val="auto"/>
              </w:rPr>
            </w:pPr>
          </w:p>
        </w:tc>
        <w:tc>
          <w:tcPr>
            <w:tcW w:w="2900" w:type="dxa"/>
            <w:vAlign w:val="bottom"/>
            <w:tcBorders>
              <w:bottom w:val="single" w:sz="8" w:color="auto"/>
            </w:tcBorders>
            <w:gridSpan w:val="3"/>
          </w:tcPr>
          <w:p>
            <w:pPr>
              <w:jc w:val="right"/>
              <w:ind w:right="779"/>
              <w:spacing w:after="0" w:line="142" w:lineRule="exact"/>
              <w:rPr>
                <w:sz w:val="20"/>
                <w:szCs w:val="20"/>
                <w:color w:val="auto"/>
              </w:rPr>
            </w:pPr>
            <w:r>
              <w:rPr>
                <w:rFonts w:ascii="Arial" w:cs="Arial" w:eastAsia="Arial" w:hAnsi="Arial"/>
                <w:sz w:val="14"/>
                <w:szCs w:val="14"/>
                <w:b w:val="1"/>
                <w:bCs w:val="1"/>
                <w:color w:val="auto"/>
              </w:rPr>
              <w:t>December 31, 2009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0" w:type="dxa"/>
            <w:vAlign w:val="bottom"/>
          </w:tcPr>
          <w:p>
            <w:pPr>
              <w:jc w:val="right"/>
              <w:ind w:right="218"/>
              <w:spacing w:after="0" w:line="119" w:lineRule="exact"/>
              <w:rPr>
                <w:sz w:val="20"/>
                <w:szCs w:val="20"/>
                <w:color w:val="auto"/>
              </w:rPr>
            </w:pPr>
            <w:r>
              <w:rPr>
                <w:rFonts w:ascii="Arial" w:cs="Arial" w:eastAsia="Arial" w:hAnsi="Arial"/>
                <w:sz w:val="13"/>
                <w:szCs w:val="13"/>
                <w:b w:val="1"/>
                <w:bCs w:val="1"/>
                <w:color w:val="auto"/>
              </w:rPr>
              <w:t>Carrying</w:t>
            </w:r>
          </w:p>
        </w:tc>
        <w:tc>
          <w:tcPr>
            <w:tcW w:w="460" w:type="dxa"/>
            <w:vAlign w:val="bottom"/>
          </w:tcPr>
          <w:p>
            <w:pPr>
              <w:spacing w:after="0"/>
              <w:rPr>
                <w:sz w:val="10"/>
                <w:szCs w:val="10"/>
                <w:color w:val="auto"/>
              </w:rPr>
            </w:pPr>
          </w:p>
        </w:tc>
        <w:tc>
          <w:tcPr>
            <w:tcW w:w="12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0"/>
                <w:szCs w:val="10"/>
                <w:color w:val="auto"/>
              </w:rPr>
            </w:pPr>
          </w:p>
        </w:tc>
        <w:tc>
          <w:tcPr>
            <w:tcW w:w="1220" w:type="dxa"/>
            <w:vAlign w:val="bottom"/>
          </w:tcPr>
          <w:p>
            <w:pPr>
              <w:jc w:val="right"/>
              <w:ind w:right="245"/>
              <w:spacing w:after="0" w:line="119" w:lineRule="exact"/>
              <w:rPr>
                <w:sz w:val="20"/>
                <w:szCs w:val="20"/>
                <w:color w:val="auto"/>
              </w:rPr>
            </w:pPr>
            <w:r>
              <w:rPr>
                <w:rFonts w:ascii="Arial" w:cs="Arial" w:eastAsia="Arial" w:hAnsi="Arial"/>
                <w:sz w:val="13"/>
                <w:szCs w:val="13"/>
                <w:b w:val="1"/>
                <w:bCs w:val="1"/>
                <w:color w:val="auto"/>
              </w:rPr>
              <w:t>Carrying</w:t>
            </w:r>
          </w:p>
        </w:tc>
        <w:tc>
          <w:tcPr>
            <w:tcW w:w="460" w:type="dxa"/>
            <w:vAlign w:val="bottom"/>
          </w:tcPr>
          <w:p>
            <w:pPr>
              <w:spacing w:after="0"/>
              <w:rPr>
                <w:sz w:val="10"/>
                <w:szCs w:val="10"/>
                <w:color w:val="auto"/>
              </w:rPr>
            </w:pPr>
          </w:p>
        </w:tc>
        <w:tc>
          <w:tcPr>
            <w:tcW w:w="122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20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200" w:type="dxa"/>
            <w:vAlign w:val="bottom"/>
          </w:tcPr>
          <w:p>
            <w:pPr>
              <w:jc w:val="right"/>
              <w:ind w:right="338"/>
              <w:spacing w:after="0"/>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ind w:right="345"/>
              <w:spacing w:after="0"/>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3.50% convertible debentures, unsecured, due 2025</w:t>
            </w:r>
          </w:p>
        </w:tc>
        <w:tc>
          <w:tcPr>
            <w:tcW w:w="44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(159,177)</w:t>
            </w:r>
          </w:p>
        </w:tc>
        <w:tc>
          <w:tcPr>
            <w:tcW w:w="46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(171,392)</w:t>
            </w:r>
          </w:p>
        </w:tc>
        <w:tc>
          <w:tcPr>
            <w:tcW w:w="44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8"/>
                <w:szCs w:val="18"/>
                <w:color w:val="auto"/>
              </w:rPr>
              <w:t>(153,927)</w:t>
            </w:r>
          </w:p>
        </w:tc>
        <w:tc>
          <w:tcPr>
            <w:tcW w:w="46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(162,313)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Foreign currency derivative contracts</w:t>
            </w:r>
          </w:p>
        </w:tc>
        <w:tc>
          <w:tcPr>
            <w:tcW w:w="1200" w:type="dxa"/>
            <w:vAlign w:val="bottom"/>
          </w:tcPr>
          <w:p>
            <w:pPr>
              <w:jc w:val="right"/>
              <w:ind w:right="138"/>
              <w:spacing w:after="0"/>
              <w:rPr>
                <w:sz w:val="20"/>
                <w:szCs w:val="20"/>
                <w:color w:val="auto"/>
              </w:rPr>
            </w:pPr>
            <w:r>
              <w:rPr>
                <w:rFonts w:ascii="Arial" w:cs="Arial" w:eastAsia="Arial" w:hAnsi="Arial"/>
                <w:sz w:val="18"/>
                <w:szCs w:val="18"/>
                <w:color w:val="auto"/>
              </w:rPr>
              <w:t>(313)</w:t>
            </w:r>
          </w:p>
        </w:tc>
        <w:tc>
          <w:tcPr>
            <w:tcW w:w="1680" w:type="dxa"/>
            <w:vAlign w:val="bottom"/>
            <w:gridSpan w:val="2"/>
          </w:tcPr>
          <w:p>
            <w:pPr>
              <w:jc w:val="right"/>
              <w:ind w:right="156"/>
              <w:spacing w:after="0"/>
              <w:rPr>
                <w:sz w:val="20"/>
                <w:szCs w:val="20"/>
                <w:color w:val="auto"/>
              </w:rPr>
            </w:pPr>
            <w:r>
              <w:rPr>
                <w:rFonts w:ascii="Arial" w:cs="Arial" w:eastAsia="Arial" w:hAnsi="Arial"/>
                <w:sz w:val="18"/>
                <w:szCs w:val="18"/>
                <w:color w:val="auto"/>
              </w:rPr>
              <w:t>(313)</w:t>
            </w:r>
          </w:p>
        </w:tc>
        <w:tc>
          <w:tcPr>
            <w:tcW w:w="1660" w:type="dxa"/>
            <w:vAlign w:val="bottom"/>
            <w:gridSpan w:val="2"/>
          </w:tcPr>
          <w:p>
            <w:pPr>
              <w:jc w:val="right"/>
              <w:ind w:right="205"/>
              <w:spacing w:after="0"/>
              <w:rPr>
                <w:sz w:val="20"/>
                <w:szCs w:val="20"/>
                <w:color w:val="auto"/>
              </w:rPr>
            </w:pPr>
            <w:r>
              <w:rPr>
                <w:rFonts w:ascii="Arial" w:cs="Arial" w:eastAsia="Arial" w:hAnsi="Arial"/>
                <w:sz w:val="18"/>
                <w:szCs w:val="18"/>
                <w:color w:val="auto"/>
              </w:rPr>
              <w:t>36</w:t>
            </w:r>
          </w:p>
        </w:tc>
        <w:tc>
          <w:tcPr>
            <w:tcW w:w="1680" w:type="dxa"/>
            <w:vAlign w:val="bottom"/>
            <w:gridSpan w:val="2"/>
          </w:tcPr>
          <w:p>
            <w:pPr>
              <w:jc w:val="right"/>
              <w:ind w:right="199"/>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Embedded derivative in foreign lease</w:t>
            </w:r>
          </w:p>
        </w:tc>
        <w:tc>
          <w:tcPr>
            <w:tcW w:w="12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(174)</w:t>
            </w:r>
          </w:p>
        </w:tc>
        <w:tc>
          <w:tcPr>
            <w:tcW w:w="168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(174)</w:t>
            </w:r>
          </w:p>
        </w:tc>
        <w:tc>
          <w:tcPr>
            <w:tcW w:w="16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(220)</w:t>
            </w:r>
          </w:p>
        </w:tc>
        <w:tc>
          <w:tcPr>
            <w:tcW w:w="168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1.625% convertible senior debentures, unsecured, due 2024</w:t>
            </w:r>
          </w:p>
        </w:tc>
        <w:tc>
          <w:tcPr>
            <w:tcW w:w="1200" w:type="dxa"/>
            <w:vAlign w:val="bottom"/>
          </w:tcPr>
          <w:p>
            <w:pPr>
              <w:jc w:val="right"/>
              <w:ind w:right="19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22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45"/>
              <w:spacing w:after="0"/>
              <w:rPr>
                <w:sz w:val="20"/>
                <w:szCs w:val="20"/>
                <w:color w:val="auto"/>
              </w:rPr>
            </w:pPr>
            <w:r>
              <w:rPr>
                <w:rFonts w:ascii="Arial" w:cs="Arial" w:eastAsia="Arial" w:hAnsi="Arial"/>
                <w:sz w:val="18"/>
                <w:szCs w:val="18"/>
                <w:color w:val="auto"/>
              </w:rPr>
              <w:t>(1,227)</w:t>
            </w:r>
          </w:p>
        </w:tc>
        <w:tc>
          <w:tcPr>
            <w:tcW w:w="1680" w:type="dxa"/>
            <w:vAlign w:val="bottom"/>
            <w:gridSpan w:val="2"/>
          </w:tcPr>
          <w:p>
            <w:pPr>
              <w:jc w:val="right"/>
              <w:ind w:right="139"/>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assets and liabilities recorded at fair value on a recurring basis using significant other observable inputs are the foreign currency derivative contracts and the embedded derivative in foreign lease. The Company values foreign currency derivative contracts using foreign currency exchange quotations for similar assets and liabilities. The embedded derivative in foreign lease is valued using present value techniques and foreign currency exchange quotations.</w:t>
      </w:r>
    </w:p>
    <w:p>
      <w:pPr>
        <w:spacing w:after="0" w:line="7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Certain assets are measured at fair value on a non-recurring basis. During the first quarter of 2009, the Company finalized the assessment of the fair value of the goodwill related to its RIA money transfer business and its Spanish prepaid business and recorded an impairment charge of $8.8 million as discussed in Note 6, Goodwill and Acquired Intangible Assets, Net. The fair values were determined using significant unobservable inputs. The $258.8 million fair value of goodwill was determined by calculating its implied fair value as the excess of the fair value of the respective entity over the fair value of its net assets. Additionally, during the first quarter of 2009, management determined that an acquired intangible asset associated with a previous acquisition in the Money Transfer Segment had no value and, accordingly, the Company wrote off the remaining net book value of the intangible asset of $1.1 million.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GUARANTEES</w:t>
      </w:r>
    </w:p>
    <w:p>
      <w:pPr>
        <w:spacing w:after="0" w:line="12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As of September 30, 2010, the Company had $86.9 million of stand-by letters of credit/bank guarantees issued on its behalf, of which $15.6 million are collateralized by cash deposits held by the respective issuing banks and $6.2 million are collateralized by trade accounts receivable.</w:t>
      </w:r>
    </w:p>
    <w:p>
      <w:pPr>
        <w:spacing w:after="0" w:line="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September 30, 2010, the Company granted off balance sheet guarantees for cash in various ATM networks amounting to $20.6 million over the terms of the cash supply agreements and performance guarantees amounting to approximately $28.9 million over the terms of the agreements with the customers.</w:t>
      </w:r>
    </w:p>
    <w:p>
      <w:pPr>
        <w:spacing w:after="0" w:line="7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From time to time, Euronet enters into agreements with unaffiliated parties that contain indemnification provisions, the terms of which may vary depending on the negotiated terms of each respective agreement. The amount of such potential obligations is generally not stated in the agreements. Our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79" w:lineRule="exact"/>
        <w:rPr>
          <w:sz w:val="20"/>
          <w:szCs w:val="20"/>
          <w:color w:val="auto"/>
        </w:rPr>
      </w:pPr>
    </w:p>
    <w:p>
      <w:pPr>
        <w:ind w:left="900" w:right="320" w:hanging="446"/>
        <w:spacing w:after="0" w:line="259"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September 30, 2010, the balance of ATM network cash for which the Company was responsible was approximately $265 million. The Company maintains insurance policies to mitigate this exposure;</w:t>
      </w:r>
    </w:p>
    <w:p>
      <w:pPr>
        <w:spacing w:after="0" w:line="92" w:lineRule="exact"/>
        <w:rPr>
          <w:rFonts w:ascii="Arial" w:cs="Arial" w:eastAsia="Arial" w:hAnsi="Arial"/>
          <w:sz w:val="18"/>
          <w:szCs w:val="18"/>
          <w:b w:val="1"/>
          <w:bCs w:val="1"/>
          <w:color w:val="auto"/>
        </w:rPr>
      </w:pPr>
    </w:p>
    <w:p>
      <w:pPr>
        <w:jc w:val="both"/>
        <w:ind w:left="900" w:right="460" w:hanging="446"/>
        <w:spacing w:after="0" w:line="264"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86" w:lineRule="exact"/>
        <w:rPr>
          <w:rFonts w:ascii="Arial" w:cs="Arial" w:eastAsia="Arial" w:hAnsi="Arial"/>
          <w:sz w:val="18"/>
          <w:szCs w:val="18"/>
          <w:b w:val="1"/>
          <w:bCs w:val="1"/>
          <w:color w:val="auto"/>
        </w:rPr>
      </w:pPr>
    </w:p>
    <w:p>
      <w:pPr>
        <w:ind w:left="900" w:right="120" w:hanging="446"/>
        <w:spacing w:after="0" w:line="264"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86" w:lineRule="exact"/>
        <w:rPr>
          <w:rFonts w:ascii="Arial" w:cs="Arial" w:eastAsia="Arial" w:hAnsi="Arial"/>
          <w:sz w:val="18"/>
          <w:szCs w:val="18"/>
          <w:b w:val="1"/>
          <w:bCs w:val="1"/>
          <w:color w:val="auto"/>
        </w:rPr>
      </w:pPr>
    </w:p>
    <w:p>
      <w:pPr>
        <w:ind w:left="900" w:right="100" w:hanging="446"/>
        <w:spacing w:after="0" w:line="293" w:lineRule="auto"/>
        <w:tabs>
          <w:tab w:leader="none" w:pos="90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made by Euronet, the Company has agreed to indemnify the seller against third party claims made against the seller relating to the subject subsidiary,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w:t>
      </w:r>
    </w:p>
    <w:p>
      <w:pPr>
        <w:spacing w:after="0" w:line="70" w:lineRule="exact"/>
        <w:rPr>
          <w:rFonts w:ascii="Arial" w:cs="Arial" w:eastAsia="Arial" w:hAnsi="Arial"/>
          <w:sz w:val="16"/>
          <w:szCs w:val="16"/>
          <w:b w:val="1"/>
          <w:bCs w:val="1"/>
          <w:color w:val="auto"/>
        </w:rPr>
      </w:pPr>
    </w:p>
    <w:p>
      <w:pPr>
        <w:ind w:left="900" w:right="100" w:hanging="446"/>
        <w:spacing w:after="0" w:line="264"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 party claims relating to the carrying out of their respective duties under such agreements; and</w:t>
      </w:r>
    </w:p>
    <w:p>
      <w:pPr>
        <w:spacing w:after="0" w:line="86" w:lineRule="exact"/>
        <w:rPr>
          <w:rFonts w:ascii="Arial" w:cs="Arial" w:eastAsia="Arial" w:hAnsi="Arial"/>
          <w:sz w:val="18"/>
          <w:szCs w:val="18"/>
          <w:b w:val="1"/>
          <w:bCs w:val="1"/>
          <w:color w:val="auto"/>
        </w:rPr>
      </w:pPr>
    </w:p>
    <w:p>
      <w:pPr>
        <w:ind w:left="900" w:hanging="446"/>
        <w:spacing w:after="0"/>
        <w:tabs>
          <w:tab w:leader="none" w:pos="90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The Company has obtained surety bonds in compliance with money transfer licensing requirements of the applicable governmental authorities.</w:t>
      </w:r>
    </w:p>
    <w:p>
      <w:pPr>
        <w:spacing w:after="0" w:line="140"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The Company is also required to meet minimum capitalization and cash requirements of various regulatory authorities in the jurisdictions in which the Company has money transfer operations. To date, the Company is not aware of any significant claims made by the indemnified parties or third parties to guarantee agreements with the Company and, accordingly, no liabilities were recorded as of September 30, 2010 or December 31, 2009.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effective tax rates for continuing operations were 25.1% and 30.4% for the three-month periods ended September 30, 2010 and 2009, respectively, and were 42.3% and 46.8% for the nine-month periods ended September 30, 2010 and 2009, respectively. The effective tax rates were significantly influenced by the foreign currency exchange gains and losses in the respective periods and by the gain on dispute settlement in the third quarter of 2010, the gain on sale of investment securities in the third quarter of 2009 and the goodwill and acquired intangible assets impairment charge in the first quarter of 2009. Excluding these items from pre-tax income, as well as the related tax effects for these items, the Company’s effective tax rates were 43.0% and 46.3% for the three months ended September 30, 2010 and 2009, respectively, and 40.5% and 45.0% for the nine months ended September 30, 2010 and 2009, respectively.</w:t>
      </w:r>
    </w:p>
    <w:p>
      <w:pPr>
        <w:spacing w:after="0" w:line="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increase in the effective tax rate, as adjusted, for the three and nine months ended September 30, 2010 compared to the applicable statutory rate of 35% is primarily related to the Company’s U.S. tax position. For the three- and nine-month periods ended September 30, 2010, the Company has recorded a valuation allowance against its U.S. federal tax net operating losses as it is more likely than not that a</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tax benefit will not be realized. Accordingly, the federal income tax benefit associated with pre-tax book losses generated by the Company’s U.S. entities has not been recognized in these periods. The effective tax rate for the third quarter of 2010 is lower than that of the third quarter of 2009 because a greater portion of the Company’s income was earned in countries with lower tax rates during the third quarter of 2010 than during the same period in 2009. Also contributing to the decrease in the effective tax rate for the first nine months of 2010 compared to the same period in 2009 was a $1.0 million adjustment to the reserve related to deferred tax assets generated from prior U.S. net operating losses and a $0.8 million adjustment related to a foreign tax law change recorded in the first nine months of 2010.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CONTINGENCIES</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the second quarter of 2009, the Antitrust Division of the United States Department of Justice (the “DOJ”) served Continental Exchange Solutions, Inc. d/b/a RIA Financial Services (“CES”), an indirect, wholly-owned subsidiary of the Company, with a grand jury subpoena requesting documents from CES and its affiliates in connection with an investigation into possible price collusion related to money transmission services to the Dominican Republic (“D.R.”) during the period from January 1, 2004 to the date of the subpoena. The Company acquired all of the stock of RIA Envia, Inc., the parent of CES, in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April 2007. CES foreign exchange transactions between the U.S and the D.R. generated approximately 0.3% of the Company’s 2009 consolidated revenues.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CES are fully cooperating with the DOJ in its investigation.</w:t>
      </w:r>
    </w:p>
    <w:p>
      <w:pPr>
        <w:spacing w:after="0" w:line="103"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Company believes that, during the period covered by the DOJ investigation, CES generally derived part of its charge for exchanging U.S. dollars into D.R. pesos from a reference rate recommended by ADEREDI, a trade association in the D.R. composed of a CES subsidiary and other D.R. money transfer firms. The Company further believes, however, that CES set its own service fee on the D.R. transactions and its overall transaction price to customers. Customers were also free during this time period to use CES and other firms to transmit dollars into the D.R., without conversion into D.R. pesos, and the Company believes such transmissions occurred with increasing frequency over the course of this time period.</w:t>
      </w:r>
    </w:p>
    <w:p>
      <w:pPr>
        <w:spacing w:after="0" w:line="6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At this time, the Company is unable to predict the outcome of the DOJ investigation, or, if charges were to be brought against CES, the possible range of loss, if any, associated with the resolution of any such charges. Nor can the Company predict any potential effect on the Company’s business, results of operations or financial condition arising from such charges or potential collateral consequences, which could include fines, penalties, limitations on or revocation of CES’s license to engage in the money transfer business in one or more states, and civil liability. In addition, the Company has incurred and may continue to incur significant fees and expenses in connection with the DOJ investigation and related matters.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Euronet Worldwide, Inc. (“Euronet” the “Company,” “we” or “us”)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and card outsourcing services; electronic distribution of prepaid mobile airtime and other prepaid products; and global consumer money transfer services. As of September 30, 2010, we operate in the following three principal operating segments:</w:t>
      </w:r>
    </w:p>
    <w:p>
      <w:pPr>
        <w:spacing w:after="0" w:line="46" w:lineRule="exact"/>
        <w:rPr>
          <w:sz w:val="20"/>
          <w:szCs w:val="20"/>
          <w:color w:val="auto"/>
        </w:rPr>
      </w:pPr>
    </w:p>
    <w:p>
      <w:pPr>
        <w:ind w:left="660" w:right="60" w:hanging="436"/>
        <w:spacing w:after="0" w:line="25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EFT Processing Segment, which processes transactions for a network of 10,519 ATMs and approximately 56,000 POS terminals across Europe, the Middle East and Asia Pacific. We provide comprehensive electronic payment solutions consisting of ATM network participation, outsourced ATM and POS management solutions, credit and debit card outsourcing and electronic recharge services for prepaid mobile airtime. Through this segment, we also offer a suite of integrated electronic financial transaction (“EFT”) software solutions for electronic payment and transaction delivery systems.</w:t>
      </w:r>
    </w:p>
    <w:p>
      <w:pPr>
        <w:spacing w:after="0" w:line="93" w:lineRule="exact"/>
        <w:rPr>
          <w:rFonts w:ascii="Arial" w:cs="Arial" w:eastAsia="Arial" w:hAnsi="Arial"/>
          <w:sz w:val="18"/>
          <w:szCs w:val="18"/>
          <w:b w:val="1"/>
          <w:bCs w:val="1"/>
          <w:color w:val="auto"/>
        </w:rPr>
      </w:pPr>
    </w:p>
    <w:p>
      <w:pPr>
        <w:ind w:left="660" w:right="140" w:hanging="436"/>
        <w:spacing w:after="0" w:line="259"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epay Segment, which provides distribution of prepaid mobile airtime and other electronic payment products and collection services for various prepaid products, cards and services. Including terminals operated by unconsolidated subsidiaries, we operate a network of approximately 541,000 POS terminals providing electronic processing of prepaid mobile airtime top-up services in Europe, the Middle East, Asia Pacific, North America and South America.</w:t>
      </w:r>
    </w:p>
    <w:p>
      <w:pPr>
        <w:spacing w:after="0" w:line="92" w:lineRule="exact"/>
        <w:rPr>
          <w:rFonts w:ascii="Arial" w:cs="Arial" w:eastAsia="Arial" w:hAnsi="Arial"/>
          <w:sz w:val="18"/>
          <w:szCs w:val="18"/>
          <w:b w:val="1"/>
          <w:bCs w:val="1"/>
          <w:color w:val="auto"/>
        </w:rPr>
      </w:pPr>
    </w:p>
    <w:p>
      <w:pPr>
        <w:ind w:left="660" w:hanging="436"/>
        <w:spacing w:after="0" w:line="25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Money Transfer Segment, which provides global consumer-to-consumer money transfer and bill payment services through a sending network of agents and Company-owned stores primarily in North America and Europe, disbursing money transfers through a worldwide correspondent network. The Money Transfer Segment originates and terminates transactions through a network of approximately 104,900 locations, which include sending agents and Company-owned stores, and an extensive correspondent network in more than 120 countries. Bill payment services are offered primarily in the U.S.</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six processing centers in Europe, two in Asia Pacific and two in North America. We have 26 principal offices in Europe, seven in North America, six in Asia Pacific, one in South America and one in the Middle East. Our executive offices are located in Leawood, Kansas, USA. With approximately 77% of our revenues denominated in currencies other than the U.S. dollar, any significant changes in currency exchange rates will likely have a significant impact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Euronet earns revenues and income based on ATM management fees, transaction fees and commissions, professional services, software licensing fees and software maintenance agreements. Each operating segment’s sources of revenue are described below.</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19% of total consolidated revenues for the first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of 2010, are derived from fees charged for transactions made by cardholders on our proprietary network of ATMs, as well as fixed management fees and transaction fees we charge to banks for operating ATMs and processing debit and credit cards under outsourcing agreements. Through our proprietary network, we generally charge fees for four types of ATM transactions: i) cash withdrawals, ii) balance inquiries, iii) transactions not completed because the relevant card issuer did not give authorization, and iv) prepaid telecommunication recharges. Revenues in this segment are also derived from license fees, professional services and maintenance fees for software and sales of related hardware. Software license fees are the fees we charge to license our proprietary application software to customers. Professional service fees consist of charges for customization, installation and consulting services to customers. Software maintenance revenues represent the ongoing fees charged for maintenance and support for customers’ software products. Hardware sales are derived from the sale of computer equipment necessary for the respective software solution.</w:t>
      </w:r>
    </w:p>
    <w:p>
      <w:pPr>
        <w:spacing w:after="0" w:line="7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 xml:space="preserve">epay Segment </w:t>
      </w:r>
      <w:r>
        <w:rPr>
          <w:rFonts w:ascii="Arial" w:cs="Arial" w:eastAsia="Arial" w:hAnsi="Arial"/>
          <w:sz w:val="17"/>
          <w:szCs w:val="17"/>
          <w:color w:val="auto"/>
        </w:rPr>
        <w:t>— Revenues in the epay Segment, which represented approximately 57% of total consolidated revenues for the first nine months of 2010, are</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derived from commissions or processing fees received from telecommunications service providers for the sale and distribution of prepaid mobile airtime. We also generate revenues from commissions earned from the distribution of other electronic payment products. Due to certain provisions in our mobile phone operator agreements, the operators have the ability to reduce the overall commission paid on each top-up transaction. 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 impact on gross profit and operating income. In some markets, reductions in commissions can significantly impact our results as it may not be possible, either contractually or commercially in the concerned market, to pass a reduction in commissions to the retailers. In Australia, certain retailers negotiate directly with the mobile phone operators for their own commission rates, which also limits our ability to pass through reductions in commissions. Agreements with mobile operators are important to the success of our business. These agreements permit us to distribute prepaid mobile airtime to the mobile operators’ customers. Other</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products offered by this segment include prepaid long distance calling card plans, prepaid Internet plans, prepaid debit cards, prepaid gift cards, prepaid vouchers, transport payments, lottery payments, bill payment, money transfer and prepaid content such as music and games.</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Revenues in the Money Transfer Segment, which represented approximately 24% of total consolidated revenues for the first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2010, are primarily derived from charging a transaction fee and retaining the difference between the price of foreign currency purchased at wholesale exchange rates and sold to consumers at retail exchange rates. We have an origination network in place comprised of agents and Company-owned stores primarily in North America and Europe and a worldwide network of correspondent agents, consisting primarily of financial institutions in the transfer destination countries. Origination and correspondent agents each earn fees for cash collection and distribution services. These fees are recognized as direct operating costs at the time of sale.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 but</w:t>
      </w:r>
      <w:r>
        <w:rPr>
          <w:rFonts w:ascii="Arial" w:cs="Arial" w:eastAsia="Arial" w:hAnsi="Arial"/>
          <w:sz w:val="18"/>
          <w:szCs w:val="18"/>
          <w:i w:val="1"/>
          <w:iCs w:val="1"/>
          <w:color w:val="auto"/>
        </w:rPr>
        <w:t xml:space="preserve"> </w:t>
      </w:r>
      <w:r>
        <w:rPr>
          <w:rFonts w:ascii="Arial" w:cs="Arial" w:eastAsia="Arial" w:hAnsi="Arial"/>
          <w:sz w:val="18"/>
          <w:szCs w:val="18"/>
          <w:color w:val="auto"/>
        </w:rPr>
        <w:t>not necessarily limited to, the following:</w:t>
      </w:r>
    </w:p>
    <w:p>
      <w:pPr>
        <w:spacing w:after="0" w:line="62"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demand for our ATM outsourcing services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develop products or services to drive increases in transactions;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expansion of our various business lines in markets where we operate and in new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entrance into additional card acceptance and ATM management agreements with banks;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obtain required licenses in markets we intend to enter or expand services;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expansion;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efficiently install ATMs contracted under newly awarded outsourcing agreements;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renew existing contracts at profitable rates;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maintain pricing at current levels;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impact of reductions in interchange fees;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expand and sign additional customers for the cross-border merchant processing and acquiring business;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negotiate new agreements in additional markets with mobile phone operators, agent financial institutions and retailers;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use existing expertise and relationships with mobile operators and retailers to our advantage;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continued use of third-party providers such as ourselves to supply electronic processing solutions for prepaid content;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the development of mobile phone networks in the markets in which we do business and the increase in the number of mobile phone users;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overall pace of growth in the prepaid mobile phone market;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market share of the retail distribution capacity;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development of new technologies that may compete with POS distribution of prepaid mobile airtime;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level of commission that is paid to the various intermediaries in the prepaid distribution chain;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fully recover monies collected by retailers;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add new and differentiated prepaid products in addition to those offered by mobile operators;</w:t>
      </w:r>
    </w:p>
    <w:p>
      <w:pPr>
        <w:spacing w:after="0" w:line="130"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take advantage of cross-selling opportunities with our Money Transfer Segment, including providing money transfer services through our prepaid locations;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further expansion.</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expansion and development of our Money Transfer Segment business will depend on various factors, including, but not</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necessarily limited to, the following:</w:t>
      </w:r>
    </w:p>
    <w:p>
      <w:pPr>
        <w:spacing w:after="0" w:line="62"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continued growth in worker migration and employment opportunities;</w:t>
      </w:r>
    </w:p>
    <w:p>
      <w:pPr>
        <w:spacing w:after="0" w:line="130" w:lineRule="exact"/>
        <w:rPr>
          <w:rFonts w:ascii="Arial" w:cs="Arial" w:eastAsia="Arial" w:hAnsi="Arial"/>
          <w:sz w:val="18"/>
          <w:szCs w:val="18"/>
          <w:b w:val="1"/>
          <w:bCs w:val="1"/>
          <w:color w:val="auto"/>
        </w:rPr>
      </w:pPr>
    </w:p>
    <w:p>
      <w:pPr>
        <w:ind w:left="660" w:right="50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mitigation of economic and political factors that have had an adverse impact on money transfer volumes, such as changes in the economic sectors in which immigrants work and the developments in immigration policies in the U.S.;</w:t>
      </w:r>
    </w:p>
    <w:p>
      <w:pPr>
        <w:spacing w:after="0" w:line="75" w:lineRule="exact"/>
        <w:rPr>
          <w:rFonts w:ascii="Arial" w:cs="Arial" w:eastAsia="Arial" w:hAnsi="Arial"/>
          <w:sz w:val="18"/>
          <w:szCs w:val="18"/>
          <w:b w:val="1"/>
          <w:bCs w:val="1"/>
          <w:color w:val="auto"/>
        </w:rPr>
      </w:pPr>
    </w:p>
    <w:p>
      <w:pPr>
        <w:ind w:left="660" w:right="24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of increased use of electronic money transfer and bill payment services among immigrant workers and the unbanked population in our markets;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ability to maintain our agent and correspondent networks;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the ability to offer our products and services or develop new products and services at competitive prices to drive increases in transactions;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development of new technologies that may compete with our money transfer network;</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expansion of our services in markets where we operate and in new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ability to strengthen our brands;</w:t>
      </w:r>
    </w:p>
    <w:p>
      <w:pPr>
        <w:sectPr>
          <w:pgSz w:w="11900" w:h="16838" w:orient="portrait"/>
          <w:cols w:equalWidth="0" w:num="1">
            <w:col w:w="11380"/>
          </w:cols>
          <w:pgMar w:left="240" w:top="419" w:right="279" w:bottom="0" w:gutter="0" w:footer="0" w:header="0"/>
        </w:sectPr>
      </w:pPr>
    </w:p>
    <w:bookmarkStart w:id="19" w:name="page20"/>
    <w:bookmarkEnd w:id="19"/>
    <w:p>
      <w:pPr>
        <w:ind w:left="440" w:hanging="436"/>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ability to fund working capital requirements;</w:t>
      </w:r>
    </w:p>
    <w:p>
      <w:pPr>
        <w:spacing w:after="0" w:line="19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99"/>
          </w:cols>
          <w:pgMar w:left="460" w:top="247"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30" w:lineRule="exact"/>
        <w:rPr>
          <w:rFonts w:ascii="Arial" w:cs="Arial" w:eastAsia="Arial" w:hAnsi="Arial"/>
          <w:sz w:val="18"/>
          <w:szCs w:val="18"/>
          <w:b w:val="1"/>
          <w:bCs w:val="1"/>
          <w:color w:val="auto"/>
        </w:rPr>
      </w:pPr>
    </w:p>
    <w:p>
      <w:pPr>
        <w:ind w:left="660" w:right="32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ability to take advantage of cross-selling opportunities with our epay Segment, including providing prepaid services through RIA’s stores and agents worldwide;</w:t>
      </w:r>
    </w:p>
    <w:p>
      <w:pPr>
        <w:spacing w:after="0" w:line="75"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ability to leverage our banking and merchant/retailer relationships to expand money transfer corridors to Europe, Asia and Africa, including high growth corridors to Central and Eastern European countries;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further expansion;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ability to continue to successfully integrate RIA with our other operations;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ability to successfully expand our agent network in Europe using our Payment Services Directive license.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 and Other” category includes non-operating activity, certain inter-segment eliminations and the cost of providing corporate and other administrative services to the operating segments, including share-based compensation expense. These services are not directly identifiable with our operating segments.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Revenues and operating income by segment for the three- and nine-month periods ended September 30, 2010 and 2009 are summarized in the tables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7"/>
          </w:tcPr>
          <w:p>
            <w:pPr>
              <w:jc w:val="center"/>
              <w:ind w:right="580"/>
              <w:spacing w:after="0"/>
              <w:rPr>
                <w:sz w:val="20"/>
                <w:szCs w:val="20"/>
                <w:color w:val="auto"/>
              </w:rPr>
            </w:pPr>
            <w:r>
              <w:rPr>
                <w:rFonts w:ascii="Arial" w:cs="Arial" w:eastAsia="Arial" w:hAnsi="Arial"/>
                <w:sz w:val="14"/>
                <w:szCs w:val="14"/>
                <w:b w:val="1"/>
                <w:bCs w:val="1"/>
                <w:color w:val="auto"/>
                <w:w w:val="91"/>
              </w:rPr>
              <w:t>Revenues for the Three</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40" w:type="dxa"/>
            <w:vAlign w:val="bottom"/>
            <w:gridSpan w:val="6"/>
          </w:tcPr>
          <w:p>
            <w:pPr>
              <w:ind w:left="180"/>
              <w:spacing w:after="0"/>
              <w:rPr>
                <w:sz w:val="20"/>
                <w:szCs w:val="20"/>
                <w:color w:val="auto"/>
              </w:rPr>
            </w:pPr>
            <w:r>
              <w:rPr>
                <w:rFonts w:ascii="Arial" w:cs="Arial" w:eastAsia="Arial" w:hAnsi="Arial"/>
                <w:sz w:val="14"/>
                <w:szCs w:val="14"/>
                <w:b w:val="1"/>
                <w:bCs w:val="1"/>
                <w:color w:val="auto"/>
              </w:rPr>
              <w:t>Revenues for the Nine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7"/>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Months Ended September</w:t>
            </w:r>
          </w:p>
        </w:tc>
        <w:tc>
          <w:tcPr>
            <w:tcW w:w="100" w:type="dxa"/>
            <w:vAlign w:val="bottom"/>
          </w:tcPr>
          <w:p>
            <w:pPr>
              <w:spacing w:after="0"/>
              <w:rPr>
                <w:sz w:val="12"/>
                <w:szCs w:val="12"/>
                <w:color w:val="auto"/>
              </w:rPr>
            </w:pPr>
          </w:p>
        </w:tc>
        <w:tc>
          <w:tcPr>
            <w:tcW w:w="1680" w:type="dxa"/>
            <w:vAlign w:val="bottom"/>
            <w:gridSpan w:val="3"/>
            <w:vMerge w:val="restart"/>
          </w:tcPr>
          <w:p>
            <w:pPr>
              <w:jc w:val="right"/>
              <w:ind w:right="97"/>
              <w:spacing w:after="0"/>
              <w:rPr>
                <w:sz w:val="20"/>
                <w:szCs w:val="20"/>
                <w:color w:val="auto"/>
              </w:rPr>
            </w:pPr>
            <w:r>
              <w:rPr>
                <w:rFonts w:ascii="Arial" w:cs="Arial" w:eastAsia="Arial" w:hAnsi="Arial"/>
                <w:sz w:val="14"/>
                <w:szCs w:val="14"/>
                <w:b w:val="1"/>
                <w:bCs w:val="1"/>
                <w:color w:val="auto"/>
                <w:w w:val="95"/>
              </w:rPr>
              <w:t>Year-over-Year Change</w:t>
            </w:r>
          </w:p>
        </w:tc>
        <w:tc>
          <w:tcPr>
            <w:tcW w:w="500" w:type="dxa"/>
            <w:vAlign w:val="bottom"/>
          </w:tcPr>
          <w:p>
            <w:pPr>
              <w:spacing w:after="0"/>
              <w:rPr>
                <w:sz w:val="12"/>
                <w:szCs w:val="12"/>
                <w:color w:val="auto"/>
              </w:rPr>
            </w:pPr>
          </w:p>
        </w:tc>
        <w:tc>
          <w:tcPr>
            <w:tcW w:w="2240" w:type="dxa"/>
            <w:vAlign w:val="bottom"/>
            <w:gridSpan w:val="6"/>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Months Ended September</w:t>
            </w:r>
          </w:p>
        </w:tc>
        <w:tc>
          <w:tcPr>
            <w:tcW w:w="120" w:type="dxa"/>
            <w:vAlign w:val="bottom"/>
          </w:tcPr>
          <w:p>
            <w:pPr>
              <w:spacing w:after="0"/>
              <w:rPr>
                <w:sz w:val="12"/>
                <w:szCs w:val="12"/>
                <w:color w:val="auto"/>
              </w:rPr>
            </w:pPr>
          </w:p>
        </w:tc>
        <w:tc>
          <w:tcPr>
            <w:tcW w:w="17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30,</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ind w:right="74"/>
              <w:spacing w:after="0"/>
              <w:rPr>
                <w:sz w:val="20"/>
                <w:szCs w:val="20"/>
                <w:color w:val="auto"/>
              </w:rPr>
            </w:pPr>
            <w:r>
              <w:rPr>
                <w:rFonts w:ascii="Arial" w:cs="Arial" w:eastAsia="Arial" w:hAnsi="Arial"/>
                <w:sz w:val="14"/>
                <w:szCs w:val="14"/>
                <w:b w:val="1"/>
                <w:bCs w:val="1"/>
                <w:color w:val="auto"/>
                <w:w w:val="92"/>
              </w:rPr>
              <w:t>30,</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rPr>
              <w:t>Increase</w:t>
            </w: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(Decrease)</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(Decrease)</w:t>
            </w:r>
          </w:p>
        </w:tc>
        <w:tc>
          <w:tcPr>
            <w:tcW w:w="1140" w:type="dxa"/>
            <w:vAlign w:val="bottom"/>
            <w:gridSpan w:val="2"/>
            <w:vMerge w:val="restart"/>
          </w:tcPr>
          <w:p>
            <w:pPr>
              <w:jc w:val="right"/>
              <w:ind w:right="125"/>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30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EFT Processing</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49,098</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50,939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(1,841)</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1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$ 144,152</w:t>
            </w:r>
          </w:p>
        </w:tc>
        <w:tc>
          <w:tcPr>
            <w:tcW w:w="12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142,737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1,415</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epay</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148,037</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153,610</w:t>
            </w: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(5,573)</w:t>
            </w:r>
          </w:p>
        </w:tc>
        <w:tc>
          <w:tcPr>
            <w:tcW w:w="620" w:type="dxa"/>
            <w:vAlign w:val="bottom"/>
          </w:tcPr>
          <w:p>
            <w:pPr>
              <w:jc w:val="right"/>
              <w:ind w:right="17"/>
              <w:spacing w:after="0"/>
              <w:rPr>
                <w:sz w:val="20"/>
                <w:szCs w:val="20"/>
                <w:color w:val="auto"/>
              </w:rPr>
            </w:pPr>
            <w:r>
              <w:rPr>
                <w:rFonts w:ascii="Arial" w:cs="Arial" w:eastAsia="Arial" w:hAnsi="Arial"/>
                <w:sz w:val="18"/>
                <w:szCs w:val="18"/>
                <w:color w:val="auto"/>
              </w:rPr>
              <w:t>(4%)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431,106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433,386</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(2,280)</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Transfer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63,088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60,271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5%</w:t>
            </w:r>
          </w:p>
        </w:tc>
        <w:tc>
          <w:tcPr>
            <w:tcW w:w="11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179,196</w:t>
            </w:r>
          </w:p>
        </w:tc>
        <w:tc>
          <w:tcPr>
            <w:tcW w:w="120" w:type="dxa"/>
            <w:vAlign w:val="bottom"/>
            <w:tcBorders>
              <w:lef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171,008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8,188</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260,223</w:t>
            </w:r>
          </w:p>
        </w:tc>
        <w:tc>
          <w:tcPr>
            <w:tcW w:w="6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264,820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(4,597)</w:t>
            </w:r>
          </w:p>
        </w:tc>
        <w:tc>
          <w:tcPr>
            <w:tcW w:w="620" w:type="dxa"/>
            <w:vAlign w:val="bottom"/>
          </w:tcPr>
          <w:p>
            <w:pPr>
              <w:jc w:val="right"/>
              <w:ind w:right="17"/>
              <w:spacing w:after="0"/>
              <w:rPr>
                <w:sz w:val="20"/>
                <w:szCs w:val="20"/>
                <w:color w:val="auto"/>
              </w:rPr>
            </w:pPr>
            <w:r>
              <w:rPr>
                <w:rFonts w:ascii="Arial" w:cs="Arial" w:eastAsia="Arial" w:hAnsi="Arial"/>
                <w:sz w:val="18"/>
                <w:szCs w:val="18"/>
                <w:color w:val="auto"/>
              </w:rPr>
              <w:t>(2%)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$ 754,454</w:t>
            </w:r>
          </w:p>
        </w:tc>
        <w:tc>
          <w:tcPr>
            <w:tcW w:w="12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747,131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7,323</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7"/>
          </w:tcPr>
          <w:p>
            <w:pPr>
              <w:jc w:val="center"/>
              <w:ind w:right="580"/>
              <w:spacing w:after="0"/>
              <w:rPr>
                <w:sz w:val="20"/>
                <w:szCs w:val="20"/>
                <w:color w:val="auto"/>
              </w:rPr>
            </w:pPr>
            <w:r>
              <w:rPr>
                <w:rFonts w:ascii="Arial" w:cs="Arial" w:eastAsia="Arial" w:hAnsi="Arial"/>
                <w:sz w:val="14"/>
                <w:szCs w:val="14"/>
                <w:b w:val="1"/>
                <w:bCs w:val="1"/>
                <w:color w:val="auto"/>
                <w:w w:val="93"/>
              </w:rPr>
              <w:t>Operating Income (Loss)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4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3"/>
              </w:rPr>
              <w:t>Operating Income (Loss)</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7"/>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for the Three Months</w:t>
            </w:r>
          </w:p>
        </w:tc>
        <w:tc>
          <w:tcPr>
            <w:tcW w:w="100" w:type="dxa"/>
            <w:vAlign w:val="bottom"/>
          </w:tcPr>
          <w:p>
            <w:pPr>
              <w:spacing w:after="0"/>
              <w:rPr>
                <w:sz w:val="12"/>
                <w:szCs w:val="12"/>
                <w:color w:val="auto"/>
              </w:rPr>
            </w:pPr>
          </w:p>
        </w:tc>
        <w:tc>
          <w:tcPr>
            <w:tcW w:w="1680" w:type="dxa"/>
            <w:vAlign w:val="bottom"/>
            <w:gridSpan w:val="3"/>
            <w:vMerge w:val="restart"/>
          </w:tcPr>
          <w:p>
            <w:pPr>
              <w:jc w:val="right"/>
              <w:ind w:right="57"/>
              <w:spacing w:after="0"/>
              <w:rPr>
                <w:sz w:val="20"/>
                <w:szCs w:val="20"/>
                <w:color w:val="auto"/>
              </w:rPr>
            </w:pPr>
            <w:r>
              <w:rPr>
                <w:rFonts w:ascii="Arial" w:cs="Arial" w:eastAsia="Arial" w:hAnsi="Arial"/>
                <w:sz w:val="14"/>
                <w:szCs w:val="14"/>
                <w:b w:val="1"/>
                <w:bCs w:val="1"/>
                <w:color w:val="auto"/>
                <w:w w:val="98"/>
              </w:rPr>
              <w:t>Year-over-Year Change</w:t>
            </w:r>
          </w:p>
        </w:tc>
        <w:tc>
          <w:tcPr>
            <w:tcW w:w="500" w:type="dxa"/>
            <w:vAlign w:val="bottom"/>
          </w:tcPr>
          <w:p>
            <w:pPr>
              <w:spacing w:after="0"/>
              <w:rPr>
                <w:sz w:val="12"/>
                <w:szCs w:val="12"/>
                <w:color w:val="auto"/>
              </w:rPr>
            </w:pPr>
          </w:p>
        </w:tc>
        <w:tc>
          <w:tcPr>
            <w:tcW w:w="2240" w:type="dxa"/>
            <w:vAlign w:val="bottom"/>
            <w:gridSpan w:val="6"/>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for the Nine Months</w:t>
            </w:r>
          </w:p>
        </w:tc>
        <w:tc>
          <w:tcPr>
            <w:tcW w:w="120" w:type="dxa"/>
            <w:vAlign w:val="bottom"/>
          </w:tcPr>
          <w:p>
            <w:pPr>
              <w:spacing w:after="0"/>
              <w:rPr>
                <w:sz w:val="12"/>
                <w:szCs w:val="12"/>
                <w:color w:val="auto"/>
              </w:rPr>
            </w:pPr>
          </w:p>
        </w:tc>
        <w:tc>
          <w:tcPr>
            <w:tcW w:w="17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7"/>
          </w:tcPr>
          <w:p>
            <w:pPr>
              <w:jc w:val="center"/>
              <w:ind w:right="560"/>
              <w:spacing w:after="0"/>
              <w:rPr>
                <w:sz w:val="20"/>
                <w:szCs w:val="20"/>
                <w:color w:val="auto"/>
              </w:rPr>
            </w:pPr>
            <w:r>
              <w:rPr>
                <w:rFonts w:ascii="Arial" w:cs="Arial" w:eastAsia="Arial" w:hAnsi="Arial"/>
                <w:sz w:val="14"/>
                <w:szCs w:val="14"/>
                <w:b w:val="1"/>
                <w:bCs w:val="1"/>
                <w:color w:val="auto"/>
                <w:w w:val="92"/>
              </w:rPr>
              <w:t>Ended September 30,</w:t>
            </w:r>
          </w:p>
        </w:tc>
        <w:tc>
          <w:tcPr>
            <w:tcW w:w="10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224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1"/>
              </w:rPr>
              <w:t>Ended September 30,</w:t>
            </w:r>
          </w:p>
        </w:tc>
        <w:tc>
          <w:tcPr>
            <w:tcW w:w="120" w:type="dxa"/>
            <w:vAlign w:val="bottom"/>
          </w:tcPr>
          <w:p>
            <w:pPr>
              <w:spacing w:after="0"/>
              <w:rPr>
                <w:sz w:val="14"/>
                <w:szCs w:val="14"/>
                <w:color w:val="auto"/>
              </w:rPr>
            </w:pPr>
          </w:p>
        </w:tc>
        <w:tc>
          <w:tcPr>
            <w:tcW w:w="17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w w:val="94"/>
              </w:rPr>
              <w:t>Increase</w:t>
            </w: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116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2"/>
              </w:rPr>
              <w:t>(Decrease)</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(Decrease)</w:t>
            </w:r>
          </w:p>
        </w:tc>
        <w:tc>
          <w:tcPr>
            <w:tcW w:w="114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30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0"/>
              </w:rPr>
              <w:t>Amount</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EFT Processing</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10,505</w:t>
            </w:r>
          </w:p>
        </w:tc>
        <w:tc>
          <w:tcPr>
            <w:tcW w:w="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12,249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(1,744)</w:t>
            </w:r>
          </w:p>
        </w:tc>
        <w:tc>
          <w:tcPr>
            <w:tcW w:w="620" w:type="dxa"/>
            <w:vAlign w:val="bottom"/>
            <w:shd w:val="clear" w:color="auto" w:fill="CCEEFF"/>
          </w:tcPr>
          <w:p>
            <w:pPr>
              <w:jc w:val="center"/>
              <w:ind w:left="57"/>
              <w:spacing w:after="0"/>
              <w:rPr>
                <w:sz w:val="20"/>
                <w:szCs w:val="20"/>
                <w:color w:val="auto"/>
              </w:rPr>
            </w:pPr>
            <w:r>
              <w:rPr>
                <w:rFonts w:ascii="Arial" w:cs="Arial" w:eastAsia="Arial" w:hAnsi="Arial"/>
                <w:sz w:val="18"/>
                <w:szCs w:val="18"/>
                <w:color w:val="auto"/>
                <w:w w:val="91"/>
              </w:rPr>
              <w:t>(14%)</w:t>
            </w:r>
          </w:p>
        </w:tc>
        <w:tc>
          <w:tcPr>
            <w:tcW w:w="126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$ 28,457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33,958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(5,501)</w:t>
            </w:r>
          </w:p>
        </w:tc>
        <w:tc>
          <w:tcPr>
            <w:tcW w:w="68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5"/>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Epay</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11,798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13,548</w:t>
            </w: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(1,750)</w:t>
            </w:r>
          </w:p>
        </w:tc>
        <w:tc>
          <w:tcPr>
            <w:tcW w:w="620" w:type="dxa"/>
            <w:vAlign w:val="bottom"/>
          </w:tcPr>
          <w:p>
            <w:pPr>
              <w:jc w:val="center"/>
              <w:ind w:left="57"/>
              <w:spacing w:after="0"/>
              <w:rPr>
                <w:sz w:val="20"/>
                <w:szCs w:val="20"/>
                <w:color w:val="auto"/>
              </w:rPr>
            </w:pPr>
            <w:r>
              <w:rPr>
                <w:rFonts w:ascii="Arial" w:cs="Arial" w:eastAsia="Arial" w:hAnsi="Arial"/>
                <w:sz w:val="18"/>
                <w:szCs w:val="18"/>
                <w:color w:val="auto"/>
                <w:w w:val="91"/>
              </w:rPr>
              <w:t>(13%)</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33,398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36,535</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(3,137)</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Transfer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2,575</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1,150</w:t>
            </w:r>
          </w:p>
        </w:tc>
        <w:tc>
          <w:tcPr>
            <w:tcW w:w="620" w:type="dxa"/>
            <w:vAlign w:val="bottom"/>
            <w:shd w:val="clear" w:color="auto" w:fill="CCEEFF"/>
          </w:tcPr>
          <w:p>
            <w:pPr>
              <w:jc w:val="center"/>
              <w:ind w:left="57"/>
              <w:spacing w:after="0"/>
              <w:rPr>
                <w:sz w:val="20"/>
                <w:szCs w:val="20"/>
                <w:color w:val="auto"/>
              </w:rPr>
            </w:pPr>
            <w:r>
              <w:rPr>
                <w:rFonts w:ascii="Arial" w:cs="Arial" w:eastAsia="Arial" w:hAnsi="Arial"/>
                <w:sz w:val="18"/>
                <w:szCs w:val="18"/>
                <w:color w:val="auto"/>
                <w:w w:val="88"/>
              </w:rPr>
              <w:t>45%</w:t>
            </w:r>
          </w:p>
        </w:tc>
        <w:tc>
          <w:tcPr>
            <w:tcW w:w="126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9,457</w:t>
            </w: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(2,615)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12,072</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8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28,372</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(2,344)</w:t>
            </w:r>
          </w:p>
        </w:tc>
        <w:tc>
          <w:tcPr>
            <w:tcW w:w="500" w:type="dxa"/>
            <w:vAlign w:val="bottom"/>
          </w:tcPr>
          <w:p>
            <w:pPr>
              <w:spacing w:after="0"/>
              <w:rPr>
                <w:sz w:val="19"/>
                <w:szCs w:val="19"/>
                <w:color w:val="auto"/>
              </w:rPr>
            </w:pPr>
          </w:p>
        </w:tc>
        <w:tc>
          <w:tcPr>
            <w:tcW w:w="620" w:type="dxa"/>
            <w:vAlign w:val="bottom"/>
          </w:tcPr>
          <w:p>
            <w:pPr>
              <w:jc w:val="center"/>
              <w:ind w:left="57"/>
              <w:spacing w:after="0"/>
              <w:rPr>
                <w:sz w:val="20"/>
                <w:szCs w:val="20"/>
                <w:color w:val="auto"/>
              </w:rPr>
            </w:pPr>
            <w:r>
              <w:rPr>
                <w:rFonts w:ascii="Arial" w:cs="Arial" w:eastAsia="Arial" w:hAnsi="Arial"/>
                <w:sz w:val="18"/>
                <w:szCs w:val="18"/>
                <w:color w:val="auto"/>
                <w:w w:val="94"/>
              </w:rPr>
              <w:t>(8%)</w:t>
            </w:r>
          </w:p>
        </w:tc>
        <w:tc>
          <w:tcPr>
            <w:tcW w:w="500" w:type="dxa"/>
            <w:vAlign w:val="bottom"/>
          </w:tcPr>
          <w:p>
            <w:pPr>
              <w:spacing w:after="0"/>
              <w:rPr>
                <w:sz w:val="19"/>
                <w:szCs w:val="19"/>
                <w:color w:val="auto"/>
              </w:rPr>
            </w:pPr>
          </w:p>
        </w:tc>
        <w:tc>
          <w:tcPr>
            <w:tcW w:w="6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76"/>
              </w:rPr>
              <w:t>71,312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67,878</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3,434</w:t>
            </w:r>
          </w:p>
        </w:tc>
        <w:tc>
          <w:tcPr>
            <w:tcW w:w="4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services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(5,766)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(6,287)</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521</w:t>
            </w:r>
          </w:p>
        </w:tc>
        <w:tc>
          <w:tcPr>
            <w:tcW w:w="620" w:type="dxa"/>
            <w:vAlign w:val="bottom"/>
            <w:shd w:val="clear" w:color="auto" w:fill="CCEEFF"/>
          </w:tcPr>
          <w:p>
            <w:pPr>
              <w:jc w:val="center"/>
              <w:ind w:left="57"/>
              <w:spacing w:after="0"/>
              <w:rPr>
                <w:sz w:val="20"/>
                <w:szCs w:val="20"/>
                <w:color w:val="auto"/>
              </w:rPr>
            </w:pPr>
            <w:r>
              <w:rPr>
                <w:rFonts w:ascii="Arial" w:cs="Arial" w:eastAsia="Arial" w:hAnsi="Arial"/>
                <w:sz w:val="18"/>
                <w:szCs w:val="18"/>
                <w:color w:val="auto"/>
                <w:w w:val="94"/>
              </w:rPr>
              <w:t>(8%)</w:t>
            </w:r>
          </w:p>
        </w:tc>
        <w:tc>
          <w:tcPr>
            <w:tcW w:w="12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(16,279)</w:t>
            </w: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(18,071)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1,792</w:t>
            </w:r>
          </w:p>
        </w:tc>
        <w:tc>
          <w:tcPr>
            <w:tcW w:w="68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5"/>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gridSpan w:val="2"/>
          </w:tcPr>
          <w:p>
            <w:pPr>
              <w:ind w:left="400"/>
              <w:spacing w:after="0"/>
              <w:rPr>
                <w:sz w:val="20"/>
                <w:szCs w:val="20"/>
                <w:color w:val="auto"/>
              </w:rPr>
            </w:pPr>
            <w:r>
              <w:rPr>
                <w:rFonts w:ascii="Arial" w:cs="Arial" w:eastAsia="Arial" w:hAnsi="Arial"/>
                <w:sz w:val="18"/>
                <w:szCs w:val="18"/>
                <w:color w:val="auto"/>
              </w:rPr>
              <w:t>Total</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20,262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22,085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(1,823)</w:t>
            </w:r>
          </w:p>
        </w:tc>
        <w:tc>
          <w:tcPr>
            <w:tcW w:w="620" w:type="dxa"/>
            <w:vAlign w:val="bottom"/>
          </w:tcPr>
          <w:p>
            <w:pPr>
              <w:jc w:val="center"/>
              <w:ind w:left="57"/>
              <w:spacing w:after="0"/>
              <w:rPr>
                <w:sz w:val="20"/>
                <w:szCs w:val="20"/>
                <w:color w:val="auto"/>
              </w:rPr>
            </w:pPr>
            <w:r>
              <w:rPr>
                <w:rFonts w:ascii="Arial" w:cs="Arial" w:eastAsia="Arial" w:hAnsi="Arial"/>
                <w:sz w:val="18"/>
                <w:szCs w:val="18"/>
                <w:color w:val="auto"/>
                <w:w w:val="94"/>
              </w:rPr>
              <w:t>(8%)</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$ 55,033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49,807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5,226</w:t>
            </w:r>
          </w:p>
        </w:tc>
        <w:tc>
          <w:tcPr>
            <w:tcW w:w="680" w:type="dxa"/>
            <w:vAlign w:val="bottom"/>
          </w:tcPr>
          <w:p>
            <w:pPr>
              <w:jc w:val="center"/>
              <w:ind w:left="17"/>
              <w:spacing w:after="0"/>
              <w:rPr>
                <w:sz w:val="20"/>
                <w:szCs w:val="20"/>
                <w:color w:val="auto"/>
              </w:rPr>
            </w:pPr>
            <w:r>
              <w:rPr>
                <w:rFonts w:ascii="Arial" w:cs="Arial" w:eastAsia="Arial" w:hAnsi="Arial"/>
                <w:sz w:val="18"/>
                <w:szCs w:val="18"/>
                <w:color w:val="auto"/>
                <w:w w:val="94"/>
              </w:rPr>
              <w:t>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30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19</w:t>
            </w: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Compared to most of the currencies of the foreign countries in which we operate, the U.S. dollar was stronger during the third quarter of 2010 than it was during the third quarter of 2009. Because our revenues and local expenses are recorded in the functional currencies of our operating entities, amounts we earned for the third quarter of 2010 were negatively impacted by the stronger U.S. dollar. Considering the results by country and the associated functional currency, we estimate that our consolidated operating income for the third quarter of 2010 was approximately 5% less when compared to the third quarter of 2009 as a result of changes in foreign currency exchange rates. For the nine months ended September 30, 2010, our consolidated operating income was not significantly influenced by the changes in foreign currency exchange rates compared to the nine months ended September 30, 2009. If significant, in our discussion we will refer to the impact of fluctuation in foreign currency exchange rates in our comparison of operating segment results for the three- and nine-month periods ended September 30, 2010 and 2009. To provide further perspective on the impact of foreign currency exchange rates, the following table shows the changes in values relative to the U.S. dollar from the third quarter and first nine months of 2009 to the third quarter and first nine months of 2010 of the currencies of the countries in which we have our most significant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20" w:type="dxa"/>
            <w:vAlign w:val="bottom"/>
            <w:tcBorders>
              <w:bottom w:val="single" w:sz="8" w:color="auto"/>
            </w:tcBorders>
            <w:gridSpan w:val="3"/>
          </w:tcPr>
          <w:p>
            <w:pPr>
              <w:jc w:val="right"/>
              <w:ind w:right="802"/>
              <w:spacing w:after="0"/>
              <w:rPr>
                <w:sz w:val="20"/>
                <w:szCs w:val="20"/>
                <w:color w:val="auto"/>
              </w:rPr>
            </w:pPr>
            <w:r>
              <w:rPr>
                <w:rFonts w:ascii="Arial" w:cs="Arial" w:eastAsia="Arial" w:hAnsi="Arial"/>
                <w:sz w:val="14"/>
                <w:szCs w:val="14"/>
                <w:b w:val="1"/>
                <w:bCs w:val="1"/>
                <w:color w:val="auto"/>
              </w:rPr>
              <w:t>Average Translation Rate</w:t>
            </w:r>
          </w:p>
        </w:tc>
        <w:tc>
          <w:tcPr>
            <w:tcW w:w="26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Increase</w:t>
            </w:r>
          </w:p>
        </w:tc>
        <w:tc>
          <w:tcPr>
            <w:tcW w:w="3160" w:type="dxa"/>
            <w:vAlign w:val="bottom"/>
            <w:tcBorders>
              <w:bottom w:val="single" w:sz="8" w:color="auto"/>
            </w:tcBorders>
            <w:gridSpan w:val="3"/>
          </w:tcPr>
          <w:p>
            <w:pPr>
              <w:jc w:val="right"/>
              <w:ind w:right="724"/>
              <w:spacing w:after="0"/>
              <w:rPr>
                <w:sz w:val="20"/>
                <w:szCs w:val="20"/>
                <w:color w:val="auto"/>
              </w:rPr>
            </w:pPr>
            <w:r>
              <w:rPr>
                <w:rFonts w:ascii="Arial" w:cs="Arial" w:eastAsia="Arial" w:hAnsi="Arial"/>
                <w:sz w:val="14"/>
                <w:szCs w:val="14"/>
                <w:b w:val="1"/>
                <w:bCs w:val="1"/>
                <w:color w:val="auto"/>
              </w:rPr>
              <w:t>Average Translation Rate</w:t>
            </w:r>
          </w:p>
        </w:tc>
        <w:tc>
          <w:tcPr>
            <w:tcW w:w="28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0"/>
                <w:szCs w:val="10"/>
                <w:color w:val="auto"/>
              </w:rPr>
            </w:pPr>
          </w:p>
        </w:tc>
        <w:tc>
          <w:tcPr>
            <w:tcW w:w="154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440" w:type="dxa"/>
            <w:vAlign w:val="bottom"/>
          </w:tcPr>
          <w:p>
            <w:pPr>
              <w:jc w:val="right"/>
              <w:ind w:right="238"/>
              <w:spacing w:after="0" w:line="119" w:lineRule="exact"/>
              <w:rPr>
                <w:sz w:val="20"/>
                <w:szCs w:val="20"/>
                <w:color w:val="auto"/>
              </w:rPr>
            </w:pPr>
            <w:r>
              <w:rPr>
                <w:rFonts w:ascii="Arial" w:cs="Arial" w:eastAsia="Arial" w:hAnsi="Arial"/>
                <w:sz w:val="13"/>
                <w:szCs w:val="13"/>
                <w:b w:val="1"/>
                <w:bCs w:val="1"/>
                <w:color w:val="auto"/>
              </w:rPr>
              <w:t>Nine Months</w:t>
            </w:r>
          </w:p>
        </w:tc>
        <w:tc>
          <w:tcPr>
            <w:tcW w:w="280" w:type="dxa"/>
            <w:vAlign w:val="bottom"/>
          </w:tcPr>
          <w:p>
            <w:pPr>
              <w:spacing w:after="0"/>
              <w:rPr>
                <w:sz w:val="10"/>
                <w:szCs w:val="10"/>
                <w:color w:val="auto"/>
              </w:rPr>
            </w:pPr>
          </w:p>
        </w:tc>
        <w:tc>
          <w:tcPr>
            <w:tcW w:w="1440" w:type="dxa"/>
            <w:vAlign w:val="bottom"/>
          </w:tcPr>
          <w:p>
            <w:pPr>
              <w:jc w:val="right"/>
              <w:ind w:right="244"/>
              <w:spacing w:after="0" w:line="119" w:lineRule="exact"/>
              <w:rPr>
                <w:sz w:val="20"/>
                <w:szCs w:val="20"/>
                <w:color w:val="auto"/>
              </w:rPr>
            </w:pPr>
            <w:r>
              <w:rPr>
                <w:rFonts w:ascii="Arial" w:cs="Arial" w:eastAsia="Arial" w:hAnsi="Arial"/>
                <w:sz w:val="13"/>
                <w:szCs w:val="13"/>
                <w:b w:val="1"/>
                <w:bCs w:val="1"/>
                <w:color w:val="auto"/>
              </w:rPr>
              <w:t>Nine Months</w:t>
            </w:r>
          </w:p>
        </w:tc>
        <w:tc>
          <w:tcPr>
            <w:tcW w:w="28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Currency</w:t>
            </w:r>
          </w:p>
        </w:tc>
        <w:tc>
          <w:tcPr>
            <w:tcW w:w="15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(Decrease)</w:t>
            </w:r>
          </w:p>
        </w:tc>
        <w:tc>
          <w:tcPr>
            <w:tcW w:w="1440" w:type="dxa"/>
            <w:vAlign w:val="bottom"/>
          </w:tcPr>
          <w:p>
            <w:pPr>
              <w:jc w:val="right"/>
              <w:ind w:right="78"/>
              <w:spacing w:after="0" w:line="149" w:lineRule="exact"/>
              <w:rPr>
                <w:sz w:val="20"/>
                <w:szCs w:val="20"/>
                <w:color w:val="auto"/>
              </w:rPr>
            </w:pPr>
            <w:r>
              <w:rPr>
                <w:rFonts w:ascii="Arial" w:cs="Arial" w:eastAsia="Arial" w:hAnsi="Arial"/>
                <w:sz w:val="14"/>
                <w:szCs w:val="14"/>
                <w:b w:val="1"/>
                <w:bCs w:val="1"/>
                <w:color w:val="auto"/>
              </w:rPr>
              <w:t>Ended September</w:t>
            </w:r>
          </w:p>
        </w:tc>
        <w:tc>
          <w:tcPr>
            <w:tcW w:w="280" w:type="dxa"/>
            <w:vAlign w:val="bottom"/>
          </w:tcPr>
          <w:p>
            <w:pPr>
              <w:spacing w:after="0"/>
              <w:rPr>
                <w:sz w:val="12"/>
                <w:szCs w:val="12"/>
                <w:color w:val="auto"/>
              </w:rPr>
            </w:pPr>
          </w:p>
        </w:tc>
        <w:tc>
          <w:tcPr>
            <w:tcW w:w="1440" w:type="dxa"/>
            <w:vAlign w:val="bottom"/>
          </w:tcPr>
          <w:p>
            <w:pPr>
              <w:jc w:val="right"/>
              <w:ind w:right="84"/>
              <w:spacing w:after="0" w:line="149" w:lineRule="exact"/>
              <w:rPr>
                <w:sz w:val="20"/>
                <w:szCs w:val="20"/>
                <w:color w:val="auto"/>
              </w:rPr>
            </w:pPr>
            <w:r>
              <w:rPr>
                <w:rFonts w:ascii="Arial" w:cs="Arial" w:eastAsia="Arial" w:hAnsi="Arial"/>
                <w:sz w:val="14"/>
                <w:szCs w:val="14"/>
                <w:b w:val="1"/>
                <w:bCs w:val="1"/>
                <w:color w:val="auto"/>
              </w:rPr>
              <w:t>Ended September</w:t>
            </w:r>
          </w:p>
        </w:tc>
        <w:tc>
          <w:tcPr>
            <w:tcW w:w="2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100" w:type="dxa"/>
            <w:vAlign w:val="bottom"/>
            <w:gridSpan w:val="3"/>
            <w:vMerge w:val="continue"/>
          </w:tcPr>
          <w:p>
            <w:pPr>
              <w:spacing w:after="0"/>
              <w:rPr>
                <w:sz w:val="14"/>
                <w:szCs w:val="14"/>
                <w:color w:val="auto"/>
              </w:rPr>
            </w:pPr>
          </w:p>
        </w:tc>
        <w:tc>
          <w:tcPr>
            <w:tcW w:w="1520" w:type="dxa"/>
            <w:vAlign w:val="bottom"/>
          </w:tcPr>
          <w:p>
            <w:pPr>
              <w:jc w:val="right"/>
              <w:ind w:right="76"/>
              <w:spacing w:after="0"/>
              <w:rPr>
                <w:sz w:val="20"/>
                <w:szCs w:val="20"/>
                <w:color w:val="auto"/>
              </w:rPr>
            </w:pPr>
            <w:r>
              <w:rPr>
                <w:rFonts w:ascii="Arial" w:cs="Arial" w:eastAsia="Arial" w:hAnsi="Arial"/>
                <w:sz w:val="14"/>
                <w:szCs w:val="14"/>
                <w:b w:val="1"/>
                <w:bCs w:val="1"/>
                <w:color w:val="auto"/>
              </w:rPr>
              <w:t>September 30, 2010</w:t>
            </w:r>
          </w:p>
        </w:tc>
        <w:tc>
          <w:tcPr>
            <w:tcW w:w="260" w:type="dxa"/>
            <w:vAlign w:val="bottom"/>
          </w:tcPr>
          <w:p>
            <w:pPr>
              <w:spacing w:after="0"/>
              <w:rPr>
                <w:sz w:val="14"/>
                <w:szCs w:val="14"/>
                <w:color w:val="auto"/>
              </w:rPr>
            </w:pPr>
          </w:p>
        </w:tc>
        <w:tc>
          <w:tcPr>
            <w:tcW w:w="1540" w:type="dxa"/>
            <w:vAlign w:val="bottom"/>
          </w:tcPr>
          <w:p>
            <w:pPr>
              <w:jc w:val="right"/>
              <w:ind w:right="102"/>
              <w:spacing w:after="0"/>
              <w:rPr>
                <w:sz w:val="20"/>
                <w:szCs w:val="20"/>
                <w:color w:val="auto"/>
              </w:rPr>
            </w:pPr>
            <w:r>
              <w:rPr>
                <w:rFonts w:ascii="Arial" w:cs="Arial" w:eastAsia="Arial" w:hAnsi="Arial"/>
                <w:sz w:val="14"/>
                <w:szCs w:val="14"/>
                <w:b w:val="1"/>
                <w:bCs w:val="1"/>
                <w:color w:val="auto"/>
              </w:rPr>
              <w:t>September 30, 2009</w:t>
            </w:r>
          </w:p>
        </w:tc>
        <w:tc>
          <w:tcPr>
            <w:tcW w:w="2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Percent</w:t>
            </w:r>
          </w:p>
        </w:tc>
        <w:tc>
          <w:tcPr>
            <w:tcW w:w="1440" w:type="dxa"/>
            <w:vAlign w:val="bottom"/>
          </w:tcPr>
          <w:p>
            <w:pPr>
              <w:jc w:val="right"/>
              <w:ind w:right="378"/>
              <w:spacing w:after="0"/>
              <w:rPr>
                <w:sz w:val="20"/>
                <w:szCs w:val="20"/>
                <w:color w:val="auto"/>
              </w:rPr>
            </w:pPr>
            <w:r>
              <w:rPr>
                <w:rFonts w:ascii="Arial" w:cs="Arial" w:eastAsia="Arial" w:hAnsi="Arial"/>
                <w:sz w:val="14"/>
                <w:szCs w:val="14"/>
                <w:b w:val="1"/>
                <w:bCs w:val="1"/>
                <w:color w:val="auto"/>
              </w:rPr>
              <w:t>30, 2010</w:t>
            </w:r>
          </w:p>
        </w:tc>
        <w:tc>
          <w:tcPr>
            <w:tcW w:w="1720" w:type="dxa"/>
            <w:vAlign w:val="bottom"/>
            <w:gridSpan w:val="2"/>
          </w:tcPr>
          <w:p>
            <w:pPr>
              <w:jc w:val="right"/>
              <w:ind w:right="384"/>
              <w:spacing w:after="0"/>
              <w:rPr>
                <w:sz w:val="20"/>
                <w:szCs w:val="20"/>
                <w:color w:val="auto"/>
              </w:rPr>
            </w:pPr>
            <w:r>
              <w:rPr>
                <w:rFonts w:ascii="Arial" w:cs="Arial" w:eastAsia="Arial" w:hAnsi="Arial"/>
                <w:sz w:val="14"/>
                <w:szCs w:val="14"/>
                <w:b w:val="1"/>
                <w:bCs w:val="1"/>
                <w:color w:val="auto"/>
              </w:rPr>
              <w:t>30, 2009</w:t>
            </w:r>
          </w:p>
        </w:tc>
        <w:tc>
          <w:tcPr>
            <w:tcW w:w="2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Australian dollar</w:t>
            </w:r>
          </w:p>
        </w:tc>
        <w:tc>
          <w:tcPr>
            <w:tcW w:w="26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rPr>
              <w:t>$0.9049</w:t>
            </w:r>
          </w:p>
        </w:tc>
        <w:tc>
          <w:tcPr>
            <w:tcW w:w="26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442"/>
              <w:spacing w:after="0"/>
              <w:rPr>
                <w:sz w:val="20"/>
                <w:szCs w:val="20"/>
                <w:color w:val="auto"/>
              </w:rPr>
            </w:pPr>
            <w:r>
              <w:rPr>
                <w:rFonts w:ascii="Arial" w:cs="Arial" w:eastAsia="Arial" w:hAnsi="Arial"/>
                <w:sz w:val="18"/>
                <w:szCs w:val="18"/>
                <w:color w:val="auto"/>
              </w:rPr>
              <w:t>$0.8337</w:t>
            </w:r>
          </w:p>
        </w:tc>
        <w:tc>
          <w:tcPr>
            <w:tcW w:w="2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26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378"/>
              <w:spacing w:after="0"/>
              <w:rPr>
                <w:sz w:val="20"/>
                <w:szCs w:val="20"/>
                <w:color w:val="auto"/>
              </w:rPr>
            </w:pPr>
            <w:r>
              <w:rPr>
                <w:rFonts w:ascii="Arial" w:cs="Arial" w:eastAsia="Arial" w:hAnsi="Arial"/>
                <w:sz w:val="18"/>
                <w:szCs w:val="18"/>
                <w:color w:val="auto"/>
              </w:rPr>
              <w:t>$0.8971</w:t>
            </w:r>
          </w:p>
        </w:tc>
        <w:tc>
          <w:tcPr>
            <w:tcW w:w="28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384"/>
              <w:spacing w:after="0"/>
              <w:rPr>
                <w:sz w:val="20"/>
                <w:szCs w:val="20"/>
                <w:color w:val="auto"/>
              </w:rPr>
            </w:pPr>
            <w:r>
              <w:rPr>
                <w:rFonts w:ascii="Arial" w:cs="Arial" w:eastAsia="Arial" w:hAnsi="Arial"/>
                <w:sz w:val="18"/>
                <w:szCs w:val="18"/>
                <w:color w:val="auto"/>
              </w:rPr>
              <w:t>$0.7534</w:t>
            </w:r>
          </w:p>
        </w:tc>
        <w:tc>
          <w:tcPr>
            <w:tcW w:w="2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British pound</w:t>
            </w:r>
          </w:p>
        </w:tc>
        <w:tc>
          <w:tcPr>
            <w:tcW w:w="1520" w:type="dxa"/>
            <w:vAlign w:val="bottom"/>
          </w:tcPr>
          <w:p>
            <w:pPr>
              <w:jc w:val="right"/>
              <w:ind w:right="416"/>
              <w:spacing w:after="0"/>
              <w:rPr>
                <w:sz w:val="20"/>
                <w:szCs w:val="20"/>
                <w:color w:val="auto"/>
              </w:rPr>
            </w:pPr>
            <w:r>
              <w:rPr>
                <w:rFonts w:ascii="Arial" w:cs="Arial" w:eastAsia="Arial" w:hAnsi="Arial"/>
                <w:sz w:val="18"/>
                <w:szCs w:val="18"/>
                <w:color w:val="auto"/>
              </w:rPr>
              <w:t>$1.5505</w:t>
            </w:r>
          </w:p>
        </w:tc>
        <w:tc>
          <w:tcPr>
            <w:tcW w:w="1800" w:type="dxa"/>
            <w:vAlign w:val="bottom"/>
            <w:gridSpan w:val="2"/>
          </w:tcPr>
          <w:p>
            <w:pPr>
              <w:jc w:val="right"/>
              <w:ind w:right="442"/>
              <w:spacing w:after="0"/>
              <w:rPr>
                <w:sz w:val="20"/>
                <w:szCs w:val="20"/>
                <w:color w:val="auto"/>
              </w:rPr>
            </w:pPr>
            <w:r>
              <w:rPr>
                <w:rFonts w:ascii="Arial" w:cs="Arial" w:eastAsia="Arial" w:hAnsi="Arial"/>
                <w:sz w:val="18"/>
                <w:szCs w:val="18"/>
                <w:color w:val="auto"/>
              </w:rPr>
              <w:t>$1.6404</w:t>
            </w:r>
          </w:p>
        </w:tc>
        <w:tc>
          <w:tcPr>
            <w:tcW w:w="1320" w:type="dxa"/>
            <w:vAlign w:val="bottom"/>
            <w:gridSpan w:val="2"/>
          </w:tcPr>
          <w:p>
            <w:pPr>
              <w:jc w:val="center"/>
              <w:ind w:left="150"/>
              <w:spacing w:after="0"/>
              <w:rPr>
                <w:sz w:val="20"/>
                <w:szCs w:val="20"/>
                <w:color w:val="auto"/>
              </w:rPr>
            </w:pPr>
            <w:r>
              <w:rPr>
                <w:rFonts w:ascii="Arial" w:cs="Arial" w:eastAsia="Arial" w:hAnsi="Arial"/>
                <w:sz w:val="18"/>
                <w:szCs w:val="18"/>
                <w:color w:val="auto"/>
                <w:w w:val="94"/>
              </w:rPr>
              <w:t>(5%)</w:t>
            </w:r>
          </w:p>
        </w:tc>
        <w:tc>
          <w:tcPr>
            <w:tcW w:w="260" w:type="dxa"/>
            <w:vAlign w:val="bottom"/>
          </w:tcPr>
          <w:p>
            <w:pPr>
              <w:spacing w:after="0"/>
              <w:rPr>
                <w:sz w:val="18"/>
                <w:szCs w:val="18"/>
                <w:color w:val="auto"/>
              </w:rPr>
            </w:pPr>
          </w:p>
        </w:tc>
        <w:tc>
          <w:tcPr>
            <w:tcW w:w="1440" w:type="dxa"/>
            <w:vAlign w:val="bottom"/>
          </w:tcPr>
          <w:p>
            <w:pPr>
              <w:jc w:val="right"/>
              <w:ind w:right="378"/>
              <w:spacing w:after="0"/>
              <w:rPr>
                <w:sz w:val="20"/>
                <w:szCs w:val="20"/>
                <w:color w:val="auto"/>
              </w:rPr>
            </w:pPr>
            <w:r>
              <w:rPr>
                <w:rFonts w:ascii="Arial" w:cs="Arial" w:eastAsia="Arial" w:hAnsi="Arial"/>
                <w:sz w:val="18"/>
                <w:szCs w:val="18"/>
                <w:color w:val="auto"/>
              </w:rPr>
              <w:t>$1.5340</w:t>
            </w:r>
          </w:p>
        </w:tc>
        <w:tc>
          <w:tcPr>
            <w:tcW w:w="1720" w:type="dxa"/>
            <w:vAlign w:val="bottom"/>
            <w:gridSpan w:val="2"/>
          </w:tcPr>
          <w:p>
            <w:pPr>
              <w:jc w:val="right"/>
              <w:ind w:right="384"/>
              <w:spacing w:after="0"/>
              <w:rPr>
                <w:sz w:val="20"/>
                <w:szCs w:val="20"/>
                <w:color w:val="auto"/>
              </w:rPr>
            </w:pPr>
            <w:r>
              <w:rPr>
                <w:rFonts w:ascii="Arial" w:cs="Arial" w:eastAsia="Arial" w:hAnsi="Arial"/>
                <w:sz w:val="18"/>
                <w:szCs w:val="18"/>
                <w:color w:val="auto"/>
              </w:rPr>
              <w:t>$1.5437</w:t>
            </w:r>
          </w:p>
        </w:tc>
        <w:tc>
          <w:tcPr>
            <w:tcW w:w="1260" w:type="dxa"/>
            <w:vAlign w:val="bottom"/>
            <w:gridSpan w:val="2"/>
          </w:tcPr>
          <w:p>
            <w:pPr>
              <w:jc w:val="right"/>
              <w:ind w:right="24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w:t>
            </w:r>
          </w:p>
        </w:tc>
        <w:tc>
          <w:tcPr>
            <w:tcW w:w="152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$1.2921</w:t>
            </w:r>
          </w:p>
        </w:tc>
        <w:tc>
          <w:tcPr>
            <w:tcW w:w="1800" w:type="dxa"/>
            <w:vAlign w:val="bottom"/>
            <w:gridSpan w:val="2"/>
            <w:shd w:val="clear" w:color="auto" w:fill="CCEEFF"/>
          </w:tcPr>
          <w:p>
            <w:pPr>
              <w:jc w:val="right"/>
              <w:ind w:right="442"/>
              <w:spacing w:after="0"/>
              <w:rPr>
                <w:sz w:val="20"/>
                <w:szCs w:val="20"/>
                <w:color w:val="auto"/>
              </w:rPr>
            </w:pPr>
            <w:r>
              <w:rPr>
                <w:rFonts w:ascii="Arial" w:cs="Arial" w:eastAsia="Arial" w:hAnsi="Arial"/>
                <w:sz w:val="18"/>
                <w:szCs w:val="18"/>
                <w:color w:val="auto"/>
              </w:rPr>
              <w:t>$1.4298</w:t>
            </w:r>
          </w:p>
        </w:tc>
        <w:tc>
          <w:tcPr>
            <w:tcW w:w="132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5"/>
              </w:rPr>
              <w:t>(10%)</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$1.3164</w:t>
            </w:r>
          </w:p>
        </w:tc>
        <w:tc>
          <w:tcPr>
            <w:tcW w:w="172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color w:val="auto"/>
              </w:rPr>
              <w:t>$1.3663</w:t>
            </w:r>
          </w:p>
        </w:tc>
        <w:tc>
          <w:tcPr>
            <w:tcW w:w="12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Hungarian forint</w:t>
            </w:r>
          </w:p>
        </w:tc>
        <w:tc>
          <w:tcPr>
            <w:tcW w:w="1520" w:type="dxa"/>
            <w:vAlign w:val="bottom"/>
          </w:tcPr>
          <w:p>
            <w:pPr>
              <w:jc w:val="right"/>
              <w:ind w:right="416"/>
              <w:spacing w:after="0"/>
              <w:rPr>
                <w:sz w:val="20"/>
                <w:szCs w:val="20"/>
                <w:color w:val="auto"/>
              </w:rPr>
            </w:pPr>
            <w:r>
              <w:rPr>
                <w:rFonts w:ascii="Arial" w:cs="Arial" w:eastAsia="Arial" w:hAnsi="Arial"/>
                <w:sz w:val="18"/>
                <w:szCs w:val="18"/>
                <w:color w:val="auto"/>
              </w:rPr>
              <w:t>$0.0046</w:t>
            </w:r>
          </w:p>
        </w:tc>
        <w:tc>
          <w:tcPr>
            <w:tcW w:w="1800" w:type="dxa"/>
            <w:vAlign w:val="bottom"/>
            <w:gridSpan w:val="2"/>
          </w:tcPr>
          <w:p>
            <w:pPr>
              <w:jc w:val="right"/>
              <w:ind w:right="442"/>
              <w:spacing w:after="0"/>
              <w:rPr>
                <w:sz w:val="20"/>
                <w:szCs w:val="20"/>
                <w:color w:val="auto"/>
              </w:rPr>
            </w:pPr>
            <w:r>
              <w:rPr>
                <w:rFonts w:ascii="Arial" w:cs="Arial" w:eastAsia="Arial" w:hAnsi="Arial"/>
                <w:sz w:val="18"/>
                <w:szCs w:val="18"/>
                <w:color w:val="auto"/>
              </w:rPr>
              <w:t>$0.0053</w:t>
            </w:r>
          </w:p>
        </w:tc>
        <w:tc>
          <w:tcPr>
            <w:tcW w:w="1320" w:type="dxa"/>
            <w:vAlign w:val="bottom"/>
            <w:gridSpan w:val="2"/>
          </w:tcPr>
          <w:p>
            <w:pPr>
              <w:jc w:val="center"/>
              <w:ind w:left="170"/>
              <w:spacing w:after="0"/>
              <w:rPr>
                <w:sz w:val="20"/>
                <w:szCs w:val="20"/>
                <w:color w:val="auto"/>
              </w:rPr>
            </w:pPr>
            <w:r>
              <w:rPr>
                <w:rFonts w:ascii="Arial" w:cs="Arial" w:eastAsia="Arial" w:hAnsi="Arial"/>
                <w:sz w:val="18"/>
                <w:szCs w:val="18"/>
                <w:color w:val="auto"/>
                <w:w w:val="95"/>
              </w:rPr>
              <w:t>(13%)</w:t>
            </w:r>
          </w:p>
        </w:tc>
        <w:tc>
          <w:tcPr>
            <w:tcW w:w="260" w:type="dxa"/>
            <w:vAlign w:val="bottom"/>
          </w:tcPr>
          <w:p>
            <w:pPr>
              <w:spacing w:after="0"/>
              <w:rPr>
                <w:sz w:val="18"/>
                <w:szCs w:val="18"/>
                <w:color w:val="auto"/>
              </w:rPr>
            </w:pPr>
          </w:p>
        </w:tc>
        <w:tc>
          <w:tcPr>
            <w:tcW w:w="1440" w:type="dxa"/>
            <w:vAlign w:val="bottom"/>
          </w:tcPr>
          <w:p>
            <w:pPr>
              <w:jc w:val="right"/>
              <w:ind w:right="378"/>
              <w:spacing w:after="0"/>
              <w:rPr>
                <w:sz w:val="20"/>
                <w:szCs w:val="20"/>
                <w:color w:val="auto"/>
              </w:rPr>
            </w:pPr>
            <w:r>
              <w:rPr>
                <w:rFonts w:ascii="Arial" w:cs="Arial" w:eastAsia="Arial" w:hAnsi="Arial"/>
                <w:sz w:val="18"/>
                <w:szCs w:val="18"/>
                <w:color w:val="auto"/>
              </w:rPr>
              <w:t>$0.0048</w:t>
            </w:r>
          </w:p>
        </w:tc>
        <w:tc>
          <w:tcPr>
            <w:tcW w:w="1720" w:type="dxa"/>
            <w:vAlign w:val="bottom"/>
            <w:gridSpan w:val="2"/>
          </w:tcPr>
          <w:p>
            <w:pPr>
              <w:jc w:val="right"/>
              <w:ind w:right="384"/>
              <w:spacing w:after="0"/>
              <w:rPr>
                <w:sz w:val="20"/>
                <w:szCs w:val="20"/>
                <w:color w:val="auto"/>
              </w:rPr>
            </w:pPr>
            <w:r>
              <w:rPr>
                <w:rFonts w:ascii="Arial" w:cs="Arial" w:eastAsia="Arial" w:hAnsi="Arial"/>
                <w:sz w:val="18"/>
                <w:szCs w:val="18"/>
                <w:color w:val="auto"/>
              </w:rPr>
              <w:t>$0.0048</w:t>
            </w:r>
          </w:p>
        </w:tc>
        <w:tc>
          <w:tcPr>
            <w:tcW w:w="280" w:type="dxa"/>
            <w:vAlign w:val="bottom"/>
          </w:tcPr>
          <w:p>
            <w:pPr>
              <w:spacing w:after="0"/>
              <w:rPr>
                <w:sz w:val="18"/>
                <w:szCs w:val="18"/>
                <w:color w:val="auto"/>
              </w:rPr>
            </w:pPr>
          </w:p>
        </w:tc>
        <w:tc>
          <w:tcPr>
            <w:tcW w:w="980" w:type="dxa"/>
            <w:vAlign w:val="bottom"/>
          </w:tcPr>
          <w:p>
            <w:pPr>
              <w:jc w:val="right"/>
              <w:ind w:right="4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 rupee</w:t>
            </w:r>
          </w:p>
        </w:tc>
        <w:tc>
          <w:tcPr>
            <w:tcW w:w="152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$0.0216</w:t>
            </w:r>
          </w:p>
        </w:tc>
        <w:tc>
          <w:tcPr>
            <w:tcW w:w="1800" w:type="dxa"/>
            <w:vAlign w:val="bottom"/>
            <w:gridSpan w:val="2"/>
            <w:shd w:val="clear" w:color="auto" w:fill="CCEEFF"/>
          </w:tcPr>
          <w:p>
            <w:pPr>
              <w:jc w:val="right"/>
              <w:ind w:right="442"/>
              <w:spacing w:after="0"/>
              <w:rPr>
                <w:sz w:val="20"/>
                <w:szCs w:val="20"/>
                <w:color w:val="auto"/>
              </w:rPr>
            </w:pPr>
            <w:r>
              <w:rPr>
                <w:rFonts w:ascii="Arial" w:cs="Arial" w:eastAsia="Arial" w:hAnsi="Arial"/>
                <w:sz w:val="18"/>
                <w:szCs w:val="18"/>
                <w:color w:val="auto"/>
              </w:rPr>
              <w:t>$0.0207</w:t>
            </w:r>
          </w:p>
        </w:tc>
        <w:tc>
          <w:tcPr>
            <w:tcW w:w="13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2"/>
              </w:rPr>
              <w:t>4%</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$0.0218</w:t>
            </w:r>
          </w:p>
        </w:tc>
        <w:tc>
          <w:tcPr>
            <w:tcW w:w="172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color w:val="auto"/>
              </w:rPr>
              <w:t>$0.0205</w:t>
            </w:r>
          </w:p>
        </w:tc>
        <w:tc>
          <w:tcPr>
            <w:tcW w:w="126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Polish zloty</w:t>
            </w:r>
          </w:p>
        </w:tc>
        <w:tc>
          <w:tcPr>
            <w:tcW w:w="1520" w:type="dxa"/>
            <w:vAlign w:val="bottom"/>
          </w:tcPr>
          <w:p>
            <w:pPr>
              <w:jc w:val="right"/>
              <w:ind w:right="416"/>
              <w:spacing w:after="0"/>
              <w:rPr>
                <w:sz w:val="20"/>
                <w:szCs w:val="20"/>
                <w:color w:val="auto"/>
              </w:rPr>
            </w:pPr>
            <w:r>
              <w:rPr>
                <w:rFonts w:ascii="Arial" w:cs="Arial" w:eastAsia="Arial" w:hAnsi="Arial"/>
                <w:sz w:val="18"/>
                <w:szCs w:val="18"/>
                <w:color w:val="auto"/>
              </w:rPr>
              <w:t>$0.3231</w:t>
            </w:r>
          </w:p>
        </w:tc>
        <w:tc>
          <w:tcPr>
            <w:tcW w:w="1800" w:type="dxa"/>
            <w:vAlign w:val="bottom"/>
            <w:gridSpan w:val="2"/>
          </w:tcPr>
          <w:p>
            <w:pPr>
              <w:jc w:val="right"/>
              <w:ind w:right="442"/>
              <w:spacing w:after="0"/>
              <w:rPr>
                <w:sz w:val="20"/>
                <w:szCs w:val="20"/>
                <w:color w:val="auto"/>
              </w:rPr>
            </w:pPr>
            <w:r>
              <w:rPr>
                <w:rFonts w:ascii="Arial" w:cs="Arial" w:eastAsia="Arial" w:hAnsi="Arial"/>
                <w:sz w:val="18"/>
                <w:szCs w:val="18"/>
                <w:color w:val="auto"/>
              </w:rPr>
              <w:t>$0.3417</w:t>
            </w:r>
          </w:p>
        </w:tc>
        <w:tc>
          <w:tcPr>
            <w:tcW w:w="1320" w:type="dxa"/>
            <w:vAlign w:val="bottom"/>
            <w:gridSpan w:val="2"/>
          </w:tcPr>
          <w:p>
            <w:pPr>
              <w:jc w:val="center"/>
              <w:ind w:left="150"/>
              <w:spacing w:after="0"/>
              <w:rPr>
                <w:sz w:val="20"/>
                <w:szCs w:val="20"/>
                <w:color w:val="auto"/>
              </w:rPr>
            </w:pPr>
            <w:r>
              <w:rPr>
                <w:rFonts w:ascii="Arial" w:cs="Arial" w:eastAsia="Arial" w:hAnsi="Arial"/>
                <w:sz w:val="18"/>
                <w:szCs w:val="18"/>
                <w:color w:val="auto"/>
                <w:w w:val="94"/>
              </w:rPr>
              <w:t>(5%)</w:t>
            </w:r>
          </w:p>
        </w:tc>
        <w:tc>
          <w:tcPr>
            <w:tcW w:w="260" w:type="dxa"/>
            <w:vAlign w:val="bottom"/>
          </w:tcPr>
          <w:p>
            <w:pPr>
              <w:spacing w:after="0"/>
              <w:rPr>
                <w:sz w:val="20"/>
                <w:szCs w:val="20"/>
                <w:color w:val="auto"/>
              </w:rPr>
            </w:pPr>
          </w:p>
        </w:tc>
        <w:tc>
          <w:tcPr>
            <w:tcW w:w="1440" w:type="dxa"/>
            <w:vAlign w:val="bottom"/>
          </w:tcPr>
          <w:p>
            <w:pPr>
              <w:jc w:val="right"/>
              <w:ind w:right="378"/>
              <w:spacing w:after="0"/>
              <w:rPr>
                <w:sz w:val="20"/>
                <w:szCs w:val="20"/>
                <w:color w:val="auto"/>
              </w:rPr>
            </w:pPr>
            <w:r>
              <w:rPr>
                <w:rFonts w:ascii="Arial" w:cs="Arial" w:eastAsia="Arial" w:hAnsi="Arial"/>
                <w:sz w:val="18"/>
                <w:szCs w:val="18"/>
                <w:color w:val="auto"/>
              </w:rPr>
              <w:t>$0.3295</w:t>
            </w:r>
          </w:p>
        </w:tc>
        <w:tc>
          <w:tcPr>
            <w:tcW w:w="1720" w:type="dxa"/>
            <w:vAlign w:val="bottom"/>
            <w:gridSpan w:val="2"/>
          </w:tcPr>
          <w:p>
            <w:pPr>
              <w:jc w:val="right"/>
              <w:ind w:right="384"/>
              <w:spacing w:after="0"/>
              <w:rPr>
                <w:sz w:val="20"/>
                <w:szCs w:val="20"/>
                <w:color w:val="auto"/>
              </w:rPr>
            </w:pPr>
            <w:r>
              <w:rPr>
                <w:rFonts w:ascii="Arial" w:cs="Arial" w:eastAsia="Arial" w:hAnsi="Arial"/>
                <w:sz w:val="18"/>
                <w:szCs w:val="18"/>
                <w:color w:val="auto"/>
              </w:rPr>
              <w:t>$0.3134</w:t>
            </w:r>
          </w:p>
        </w:tc>
        <w:tc>
          <w:tcPr>
            <w:tcW w:w="1260" w:type="dxa"/>
            <w:vAlign w:val="bottom"/>
            <w:gridSpan w:val="2"/>
          </w:tcPr>
          <w:p>
            <w:pPr>
              <w:jc w:val="right"/>
              <w:ind w:right="30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460"/>
        <w:spacing w:after="0" w:line="378" w:lineRule="auto"/>
        <w:rPr>
          <w:sz w:val="20"/>
          <w:szCs w:val="20"/>
          <w:color w:val="auto"/>
        </w:rPr>
      </w:pPr>
      <w:r>
        <w:rPr>
          <w:rFonts w:ascii="Arial" w:cs="Arial" w:eastAsia="Arial" w:hAnsi="Arial"/>
          <w:sz w:val="18"/>
          <w:szCs w:val="18"/>
          <w:b w:val="1"/>
          <w:bCs w:val="1"/>
          <w:color w:val="auto"/>
        </w:rPr>
        <w:t>COMPARISON OF OPERATING RESULTS FOR THE THREE- AND NINE-MONTH PERIODS ENDED SEPTEMBER 30, 2010 AND 2009 EFT PROCESSING SEGMENT</w:t>
      </w:r>
    </w:p>
    <w:p>
      <w:pPr>
        <w:ind w:right="440"/>
        <w:spacing w:after="0" w:line="277" w:lineRule="auto"/>
        <w:rPr>
          <w:sz w:val="20"/>
          <w:szCs w:val="20"/>
          <w:color w:val="auto"/>
        </w:rPr>
      </w:pPr>
      <w:r>
        <w:rPr>
          <w:rFonts w:ascii="Arial" w:cs="Arial" w:eastAsia="Arial" w:hAnsi="Arial"/>
          <w:sz w:val="18"/>
          <w:szCs w:val="18"/>
          <w:color w:val="auto"/>
        </w:rPr>
        <w:t>The following table presents the results of operations for the three- and nine-month periods ended September 30, 2010 and 2009 for our EFT Processing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Year-over-Year Change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14"/>
                <w:szCs w:val="14"/>
                <w:color w:val="auto"/>
              </w:rPr>
            </w:pPr>
          </w:p>
        </w:tc>
        <w:tc>
          <w:tcPr>
            <w:tcW w:w="17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7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83"/>
              </w:rPr>
              <w:t>2009</w:t>
            </w:r>
          </w:p>
        </w:tc>
        <w:tc>
          <w:tcPr>
            <w:tcW w:w="44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49,098</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50,939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(1,841)</w:t>
            </w:r>
          </w:p>
        </w:tc>
        <w:tc>
          <w:tcPr>
            <w:tcW w:w="68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4"/>
              </w:rPr>
              <w:t>(4%)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144,152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142,737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1,415</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3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22,492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21,973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519</w:t>
            </w:r>
          </w:p>
        </w:tc>
        <w:tc>
          <w:tcPr>
            <w:tcW w:w="68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2"/>
              </w:rPr>
              <w:t>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69,210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60,584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8,626</w:t>
            </w:r>
          </w:p>
        </w:tc>
        <w:tc>
          <w:tcPr>
            <w:tcW w:w="6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4"/>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7,055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7,890</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(835)</w:t>
            </w:r>
          </w:p>
        </w:tc>
        <w:tc>
          <w:tcPr>
            <w:tcW w:w="680" w:type="dxa"/>
            <w:vAlign w:val="bottom"/>
          </w:tcPr>
          <w:p>
            <w:pPr>
              <w:jc w:val="center"/>
              <w:ind w:left="15"/>
              <w:spacing w:after="0"/>
              <w:rPr>
                <w:sz w:val="20"/>
                <w:szCs w:val="20"/>
                <w:color w:val="auto"/>
              </w:rPr>
            </w:pPr>
            <w:r>
              <w:rPr>
                <w:rFonts w:ascii="Arial" w:cs="Arial" w:eastAsia="Arial" w:hAnsi="Arial"/>
                <w:sz w:val="18"/>
                <w:szCs w:val="18"/>
                <w:color w:val="auto"/>
                <w:w w:val="95"/>
              </w:rPr>
              <w:t>(11%)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20,159</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22,345</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(2,186)</w:t>
            </w:r>
          </w:p>
        </w:tc>
        <w:tc>
          <w:tcPr>
            <w:tcW w:w="680" w:type="dxa"/>
            <w:vAlign w:val="bottom"/>
          </w:tcPr>
          <w:p>
            <w:pPr>
              <w:jc w:val="center"/>
              <w:ind w:left="15"/>
              <w:spacing w:after="0"/>
              <w:rPr>
                <w:sz w:val="20"/>
                <w:szCs w:val="20"/>
                <w:color w:val="auto"/>
              </w:rPr>
            </w:pPr>
            <w:r>
              <w:rPr>
                <w:rFonts w:ascii="Arial" w:cs="Arial" w:eastAsia="Arial" w:hAnsi="Arial"/>
                <w:sz w:val="18"/>
                <w:szCs w:val="18"/>
                <w:color w:val="auto"/>
                <w:w w:val="95"/>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4,152</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3,992</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160</w:t>
            </w:r>
          </w:p>
        </w:tc>
        <w:tc>
          <w:tcPr>
            <w:tcW w:w="68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2"/>
              </w:rPr>
              <w:t>4%</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12,022</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12,296</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(274)</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Depreciation and</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4,894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4,835</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c>
          <w:tcPr>
            <w:tcW w:w="440" w:type="dxa"/>
            <w:vAlign w:val="bottom"/>
          </w:tcPr>
          <w:p>
            <w:pPr>
              <w:spacing w:after="0"/>
              <w:rPr>
                <w:sz w:val="20"/>
                <w:szCs w:val="20"/>
                <w:color w:val="auto"/>
              </w:rPr>
            </w:pPr>
          </w:p>
        </w:tc>
        <w:tc>
          <w:tcPr>
            <w:tcW w:w="680" w:type="dxa"/>
            <w:vAlign w:val="bottom"/>
          </w:tcPr>
          <w:p>
            <w:pPr>
              <w:jc w:val="center"/>
              <w:ind w:left="35"/>
              <w:spacing w:after="0"/>
              <w:rPr>
                <w:sz w:val="20"/>
                <w:szCs w:val="20"/>
                <w:color w:val="auto"/>
              </w:rPr>
            </w:pPr>
            <w:r>
              <w:rPr>
                <w:rFonts w:ascii="Arial" w:cs="Arial" w:eastAsia="Arial" w:hAnsi="Arial"/>
                <w:sz w:val="18"/>
                <w:szCs w:val="18"/>
                <w:color w:val="auto"/>
                <w:w w:val="92"/>
              </w:rPr>
              <w:t>1%</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14,304</w:t>
            </w:r>
          </w:p>
        </w:tc>
        <w:tc>
          <w:tcPr>
            <w:tcW w:w="12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13,554</w:t>
            </w:r>
          </w:p>
        </w:tc>
        <w:tc>
          <w:tcPr>
            <w:tcW w:w="12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750</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Total operating expenses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38,593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38,690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w:t>
            </w:r>
          </w:p>
        </w:tc>
        <w:tc>
          <w:tcPr>
            <w:tcW w:w="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115,695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108,779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6,916</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10,505</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12,249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(1,744)</w:t>
            </w:r>
          </w:p>
        </w:tc>
        <w:tc>
          <w:tcPr>
            <w:tcW w:w="680" w:type="dxa"/>
            <w:vAlign w:val="bottom"/>
          </w:tcPr>
          <w:p>
            <w:pPr>
              <w:jc w:val="center"/>
              <w:ind w:left="15"/>
              <w:spacing w:after="0"/>
              <w:rPr>
                <w:sz w:val="20"/>
                <w:szCs w:val="20"/>
                <w:color w:val="auto"/>
              </w:rPr>
            </w:pPr>
            <w:r>
              <w:rPr>
                <w:rFonts w:ascii="Arial" w:cs="Arial" w:eastAsia="Arial" w:hAnsi="Arial"/>
                <w:sz w:val="18"/>
                <w:szCs w:val="18"/>
                <w:color w:val="auto"/>
                <w:w w:val="95"/>
              </w:rPr>
              <w:t>(14%)</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28,457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33,958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(5,501)</w:t>
            </w:r>
          </w:p>
        </w:tc>
        <w:tc>
          <w:tcPr>
            <w:tcW w:w="680" w:type="dxa"/>
            <w:vAlign w:val="bottom"/>
          </w:tcPr>
          <w:p>
            <w:pPr>
              <w:jc w:val="center"/>
              <w:ind w:left="15"/>
              <w:spacing w:after="0"/>
              <w:rPr>
                <w:sz w:val="20"/>
                <w:szCs w:val="20"/>
                <w:color w:val="auto"/>
              </w:rPr>
            </w:pPr>
            <w:r>
              <w:rPr>
                <w:rFonts w:ascii="Arial" w:cs="Arial" w:eastAsia="Arial" w:hAnsi="Arial"/>
                <w:sz w:val="18"/>
                <w:szCs w:val="18"/>
                <w:color w:val="auto"/>
                <w:w w:val="95"/>
              </w:rPr>
              <w:t>(16%)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Transactions processed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(millions)</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199.4</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188.4</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2"/>
              </w:rPr>
              <w:t>6%</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584.1</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516.0</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68.1</w:t>
            </w:r>
          </w:p>
        </w:tc>
        <w:tc>
          <w:tcPr>
            <w:tcW w:w="6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4"/>
              </w:rPr>
              <w:t>13%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w w:val="98"/>
              </w:rPr>
              <w:t>ATMs as of September 30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10,519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9,473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1,046</w:t>
            </w:r>
          </w:p>
        </w:tc>
        <w:tc>
          <w:tcPr>
            <w:tcW w:w="440" w:type="dxa"/>
            <w:vAlign w:val="bottom"/>
          </w:tcPr>
          <w:p>
            <w:pPr>
              <w:spacing w:after="0"/>
              <w:rPr>
                <w:sz w:val="18"/>
                <w:szCs w:val="18"/>
                <w:color w:val="auto"/>
              </w:rPr>
            </w:pPr>
          </w:p>
        </w:tc>
        <w:tc>
          <w:tcPr>
            <w:tcW w:w="680" w:type="dxa"/>
            <w:vAlign w:val="bottom"/>
          </w:tcPr>
          <w:p>
            <w:pPr>
              <w:jc w:val="center"/>
              <w:ind w:left="15"/>
              <w:spacing w:after="0"/>
              <w:rPr>
                <w:sz w:val="20"/>
                <w:szCs w:val="20"/>
                <w:color w:val="auto"/>
              </w:rPr>
            </w:pPr>
            <w:r>
              <w:rPr>
                <w:rFonts w:ascii="Arial" w:cs="Arial" w:eastAsia="Arial" w:hAnsi="Arial"/>
                <w:sz w:val="18"/>
                <w:szCs w:val="18"/>
                <w:color w:val="auto"/>
                <w:w w:val="94"/>
              </w:rPr>
              <w:t>11%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10,519</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9,473</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1,046</w:t>
            </w:r>
          </w:p>
        </w:tc>
        <w:tc>
          <w:tcPr>
            <w:tcW w:w="680" w:type="dxa"/>
            <w:vAlign w:val="bottom"/>
          </w:tcPr>
          <w:p>
            <w:pPr>
              <w:jc w:val="center"/>
              <w:ind w:left="15"/>
              <w:spacing w:after="0"/>
              <w:rPr>
                <w:sz w:val="20"/>
                <w:szCs w:val="20"/>
                <w:color w:val="auto"/>
              </w:rPr>
            </w:pPr>
            <w:r>
              <w:rPr>
                <w:rFonts w:ascii="Arial" w:cs="Arial" w:eastAsia="Arial" w:hAnsi="Arial"/>
                <w:sz w:val="18"/>
                <w:szCs w:val="18"/>
                <w:color w:val="auto"/>
                <w:w w:val="94"/>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ATMs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10,492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9,433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4"/>
              </w:rPr>
              <w:t>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10,356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9,370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986</w:t>
            </w:r>
          </w:p>
        </w:tc>
        <w:tc>
          <w:tcPr>
            <w:tcW w:w="6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4"/>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revenues for the first nine months of 2010 increased slightly when compared to the first nine months of 2009 primarily due to additional ATMs under management in Poland and India, increased transaction fees in Germany and the growth in transaction volumes on Cashnet – Euronet’s shared ATM network in India. These increases were partly offset by contract termination fees totaling $4.4 million during the first quarter of 2009 and reductions in interchange fee revenues in Poland beginning in the second quarter of 2010. The decrease in revenues for the third quarter of 2010 from the third quarter of 2009 was also influenced by the impact of the stronger U.S. dollar.</w:t>
      </w:r>
    </w:p>
    <w:p>
      <w:pPr>
        <w:spacing w:after="0" w:line="8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Average monthly revenue per ATM was $1,560 for the third quarter and $1,547 for the first nine months of 2010, compared to $1,800 for the third quarter and $1,693 for the first nine months of 2009. The decreases in the third quarter and first nine months of 2010 from the same periods in 2009 are primarily due to the reduction in Visa Europe and MasterCard interchange fee revenues in Poland that took effect in the second quarter of 2010. The decrease in the first nine months of 2010 from the same period in 2009 was also impacted by the non-recurring contract termination fees discussed above. Revenue per transaction was $0.25 for the third quarter and first nine months of 2010, compared to $0.27 for the third quarter and $0.28 for the first nine months of 2009. These decreases are primarily the result of the reduction in interchange fee revenues in Poland and the non-recurring contract termination fees discussed above, as well as the growth of Cashnet transactions which generate lower revenues per transaction than those on owned or outsourced ATMs. Partly offsetting these decreases for the nine months ended September 30, 2010 is the increase in transaction fees in Germany. We were able to increase transaction fees in Germany beginning in mid-2009; however, we expect to experience reductions in these fees beginning in 2011 as a result of market and regulatory factors. Accordingly, we expect that the EFT Processing Segment’s revenues and operating income will be reduced by approximately $10.0 million in 2011.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Direct operating costs consist primarily of site rental fees, cash delivery costs, cash supply costs, maintenance, insurance, telecommunications and the cost of data center operations-related personnel, as well as the processing centers’ facility related costs and other processing center related expenses. The increase in direct operating costs for the first nine months of 2010, compared to the first nine months of 2009, is attributed to the increase in the number of ATMs under management. The increase during the third quarter of 2010 from the third quarter of 2009 was partly offset by the impact of the stronger U.S. dollar.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Gross profit, which is calculated as revenues less direct operating costs, was $26.6 million for the third quarter and $74.9 million for the first nine months of 2010 compared to $29.0 million and $82.2 million for the same periods in 2009. The decrease for the third quarter of 2010 is primarily due to the reduced interchange fees in Poland and the impact of the stronger U.S. dollar, partly offset by gross profits from additional ATMs under management. The decrease for the first nine months of 2010 is mainly attributable to the reduced interchange fees in Poland and the first quarter 2009 contract termination fee revenues discussed above, partly offset by the increased transaction fees in Germany. Gross profit as a percentage of revenues (“gross margin”) was 54% for the third quarter and 52% for the first nine months of 2010 compared to 57% for the third quarter and 58% for the first nine months of 2009. The decreases are primarily due to the previously mentioned interchange fees revenue reductions. The $4.4 million contract termination fees discussed above also contributed to the decrease for the first nine months of 2010.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decrease in salaries and benefits for the first nine months of 2010 was primarily due to lower bonus expense related to reduced operating income. As a percentage of revenues, these costs decreased to 14.0% for the first nine months of 2010 compared to 15.7% for the first nine months of 2009.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decrease in selling, general and administrative expenses for the first nine months of 2010 compared to the first nine months of 2009 is due to general cost control measures. As a percentage of revenues, selling, general and administrative expenses decreased slightly to 8.3% for the first nine months of 2010 compared to 8.6% for the first nine months of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increase in depreciation and amortization expense for the first nine months of 2010 compared to the first nine months of 2009 is due primarily to the growth in the number of ATMs. As a percentage of revenues, depreciation and amortization expense was 9.9% for the first nine months of 2010 compared to 9.5% for the first nine months of 2009.</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decrease in operating income for the first nine months of 2010 compared to the first nine months of 2009 is primarily due to the reduced interchange fee revenues in Poland and the first quarter 2009 contract termination fees, partly offset by more ATMs under management and the increased transaction fees in Germany. Operating income as a percentage of revenues (“operating margin”) for the first nine months of 2010 was 19.7% compared to 23.8% for the first nine months of 2009. Operating income per transaction was $0.05 for the first nine months of 2010 compared to $0.07 for the first nine months of 2009.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results of operations for the three- and nine-month periods ended September 30, 2010 and 2009 for our epay Segment: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Year-over-Year Change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14"/>
                <w:szCs w:val="14"/>
                <w:color w:val="auto"/>
              </w:rPr>
            </w:pPr>
          </w:p>
        </w:tc>
        <w:tc>
          <w:tcPr>
            <w:tcW w:w="17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7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148,037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153,610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(5,573)</w:t>
            </w:r>
          </w:p>
        </w:tc>
        <w:tc>
          <w:tcPr>
            <w:tcW w:w="68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4"/>
              </w:rPr>
              <w:t>(4%)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431,106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433,386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(2,280)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3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115,847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123,423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(7,576)</w:t>
            </w:r>
          </w:p>
        </w:tc>
        <w:tc>
          <w:tcPr>
            <w:tcW w:w="68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4"/>
              </w:rPr>
              <w:t>(6%)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341,200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349,800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(8,600)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8,600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7,486</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1,114</w:t>
            </w:r>
          </w:p>
        </w:tc>
        <w:tc>
          <w:tcPr>
            <w:tcW w:w="680" w:type="dxa"/>
            <w:vAlign w:val="bottom"/>
          </w:tcPr>
          <w:p>
            <w:pPr>
              <w:jc w:val="center"/>
              <w:ind w:left="15"/>
              <w:spacing w:after="0"/>
              <w:rPr>
                <w:sz w:val="20"/>
                <w:szCs w:val="20"/>
                <w:color w:val="auto"/>
              </w:rPr>
            </w:pPr>
            <w:r>
              <w:rPr>
                <w:rFonts w:ascii="Arial" w:cs="Arial" w:eastAsia="Arial" w:hAnsi="Arial"/>
                <w:sz w:val="18"/>
                <w:szCs w:val="18"/>
                <w:color w:val="auto"/>
                <w:w w:val="94"/>
              </w:rPr>
              <w:t>15%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24,079</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20,703</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3,376</w:t>
            </w:r>
          </w:p>
        </w:tc>
        <w:tc>
          <w:tcPr>
            <w:tcW w:w="680" w:type="dxa"/>
            <w:vAlign w:val="bottom"/>
          </w:tcPr>
          <w:p>
            <w:pPr>
              <w:jc w:val="center"/>
              <w:ind w:left="15"/>
              <w:spacing w:after="0"/>
              <w:rPr>
                <w:sz w:val="20"/>
                <w:szCs w:val="20"/>
                <w:color w:val="auto"/>
              </w:rPr>
            </w:pPr>
            <w:r>
              <w:rPr>
                <w:rFonts w:ascii="Arial" w:cs="Arial" w:eastAsia="Arial" w:hAnsi="Arial"/>
                <w:sz w:val="18"/>
                <w:szCs w:val="18"/>
                <w:color w:val="auto"/>
                <w:w w:val="94"/>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7,619</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5,219</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4"/>
              </w:rPr>
              <w:t>46%</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20,279</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15,170</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5,109</w:t>
            </w:r>
          </w:p>
        </w:tc>
        <w:tc>
          <w:tcPr>
            <w:tcW w:w="6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4"/>
              </w:rPr>
              <w:t>34%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Depreciation and</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4,173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3,934</w:t>
            </w: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239</w:t>
            </w:r>
          </w:p>
        </w:tc>
        <w:tc>
          <w:tcPr>
            <w:tcW w:w="680" w:type="dxa"/>
            <w:vAlign w:val="bottom"/>
          </w:tcPr>
          <w:p>
            <w:pPr>
              <w:jc w:val="center"/>
              <w:ind w:left="35"/>
              <w:spacing w:after="0"/>
              <w:rPr>
                <w:sz w:val="20"/>
                <w:szCs w:val="20"/>
                <w:color w:val="auto"/>
              </w:rPr>
            </w:pPr>
            <w:r>
              <w:rPr>
                <w:rFonts w:ascii="Arial" w:cs="Arial" w:eastAsia="Arial" w:hAnsi="Arial"/>
                <w:sz w:val="18"/>
                <w:szCs w:val="18"/>
                <w:color w:val="auto"/>
                <w:w w:val="92"/>
              </w:rPr>
              <w:t>6%</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12,150</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11,178</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972</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Total operating expenses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136,239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140,062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(3,823)</w:t>
            </w:r>
          </w:p>
        </w:tc>
        <w:tc>
          <w:tcPr>
            <w:tcW w:w="68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4"/>
              </w:rPr>
              <w:t>(3%)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397,708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396,851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857</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11,798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13,548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(1,750)</w:t>
            </w:r>
          </w:p>
        </w:tc>
        <w:tc>
          <w:tcPr>
            <w:tcW w:w="680" w:type="dxa"/>
            <w:vAlign w:val="bottom"/>
          </w:tcPr>
          <w:p>
            <w:pPr>
              <w:jc w:val="center"/>
              <w:ind w:left="15"/>
              <w:spacing w:after="0"/>
              <w:rPr>
                <w:sz w:val="20"/>
                <w:szCs w:val="20"/>
                <w:color w:val="auto"/>
              </w:rPr>
            </w:pPr>
            <w:r>
              <w:rPr>
                <w:rFonts w:ascii="Arial" w:cs="Arial" w:eastAsia="Arial" w:hAnsi="Arial"/>
                <w:sz w:val="18"/>
                <w:szCs w:val="18"/>
                <w:color w:val="auto"/>
                <w:w w:val="95"/>
              </w:rPr>
              <w:t>(13%)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33,398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36,535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(3,137)</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Transactions processed</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(millions)</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226.6</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194.4</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32.2</w:t>
            </w:r>
          </w:p>
        </w:tc>
        <w:tc>
          <w:tcPr>
            <w:tcW w:w="6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4"/>
              </w:rPr>
              <w:t>17%</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630.8</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572.9</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57.9</w:t>
            </w:r>
          </w:p>
        </w:tc>
        <w:tc>
          <w:tcPr>
            <w:tcW w:w="6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4"/>
              </w:rPr>
              <w:t>10%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decrease in revenues for the first nine months of 2010 compared to the first nine months of 2009 was primarily due to mobile operator commission rate decreases in certain markets, declines in the number of transactions processed in the U.K. and Spain due to economic pressures, and changes in the mix of transactions to lower revenue transactions. These decreases were partly offset by the increase in transactions processed in Germany, Italy, India and our ATX subsidiary, and the impact of the third quarter 2010 acquisition of epay Brazil. The epay Segment offers different types of services with associated differences in revenues and costs per transaction. Although transactions processed have increased in the first nine months of 2010 compared to the same period in 2009, a shift in the mix of transactions, which was even more pronounced in the third quarter of 2010, has contributed to lower revenues. However, due to a shift to transactions with higher profit margins, our gross profits have increased.</w:t>
      </w:r>
    </w:p>
    <w:p>
      <w:pPr>
        <w:spacing w:after="0" w:line="7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certain more mature markets, such as the U.K., New Zealand and Spain, revenues have remained flat or declined because conversion from scratch cards to electronic top-up is substantially complete and certain mobile operators and retailers are driving competitive reductions in pricing and commissions. We expect most of our future revenue growth in this segment to be derived from: (i) additional products sold over the base of prepaid processing terminals,</w:t>
      </w:r>
    </w:p>
    <w:p>
      <w:pPr>
        <w:ind w:right="220" w:firstLine="8"/>
        <w:spacing w:after="0" w:line="261" w:lineRule="auto"/>
        <w:tabs>
          <w:tab w:leader="none" w:pos="2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markets or markets in which there is organic growth in the prepaid sector overall, (iii) continued conversion from scratch cards to electronic top-up in less mature markets, and (iv) acquisitions, if available.</w:t>
      </w:r>
    </w:p>
    <w:p>
      <w:pPr>
        <w:spacing w:after="0" w:line="7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Revenues per transaction were $0.65 for the third quarter and $0.68 for the first nine months of 2010 compared to $0.79 for the third quarter and $0.76 for the first nine months of 2009. The decreases in revenues per transaction are due mainly to the decrease in mobile operator commission rates and changes in the mix of transactions, particularly due to growth in India, where revenues per transaction are considerably lower than average, and our ATX subsidiary. ATX provides only transaction processing services without significant direct costs and other operating costs related to installing and managing terminals; therefore, the revenues we recognize from these transactions is a fraction of that recognized on average transactions, but with very low associated costs.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Direct operating costs in the epay Segment include the commissions we pay to retail merchants for the distribution and sale of prepaid mobile airtime and other prepaid products, as well as expenses required to operate POS terminals. The decrease in direct operating costs is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generally attributable to the decrease in mobile operator commission revenues discussed above having been largely passed on to retail merchants resulting in lower commission costs, and changes in the mix of transactions to more of those with lower costs. This decrease was partly offset by the increase in transactions processed.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Gross profit, which represents revenues less direct costs, was $32.2 million for the third quarter and $89.9 million for the first nine months of 2010 compared to $30.2 million for the third quarter and $83.6 million for the first nine months of 2009. The primary causes of the increase in gross profit for the first nine months of 2010 compared to the first nine months of 2009 are the increased transaction volumes in Germany, favorable product mix changes in the U.S., and the third quarter 2010 acquisition of epay Brazil, partly offset by transaction volume declines in the U.K. and Spain. Gross margin increased to 22% for the third quarter and 21% for the first nine months of 2010 compared to 20% and 19%, respectively, for the same periods in 2009. Gross profit per transaction was $0.14 for the third quarter and first nine months of 2010 compared to $0.16 for the third quarter and $0.15 for the first nine months of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increase in salaries and benefits for the first nine months of 2010 compared to the first nine months of 2009 is primarily due to additional overhead to support development in new and growing markets, the impact of the third quarter 2010 acquisition of epay Brazil and certain severance costs. As a percentage of revenues, salaries and benefits increased to 5.6% for the first nine months of 2010 from 4.8% for the first nine months of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increase in selling, general and administrative expenses for the first nine months of 2010 compared to the first nine months of 2009 is mainly due to additional overhead to support development in new and growing markets, professional fees related to due diligence, recruiting and legal matters, certain rebranding and marketing expenses incurred in the first nine months of 2010, increased bad debt in certain markets and the third quarter 2010 acquisition of epay Brazil. As a percentage of revenues, these expenses increased to 4.7% for the first nine months of 2010 compared to 3.5% for the first nine months of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Depreciation and amortization expense primarily represents amortization of acquired intangible assets and the depreciation of POS terminals we install in retail stores. Depreciation and amortization expense increased for the first nine months of 2010 compared to the first nine months of 2009 mainly due to the growth in installed POS terminals in new and growing markets, primarily Italy. As a percentage of revenues, these expenses increased slightly to 2.8% for the first nine months of 2010 from 2.6% for the first nine months of 2009.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Operating margin was 8.0% for the third quarter and 7.7% for the first nine months of 2010 compared to 8.8% for the third quarter and 8.4% for the first nine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months of 2009. Operating income per transaction was $0.05 for the third quarter and first nine months of 2010 compared to $0.07 for the third quarter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$0.06 for the first nine months of 2009. The decreases in operating income, operating margin and operating income per transaction for the first nine months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2010 compared to the first nine months of 2009 are mainly due to the increase in operating expenses discussed above which outpaced the improvements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gross profits.</w:t>
      </w:r>
    </w:p>
    <w:p>
      <w:pPr>
        <w:spacing w:after="0" w:line="1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nine months ended September 30, 2010, certain reporting units of the epay Segment in Central and Western Europe have processed fewer transactions and/or experienced lower revenues and operating income when compared to the same period in 2009 as a result of economic pressures. Should we determine during our annual goodwill testing that the economic conditions which caused these decreases in profitability are longer term in nature, it is possible that the goodwill of certain of these reporting units could be impaired.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tables present the results of operations for the three- and nine-month periods ended September 30, 2010 and 2009 for the Money Transfer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Year-over-Year Change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7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7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83"/>
              </w:rPr>
              <w:t>2009</w:t>
            </w:r>
          </w:p>
        </w:tc>
        <w:tc>
          <w:tcPr>
            <w:tcW w:w="44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63,088</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60,271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2"/>
              </w:rPr>
              <w:t>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179,196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171,008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8,188</w:t>
            </w:r>
          </w:p>
        </w:tc>
        <w:tc>
          <w:tcPr>
            <w:tcW w:w="6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3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29,100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28,097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2"/>
              </w:rPr>
              <w:t>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83,726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81,710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2,016</w:t>
            </w:r>
          </w:p>
        </w:tc>
        <w:tc>
          <w:tcPr>
            <w:tcW w:w="6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14,924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14,626</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298</w:t>
            </w:r>
          </w:p>
        </w:tc>
        <w:tc>
          <w:tcPr>
            <w:tcW w:w="680" w:type="dxa"/>
            <w:vAlign w:val="bottom"/>
          </w:tcPr>
          <w:p>
            <w:pPr>
              <w:jc w:val="center"/>
              <w:ind w:left="35"/>
              <w:spacing w:after="0"/>
              <w:rPr>
                <w:sz w:val="20"/>
                <w:szCs w:val="20"/>
                <w:color w:val="auto"/>
              </w:rPr>
            </w:pPr>
            <w:r>
              <w:rPr>
                <w:rFonts w:ascii="Arial" w:cs="Arial" w:eastAsia="Arial" w:hAnsi="Arial"/>
                <w:sz w:val="18"/>
                <w:szCs w:val="18"/>
                <w:color w:val="auto"/>
                <w:w w:val="92"/>
              </w:rPr>
              <w:t>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43,007</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39,549</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3,458</w:t>
            </w:r>
          </w:p>
        </w:tc>
        <w:tc>
          <w:tcPr>
            <w:tcW w:w="680" w:type="dxa"/>
            <w:vAlign w:val="bottom"/>
          </w:tcPr>
          <w:p>
            <w:pPr>
              <w:jc w:val="right"/>
              <w:ind w:right="95"/>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10,191</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9,680</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511</w:t>
            </w:r>
          </w:p>
        </w:tc>
        <w:tc>
          <w:tcPr>
            <w:tcW w:w="68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2"/>
              </w:rPr>
              <w:t>5%</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27,801</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27,342</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459</w:t>
            </w:r>
          </w:p>
        </w:tc>
        <w:tc>
          <w:tcPr>
            <w:tcW w:w="6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Goodwill and acquired</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impairment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80" w:type="dxa"/>
            <w:vAlign w:val="bottom"/>
          </w:tcPr>
          <w:p>
            <w:pPr>
              <w:ind w:left="260"/>
              <w:spacing w:after="0"/>
              <w:rPr>
                <w:sz w:val="20"/>
                <w:szCs w:val="20"/>
                <w:color w:val="auto"/>
              </w:rPr>
            </w:pPr>
            <w:r>
              <w:rPr>
                <w:rFonts w:ascii="Arial" w:cs="Arial" w:eastAsia="Arial" w:hAnsi="Arial"/>
                <w:sz w:val="18"/>
                <w:szCs w:val="18"/>
                <w:color w:val="auto"/>
              </w:rPr>
              <w:t>n/m</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9,884</w:t>
            </w: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(9,884)</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Depreciation and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5,148</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(145)</w:t>
            </w:r>
          </w:p>
        </w:tc>
        <w:tc>
          <w:tcPr>
            <w:tcW w:w="68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4"/>
              </w:rPr>
              <w:t>(3%)</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15,205</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15,138</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w:t>
            </w: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w w:val="92"/>
              </w:rPr>
              <w:t>Total operating expenses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59,363</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57,696</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1,667</w:t>
            </w:r>
          </w:p>
        </w:tc>
        <w:tc>
          <w:tcPr>
            <w:tcW w:w="440" w:type="dxa"/>
            <w:vAlign w:val="bottom"/>
          </w:tcPr>
          <w:p>
            <w:pPr>
              <w:spacing w:after="0"/>
              <w:rPr>
                <w:sz w:val="24"/>
                <w:szCs w:val="24"/>
                <w:color w:val="auto"/>
              </w:rPr>
            </w:pPr>
          </w:p>
        </w:tc>
        <w:tc>
          <w:tcPr>
            <w:tcW w:w="680" w:type="dxa"/>
            <w:vAlign w:val="bottom"/>
          </w:tcPr>
          <w:p>
            <w:pPr>
              <w:jc w:val="center"/>
              <w:ind w:left="35"/>
              <w:spacing w:after="0"/>
              <w:rPr>
                <w:sz w:val="20"/>
                <w:szCs w:val="20"/>
                <w:color w:val="auto"/>
              </w:rPr>
            </w:pPr>
            <w:r>
              <w:rPr>
                <w:rFonts w:ascii="Arial" w:cs="Arial" w:eastAsia="Arial" w:hAnsi="Arial"/>
                <w:sz w:val="18"/>
                <w:szCs w:val="18"/>
                <w:color w:val="auto"/>
                <w:w w:val="92"/>
              </w:rPr>
              <w:t>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169,739</w:t>
            </w:r>
          </w:p>
        </w:tc>
        <w:tc>
          <w:tcPr>
            <w:tcW w:w="120" w:type="dxa"/>
            <w:vAlign w:val="bottom"/>
          </w:tcPr>
          <w:p>
            <w:pPr>
              <w:spacing w:after="0"/>
              <w:rPr>
                <w:sz w:val="24"/>
                <w:szCs w:val="2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173,623</w:t>
            </w:r>
          </w:p>
        </w:tc>
        <w:tc>
          <w:tcPr>
            <w:tcW w:w="120" w:type="dxa"/>
            <w:vAlign w:val="bottom"/>
          </w:tcPr>
          <w:p>
            <w:pPr>
              <w:spacing w:after="0"/>
              <w:rPr>
                <w:sz w:val="24"/>
                <w:szCs w:val="2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(3,884)</w:t>
            </w:r>
          </w:p>
        </w:tc>
        <w:tc>
          <w:tcPr>
            <w:tcW w:w="68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(loss)</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3,725</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2,575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4"/>
              </w:rPr>
              <w:t>45%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12,072</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vMerge w:val="restart"/>
          </w:tcPr>
          <w:p>
            <w:pPr>
              <w:ind w:left="200"/>
              <w:spacing w:after="0"/>
              <w:rPr>
                <w:sz w:val="20"/>
                <w:szCs w:val="20"/>
                <w:color w:val="auto"/>
              </w:rPr>
            </w:pPr>
            <w:r>
              <w:rPr>
                <w:rFonts w:ascii="Arial" w:cs="Arial" w:eastAsia="Arial" w:hAnsi="Arial"/>
                <w:sz w:val="18"/>
                <w:szCs w:val="18"/>
                <w:color w:val="auto"/>
              </w:rPr>
              <w:t>Transactions processed</w:t>
            </w: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(millions)</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440" w:type="dxa"/>
            <w:vAlign w:val="bottom"/>
          </w:tcPr>
          <w:p>
            <w:pPr>
              <w:spacing w:after="0"/>
              <w:rPr>
                <w:sz w:val="20"/>
                <w:szCs w:val="20"/>
                <w:color w:val="auto"/>
              </w:rPr>
            </w:pPr>
          </w:p>
        </w:tc>
        <w:tc>
          <w:tcPr>
            <w:tcW w:w="680" w:type="dxa"/>
            <w:vAlign w:val="bottom"/>
          </w:tcPr>
          <w:p>
            <w:pPr>
              <w:jc w:val="center"/>
              <w:ind w:left="35"/>
              <w:spacing w:after="0"/>
              <w:rPr>
                <w:sz w:val="20"/>
                <w:szCs w:val="20"/>
                <w:color w:val="auto"/>
              </w:rPr>
            </w:pPr>
            <w:r>
              <w:rPr>
                <w:rFonts w:ascii="Arial" w:cs="Arial" w:eastAsia="Arial" w:hAnsi="Arial"/>
                <w:sz w:val="18"/>
                <w:szCs w:val="18"/>
                <w:color w:val="auto"/>
                <w:w w:val="92"/>
              </w:rPr>
              <w:t>7%</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0.8</w:t>
            </w:r>
          </w:p>
        </w:tc>
        <w:tc>
          <w:tcPr>
            <w:tcW w:w="680" w:type="dxa"/>
            <w:vAlign w:val="bottom"/>
          </w:tcPr>
          <w:p>
            <w:pPr>
              <w:jc w:val="right"/>
              <w:ind w:right="95"/>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Revenues from the Money Transfer Segment include a transaction fee for each transaction, as well as the difference between the price of foreign currency purchased at wholesale exchange rates and sold to customers at retail exchange rates. The increase in revenues for the first nine months of 2010 compared to revenues for the first nine months of 2009 is primarily due to the increase in the number of transactions processed. For the first nine months of 2010, money transfers to Mexico, which represented 22% of total money transfers, decreased by 9% while transfers to all other countries increased 12% when compared to the first nine months of 2009. The increase in transfers to countries other than Mexico is due to the expansion of our agent and correspondent payout networks in non-U.S. markets. The decline in transfers to Mexico was largely the result of downturns in certain labor markets and other economic factors impacting the U.S. market, as well as immigration developments in the U.S. The decline in transfers to Mexico slowed in the third quarter of 2010, decreasing 3% when compared to the third quarter of 2009. These issues have also resulted in certain competitors lowering transaction fees and foreign currency exchange spreads in certain markets where we do business in an attempt to limit the impact on money transfer volumes. We have generally maintained our pricing structure in response to these developments. We cannot predict how long these issues will continue to impact the U.S. market or whether other markets will experience similar issues and we cannot predict whether we will change our pricing strategy over the short or long term in order to protect or increase market share.</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Revenues per transaction decreased slightly to $13.14 for the third quarter and $12.99 for the first nine months of 2010 from $13.39 for the third quarter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$13.15 for the first nine months of 2009. The growth rate of revenues slightly lagged the transaction growth rate for the first nine months of 2010 largely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 of a lower average amount transferred per transaction. This decrease was largely offset by the continued shift in transaction mix to non-U.S. locations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generally have higher-than-average revenues per transaction. For the nine months ended September 30, 2010, 60% of our money transfers were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initiated in the U.S. and 40% in non-U.S. markets compared to 65% initiated in the U.S. and 35% in non-U.S. markets for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2009. We expect that the U.S. will continue to represent our highest volume market; however, future growth is expected to be derived from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addition of new products and the expansion of our agent and correspondent payout networks in new and existing markets, primarily outside the U.S.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Direct operating costs in the Money Transfer Segment primarily represent commissions paid to agents that originate money transfers on our behalf and distribution agents that disburse funds to the customers’ destination beneficiary, together with less significant costs, such as telecommunication costs and bank fees to collect money from originating agents. The increase in direct operating costs in the first nine months of 2010 compared to the same period in 2009 is primarily due to the growth in transactions processed.</w:t>
      </w:r>
    </w:p>
    <w:p>
      <w:pPr>
        <w:sectPr>
          <w:pgSz w:w="11900" w:h="16838" w:orient="portrait"/>
          <w:cols w:equalWidth="0" w:num="1">
            <w:col w:w="11420"/>
          </w:cols>
          <w:pgMar w:left="240" w:top="419" w:right="239"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Gross profit, which represents revenues less direct costs, was $34.0 million for the third quarter and $95.5 million for the first nine months of 2010 compared to $32.2 million for the third quarter and $89.3 million for the first nine months of 2009. The improvements are primarily due to the growth in money transfer transactions, the shift in transaction mix to transfers from non-U.S. sources and the addition of new products. Gross margin was 54% for the third quarter and 53% for the first nine months of 2010 compared to 53% for the third quarter and 52% for the first nine months of 2009. This improvement primarily reflects the shift in transaction mix to transfers from non-U.S. sources, partly offset by lower revenues per transaction.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salaries and benefits for the first nine months of 2010 compared to the same period in 2009 is due to the increased expenditures we incurred to support expansion of our operations, primarily internationally. As a percentage of revenues, salaries and benefits increased to 24.0% for the first nine months of 2010 from 23.1% for the same period in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Selling, general and administrative expenses increased slightly for the first nine months of 2010 compared to the first nine months of 2009, primarily as the result of our ability to leverage fixed operating costs while expanding the business. As a percentage of revenues, selling, general and administrative expenses decreased to 15.5% for the first nine months of 2010 from 16.0% for the same period in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acquired intangible assets impairment</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the fourth quarter of 2008, we recorded a non-cash impairment charge of $169.4 million related to certain goodwill and intangible assets of the RIA money transfer business. This charge was an estimate based on the assessment performed up to the filing date of our 2008 Annual Report on Form 10-K. We completed the assessment in the first quarter of 2009 and recorded an additional $9.9 million non-cash impairment charge in the first quarter of 2009.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Depreciation and amortization primarily represents amortization of acquired intangible assets and also includes depreciation of money transfer terminals, computers and software, leasehold improvements and office equipment. For the first nine months of 2010, depreciation and amortization has remained relatively flat compared to the same period in 2009, reflecting a shift in achieving expansion more through agents which requires less capital expenditures than expansion from adding company stores. As a percentage of revenues, depreciation and amortization decreased to 8.5% for the first nine months of 2010 from 8.9% for the same period in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Excluding the goodwill and acquired intangible assets impairment charge, operating income for the first nine months of 2010 increased by $2.2 million compared to the first nine months of 2009. This increase reflects the growth in transactions processed, the shift in transactions to non-U.S. markets, the addition of new products and the leveraging of fixed costs, partly offset by increased salaries and benefits expenses to expand internationally. Operating margin, excluding the goodwill and acquired intangible assets impairment charge, increased to 5.3% for the first nine months of 2010 from 4.3% for the same period in 2009.</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operating expenses for the three- and nine-month periods ended September 30, 2010 and 2009 for Corporate Services: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7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Year-over-Year Change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Year-over-Year Change</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w w:val="94"/>
              </w:rPr>
              <w:t>Increase</w:t>
            </w: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w w:val="93"/>
              </w:rPr>
              <w:t>Decrease</w:t>
            </w: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83"/>
              </w:rPr>
              <w:t>2009</w:t>
            </w:r>
          </w:p>
        </w:tc>
        <w:tc>
          <w:tcPr>
            <w:tcW w:w="460" w:type="dxa"/>
            <w:vAlign w:val="bottom"/>
          </w:tcPr>
          <w:p>
            <w:pPr>
              <w:spacing w:after="0"/>
              <w:rPr>
                <w:sz w:val="12"/>
                <w:szCs w:val="12"/>
                <w:color w:val="auto"/>
              </w:rPr>
            </w:pPr>
          </w:p>
        </w:tc>
        <w:tc>
          <w:tcPr>
            <w:tcW w:w="116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2"/>
              </w:rPr>
              <w:t>(Decrease)</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(Decrease)</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0"/>
              </w:rPr>
              <w:t>Amount</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(303)</w:t>
            </w:r>
          </w:p>
        </w:tc>
        <w:tc>
          <w:tcPr>
            <w:tcW w:w="66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94"/>
              </w:rPr>
              <w:t>(6%)</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11,382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11,817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(435)</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Selling, general and</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administrative</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1,264</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w:t>
            </w:r>
          </w:p>
        </w:tc>
        <w:tc>
          <w:tcPr>
            <w:tcW w:w="460" w:type="dxa"/>
            <w:vAlign w:val="bottom"/>
          </w:tcPr>
          <w:p>
            <w:pPr>
              <w:spacing w:after="0"/>
              <w:rPr>
                <w:sz w:val="20"/>
                <w:szCs w:val="20"/>
                <w:color w:val="auto"/>
              </w:rPr>
            </w:pPr>
          </w:p>
        </w:tc>
        <w:tc>
          <w:tcPr>
            <w:tcW w:w="660" w:type="dxa"/>
            <w:vAlign w:val="bottom"/>
          </w:tcPr>
          <w:p>
            <w:pPr>
              <w:jc w:val="center"/>
              <w:ind w:left="18"/>
              <w:spacing w:after="0"/>
              <w:rPr>
                <w:sz w:val="20"/>
                <w:szCs w:val="20"/>
                <w:color w:val="auto"/>
              </w:rPr>
            </w:pPr>
            <w:r>
              <w:rPr>
                <w:rFonts w:ascii="Arial" w:cs="Arial" w:eastAsia="Arial" w:hAnsi="Arial"/>
                <w:sz w:val="18"/>
                <w:szCs w:val="18"/>
                <w:color w:val="auto"/>
                <w:w w:val="92"/>
              </w:rPr>
              <w:t>7%</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4,167</w:t>
            </w: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5,240</w:t>
            </w: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(1,073)</w:t>
            </w:r>
          </w:p>
        </w:tc>
        <w:tc>
          <w:tcPr>
            <w:tcW w:w="680" w:type="dxa"/>
            <w:vAlign w:val="bottom"/>
          </w:tcPr>
          <w:p>
            <w:pPr>
              <w:jc w:val="center"/>
              <w:ind w:left="16"/>
              <w:spacing w:after="0"/>
              <w:rPr>
                <w:sz w:val="20"/>
                <w:szCs w:val="20"/>
                <w:color w:val="auto"/>
              </w:rPr>
            </w:pPr>
            <w:r>
              <w:rPr>
                <w:rFonts w:ascii="Arial" w:cs="Arial" w:eastAsia="Arial" w:hAnsi="Arial"/>
                <w:sz w:val="18"/>
                <w:szCs w:val="18"/>
                <w:color w:val="auto"/>
                <w:w w:val="95"/>
              </w:rPr>
              <w:t>(20%)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4"/>
              </w:rPr>
              <w:t>Depreciation and amortization</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(304)</w:t>
            </w:r>
          </w:p>
        </w:tc>
        <w:tc>
          <w:tcPr>
            <w:tcW w:w="66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91"/>
              </w:rPr>
              <w:t>(80%)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1,014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(284)</w:t>
            </w:r>
          </w:p>
        </w:tc>
        <w:tc>
          <w:tcPr>
            <w:tcW w:w="6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95"/>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5,766</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6,287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(521)</w:t>
            </w:r>
          </w:p>
        </w:tc>
        <w:tc>
          <w:tcPr>
            <w:tcW w:w="660" w:type="dxa"/>
            <w:vAlign w:val="bottom"/>
          </w:tcPr>
          <w:p>
            <w:pPr>
              <w:jc w:val="center"/>
              <w:ind w:left="18"/>
              <w:spacing w:after="0"/>
              <w:rPr>
                <w:sz w:val="20"/>
                <w:szCs w:val="20"/>
                <w:color w:val="auto"/>
              </w:rPr>
            </w:pPr>
            <w:r>
              <w:rPr>
                <w:rFonts w:ascii="Arial" w:cs="Arial" w:eastAsia="Arial" w:hAnsi="Arial"/>
                <w:sz w:val="18"/>
                <w:szCs w:val="18"/>
                <w:color w:val="auto"/>
                <w:w w:val="94"/>
              </w:rPr>
              <w:t>(8%)</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16,279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18,071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(1,792)</w:t>
            </w:r>
          </w:p>
        </w:tc>
        <w:tc>
          <w:tcPr>
            <w:tcW w:w="680" w:type="dxa"/>
            <w:vAlign w:val="bottom"/>
          </w:tcPr>
          <w:p>
            <w:pPr>
              <w:jc w:val="center"/>
              <w:ind w:left="16"/>
              <w:spacing w:after="0"/>
              <w:rPr>
                <w:sz w:val="20"/>
                <w:szCs w:val="20"/>
                <w:color w:val="auto"/>
              </w:rPr>
            </w:pPr>
            <w:r>
              <w:rPr>
                <w:rFonts w:ascii="Arial" w:cs="Arial" w:eastAsia="Arial" w:hAnsi="Arial"/>
                <w:sz w:val="18"/>
                <w:szCs w:val="18"/>
                <w:color w:val="auto"/>
                <w:w w:val="95"/>
              </w:rPr>
              <w:t>(10%)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expenses for Corporate Services decreased for the first nine months of 2010 compared to the first nine months of 2009. The decrease in salaries and benefits is primarily the result of lower incentive compensation accruals, partly offset by higher salaries and share-based compensation. The increase in share-based compensation is due to the reversal of expense related to certain performance-based awards during the first nine months of 2009. The decrease in selling, general and administrative expenses is due mainly to lower legal and acquisition-related professional fees. The decrease in depreciation and amortization for the third quarter of 2010 compared to the third quarter of 2009 is due to a three-year enterprise-wide desktop license becoming fully depreciated in May of 2010.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720" w:type="dxa"/>
            <w:vAlign w:val="bottom"/>
            <w:gridSpan w:val="3"/>
            <w:vMerge w:val="restart"/>
          </w:tcPr>
          <w:p>
            <w:pPr>
              <w:jc w:val="right"/>
              <w:ind w:right="92"/>
              <w:spacing w:after="0"/>
              <w:rPr>
                <w:sz w:val="20"/>
                <w:szCs w:val="20"/>
                <w:color w:val="auto"/>
              </w:rPr>
            </w:pPr>
            <w:r>
              <w:rPr>
                <w:rFonts w:ascii="Arial" w:cs="Arial" w:eastAsia="Arial" w:hAnsi="Arial"/>
                <w:sz w:val="14"/>
                <w:szCs w:val="14"/>
                <w:b w:val="1"/>
                <w:bCs w:val="1"/>
                <w:color w:val="auto"/>
                <w:w w:val="98"/>
              </w:rPr>
              <w:t>Year-over-Year Change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8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30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8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83"/>
              </w:rPr>
              <w:t>2009</w:t>
            </w: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0"/>
              </w:rPr>
              <w:t>Amount</w:t>
            </w:r>
          </w:p>
        </w:tc>
        <w:tc>
          <w:tcPr>
            <w:tcW w:w="66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Percent</w:t>
            </w: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1120" w:type="dxa"/>
            <w:vAlign w:val="bottom"/>
            <w:tcBorders>
              <w:top w:val="single" w:sz="8" w:color="auto"/>
            </w:tcBorders>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rPr>
              <w:t>Amount</w:t>
            </w:r>
          </w:p>
        </w:tc>
        <w:tc>
          <w:tcPr>
            <w:tcW w:w="6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187</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(540)</w:t>
            </w:r>
          </w:p>
        </w:tc>
        <w:tc>
          <w:tcPr>
            <w:tcW w:w="68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5"/>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(5,074)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(6,042)</w:t>
            </w: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968</w:t>
            </w: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(15,059)</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(19,762)</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4,703</w:t>
            </w:r>
          </w:p>
        </w:tc>
        <w:tc>
          <w:tcPr>
            <w:tcW w:w="680" w:type="dxa"/>
            <w:vAlign w:val="bottom"/>
          </w:tcPr>
          <w:p>
            <w:pPr>
              <w:jc w:val="center"/>
              <w:ind w:left="12"/>
              <w:spacing w:after="0"/>
              <w:rPr>
                <w:sz w:val="20"/>
                <w:szCs w:val="20"/>
                <w:color w:val="auto"/>
              </w:rPr>
            </w:pPr>
            <w:r>
              <w:rPr>
                <w:rFonts w:ascii="Arial" w:cs="Arial" w:eastAsia="Arial" w:hAnsi="Arial"/>
                <w:sz w:val="18"/>
                <w:szCs w:val="18"/>
                <w:color w:val="auto"/>
                <w:w w:val="95"/>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Income from unconsolidated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affiliates</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1,508</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(473)</w:t>
            </w:r>
          </w:p>
        </w:tc>
        <w:tc>
          <w:tcPr>
            <w:tcW w:w="68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5"/>
              </w:rPr>
              <w:t>(31%)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Gain on dispute settlement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3,110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3,110</w:t>
            </w: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n/m</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3,110</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3,110</w:t>
            </w:r>
          </w:p>
        </w:tc>
        <w:tc>
          <w:tcPr>
            <w:tcW w:w="78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 on sale of investment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(1,751)</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n/m</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(1,751)</w:t>
            </w:r>
          </w:p>
        </w:tc>
        <w:tc>
          <w:tcPr>
            <w:tcW w:w="7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Loss on early retirement of</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debt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n/m</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253</w:t>
            </w:r>
          </w:p>
        </w:tc>
        <w:tc>
          <w:tcPr>
            <w:tcW w:w="78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exchange</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(loss), net</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8,956</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1,190</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(5,467)</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6,825</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(12,292)</w:t>
            </w:r>
          </w:p>
        </w:tc>
        <w:tc>
          <w:tcPr>
            <w:tcW w:w="7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w w:val="90"/>
              </w:rPr>
              <w:t>Other income (expense), net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7,857</w:t>
            </w:r>
          </w:p>
        </w:tc>
        <w:tc>
          <w:tcPr>
            <w:tcW w:w="260" w:type="dxa"/>
            <w:vAlign w:val="bottom"/>
          </w:tcPr>
          <w:p>
            <w:pPr>
              <w:spacing w:after="0"/>
              <w:rPr>
                <w:sz w:val="24"/>
                <w:szCs w:val="2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4,593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3,264</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(14,423)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(7,433)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(6,990)</w:t>
            </w:r>
          </w:p>
        </w:tc>
        <w:tc>
          <w:tcPr>
            <w:tcW w:w="78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increase in interest income for the third quarter of 2010 from the third quarter of 2009 is primarily due to an increase in interest rates in Australia and the contribution from the third quarter 2010 acquisition of epay Brazil. The decrease for the first nine months of 2010 from the first nine months of 2009 is primarily due to a decline in short-term interest rates in the U.S. and a decrease in average cash balances on hand during the respective periods.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decrease in interest expense for the third quarter and first nine months of 2010 from the third quarter and first nine months of 2009 is primarily related to the reductions in debt from scheduled and early repayments on our term loan and repurchases of convertible debentures and reductions in amounts outstanding under the revolving credit facility. The decrease in interest expense is also due to lower interest rates on our floating-rate debt obligations in the third quarter and first nine months of 2010 compared to the same periods in 2009.</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unconsolidated affiliates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Income from unconsolidated affiliates represents the equity in income of our 40% equity investment in epay Malaysia, our 49% investment in Euronet Middle East and our 47% investment in Euronet Indonesia. During the third quarter of 2010, we made a loan to Euronet Indonesia which caused us to recognize previous unrecognized losses as our investment had been fully written off due to losses incurred. The decrease in income is also the result of lower profitability of Euronet Middle East.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dispute settlement</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the third quarter of 2010, we reached a settlement regarding a dispute with the sellers of RIA Envia, Inc. (“RIA”). We received 226,634 shares of Euronet stock that had been held in escrow related to the RIA acquisition. The $3.5 million fair value of the shares on the date of settlement was recorded as an addition to treasury stock and $3.1 million, net of settlement costs, was recorded as a non-operating gain.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investment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third quarter of 2009, we sold our shares of MoneyGram stock, recognizing a $1.8 million gain.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early retirement of debt</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first nine months of 2009, we repurchased in privately negotiated transactions $25.8 million in principal amount of the 1.625% convertible debentures due 2024. Loss on early retirement of debt of $0.3 million for the first nine months of 2009 represents the difference in the amounts paid for the convertible debentures over their carrying amounts, as well as the pro-rata write-off of deferred financing costs associated with the portion of the term loan that was prepaid during the first nine months of 2009.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gain (loss), net</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Assets and liabilities denominated in currencies other than the local currency of each of our subsidiaries give rise to foreign currency exchange gains and losses. Exchange gains and losses that result from re-measurement of these assets and liabilities are recorded in determining net income. The majority of our foreign currency gains or losses are due to the re-measurement of intercompany loans that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losses are generated on our corporate entities because the number of euros to be received in settlement of the loans decreases in U.S. dollar terms. Conversely, in this example, in periods where the U.S. dollar weakens, our corporate entities will record foreign currency gains.</w:t>
      </w:r>
    </w:p>
    <w:p>
      <w:pPr>
        <w:spacing w:after="0" w:line="5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recorded a net foreign currency exchange gain of $9.0 million in the third quarter of 2010 and a $5.5 million loss in the first nine months of 2010 compared to net foreign currency gains of $7.8 million and $6.8 million in the third quarter and first nine months of 2009, respectively. These realized and unrealized foreign currency exchange gains and losses reflect the respective weakening and strengthening of the U.S. dollar against most of the currencies of the countries in which we operate during the respective periods.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rates as reported and as adjusted are calculated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2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28,119</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26,678</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40,610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Income tax expense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7,054</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8,110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17,185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19,824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4"/>
              </w:rPr>
              <w:t>21,065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18,568</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23,425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22,550</w:t>
            </w: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20" w:type="dxa"/>
            <w:vAlign w:val="bottom"/>
            <w:gridSpan w:val="2"/>
          </w:tcPr>
          <w:p>
            <w:pPr>
              <w:spacing w:after="0"/>
              <w:rPr>
                <w:sz w:val="20"/>
                <w:szCs w:val="20"/>
                <w:color w:val="auto"/>
              </w:rPr>
            </w:pPr>
            <w:r>
              <w:rPr>
                <w:rFonts w:ascii="Arial" w:cs="Arial" w:eastAsia="Arial" w:hAnsi="Arial"/>
                <w:sz w:val="18"/>
                <w:szCs w:val="18"/>
                <w:color w:val="auto"/>
              </w:rPr>
              <w:t>Effective income tax rate</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30.4%</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42.3%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28,119</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26,678</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40,610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Adjust: Foreign currency exchange gain (loss), net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8,956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7,766</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(5,467)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Adjust: Goodwill and acquired intangible assets impairment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Adjust: Gain on dispute settlement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3,110</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3,110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Adjust: Gain on sale of investment securities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82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 as adjusted</w:t>
            </w:r>
          </w:p>
        </w:tc>
        <w:tc>
          <w:tcPr>
            <w:tcW w:w="5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w w:val="94"/>
              </w:rPr>
              <w:t>16,053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17,161</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42,967</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43,682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7,054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8,110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17,185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19,824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tcPr>
          <w:p>
            <w:pPr>
              <w:spacing w:after="0" w:line="201" w:lineRule="exact"/>
              <w:rPr>
                <w:sz w:val="20"/>
                <w:szCs w:val="20"/>
                <w:color w:val="auto"/>
              </w:rPr>
            </w:pPr>
            <w:r>
              <w:rPr>
                <w:rFonts w:ascii="Arial" w:cs="Arial" w:eastAsia="Arial" w:hAnsi="Arial"/>
                <w:sz w:val="18"/>
                <w:szCs w:val="18"/>
                <w:color w:val="auto"/>
                <w:w w:val="92"/>
              </w:rPr>
              <w:t>Adjust: Income tax expense (benefit) attributable to foreign currency exchange</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gain (loss), net</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161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(228)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expense, as adjusted</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6,906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7,949</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17,413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19,659</w:t>
            </w: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20" w:type="dxa"/>
            <w:vAlign w:val="bottom"/>
            <w:gridSpan w:val="2"/>
          </w:tcPr>
          <w:p>
            <w:pPr>
              <w:spacing w:after="0"/>
              <w:rPr>
                <w:sz w:val="20"/>
                <w:szCs w:val="20"/>
                <w:color w:val="auto"/>
              </w:rPr>
            </w:pPr>
            <w:r>
              <w:rPr>
                <w:rFonts w:ascii="Arial" w:cs="Arial" w:eastAsia="Arial" w:hAnsi="Arial"/>
                <w:sz w:val="18"/>
                <w:szCs w:val="18"/>
                <w:color w:val="auto"/>
              </w:rPr>
              <w:t>Effective income tax rate, as adjusted</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46.3%</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40.5%</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effective tax rates for continuing operations were 25.1% and 30.4% for the three-month periods ended September 30, 2010 and 2009, respectively, and were 42.3% and 46.8% for the nine-month periods ended September 30, 2010 and 2009, respectively. The effective tax rates were significantly influenced by the foreign currency exchange gains and losses in the respective periods and by the gain on dispute settlement in the third quarter of 2010, the gain on sale of investment securities in the third quarter of 2009 and the goodwill and acquired intangible assets impairment charge in the first quarter of 2009. Excluding these items from pre-tax income, as well as the related tax effects for these items, our effective tax rates were 43.0% and 46.3% for the three months ended September 30, 2010 and 2009, respectively, and 40.5% and 45.0% for the nine months ended September 30, 2010 and 2009, respectively.</w:t>
      </w:r>
    </w:p>
    <w:p>
      <w:pPr>
        <w:spacing w:after="0" w:line="5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increase in the effective tax rate, as adjusted, for the three and nine months ended September 30, 2010 compared to the applicable statutory rate of 35% is primarily related to our U.S. tax position. For the three- and nine-month periods ended September 30, 2010, we have recorded a valuation allowance against our U.S. federal tax net operating losses as it is more likely than not that a tax benefit will not be realized. Accordingly, the federal income tax benefit associated with pre-tax book losses generated by our U.S. entities has not been recognized in these periods. The effective tax rate for the third quarter of 2010 is lower than that of the third quarter of 2009 because a greater portion of our income was earned in countries with lower tax rates during the third quarter of 2010 than during the same period in 2009. Also contributing to the decrease in the effective tax rate for the first nine months of 2010 compared to the same period in 2009 was a $1.0 million adjustment to the reserve related to deferred tax assets generated from prior U.S. net operating losses and a $0.8 million adjustment related to a foreign tax law change recorded in the first nine months of 2010.</w:t>
      </w:r>
    </w:p>
    <w:p>
      <w:pPr>
        <w:spacing w:after="0" w:line="7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Income from continuing operations before income taxes, as adjusted, income tax expense, as adjusted and effective income tax rate, as adjusted are non-GAAP financial measures that management believes are useful for understanding why our effective tax rates are significantly different than would be expected.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net</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fourth quarter of 2009, we sold Essentis in order to focus our investments and resources on our transaction processing businesses. Accordingly, Essentis’s results of operations are shown as discontinued operations in the unaudited Consolidated Statements of Income for the three and nine months ended September 30, 2009.</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Net income attributable to noncontrolling interests was $0.1 million for the third quarter and $1.1 million for the first nine months of 2010 compared to</w:t>
      </w:r>
    </w:p>
    <w:p>
      <w:pPr>
        <w:spacing w:after="0" w:line="35"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$0.2 million for the third quarter and $1.0 million for the first nine months of 2009. Noncontrolling interests represents the elimination of net income or loss attributable to the minority shareholders’ portion of our consolidated subsidiaries that are not wholly-owned. Our subsidiaries which are not wholly-owned are summarized in the table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Subsidiary</w:t>
            </w:r>
          </w:p>
        </w:tc>
        <w:tc>
          <w:tcPr>
            <w:tcW w:w="5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54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b w:val="1"/>
                <w:bCs w:val="1"/>
                <w:color w:val="auto"/>
                <w:w w:val="92"/>
              </w:rPr>
              <w:t>Segment - Country</w:t>
            </w:r>
          </w:p>
        </w:tc>
        <w:tc>
          <w:tcPr>
            <w:tcW w:w="0" w:type="dxa"/>
            <w:vAlign w:val="bottom"/>
          </w:tcPr>
          <w:p>
            <w:pPr>
              <w:spacing w:after="0"/>
              <w:rPr>
                <w:sz w:val="1"/>
                <w:szCs w:val="1"/>
                <w:color w:val="auto"/>
              </w:rPr>
            </w:pPr>
          </w:p>
        </w:tc>
      </w:tr>
      <w:tr>
        <w:trPr>
          <w:trHeight w:val="171"/>
        </w:trPr>
        <w:tc>
          <w:tcPr>
            <w:tcW w:w="836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5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Movilcarga</w:t>
            </w:r>
          </w:p>
        </w:tc>
        <w:tc>
          <w:tcPr>
            <w:tcW w:w="5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80%</w:t>
            </w:r>
          </w:p>
        </w:tc>
        <w:tc>
          <w:tcPr>
            <w:tcW w:w="54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epay - Spain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e-pay SRL</w:t>
            </w:r>
          </w:p>
        </w:tc>
        <w:tc>
          <w:tcPr>
            <w:tcW w:w="1340" w:type="dxa"/>
            <w:vAlign w:val="bottom"/>
            <w:gridSpan w:val="2"/>
          </w:tcPr>
          <w:p>
            <w:pPr>
              <w:jc w:val="center"/>
              <w:ind w:left="450"/>
              <w:spacing w:after="0"/>
              <w:rPr>
                <w:sz w:val="20"/>
                <w:szCs w:val="20"/>
                <w:color w:val="auto"/>
              </w:rPr>
            </w:pPr>
            <w:r>
              <w:rPr>
                <w:rFonts w:ascii="Arial" w:cs="Arial" w:eastAsia="Arial" w:hAnsi="Arial"/>
                <w:sz w:val="18"/>
                <w:szCs w:val="18"/>
                <w:color w:val="auto"/>
                <w:w w:val="88"/>
              </w:rPr>
              <w:t>51%</w:t>
            </w:r>
          </w:p>
        </w:tc>
        <w:tc>
          <w:tcPr>
            <w:tcW w:w="1720" w:type="dxa"/>
            <w:vAlign w:val="bottom"/>
            <w:gridSpan w:val="2"/>
          </w:tcPr>
          <w:p>
            <w:pPr>
              <w:ind w:left="540"/>
              <w:spacing w:after="0"/>
              <w:rPr>
                <w:sz w:val="20"/>
                <w:szCs w:val="20"/>
                <w:color w:val="auto"/>
              </w:rPr>
            </w:pPr>
            <w:r>
              <w:rPr>
                <w:rFonts w:ascii="Arial" w:cs="Arial" w:eastAsia="Arial" w:hAnsi="Arial"/>
                <w:sz w:val="18"/>
                <w:szCs w:val="18"/>
                <w:color w:val="auto"/>
              </w:rPr>
              <w:t>epay - Italy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ATX</w:t>
            </w:r>
          </w:p>
        </w:tc>
        <w:tc>
          <w:tcPr>
            <w:tcW w:w="134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88"/>
              </w:rPr>
              <w:t>51%</w:t>
            </w:r>
          </w:p>
        </w:tc>
        <w:tc>
          <w:tcPr>
            <w:tcW w:w="1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epay - various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Euronet China</w:t>
            </w:r>
          </w:p>
        </w:tc>
        <w:tc>
          <w:tcPr>
            <w:tcW w:w="1340" w:type="dxa"/>
            <w:vAlign w:val="bottom"/>
            <w:gridSpan w:val="2"/>
          </w:tcPr>
          <w:p>
            <w:pPr>
              <w:jc w:val="center"/>
              <w:ind w:left="450"/>
              <w:spacing w:after="0"/>
              <w:rPr>
                <w:sz w:val="20"/>
                <w:szCs w:val="20"/>
                <w:color w:val="auto"/>
              </w:rPr>
            </w:pPr>
            <w:r>
              <w:rPr>
                <w:rFonts w:ascii="Arial" w:cs="Arial" w:eastAsia="Arial" w:hAnsi="Arial"/>
                <w:sz w:val="18"/>
                <w:szCs w:val="18"/>
                <w:color w:val="auto"/>
                <w:w w:val="88"/>
              </w:rPr>
              <w:t>75%</w:t>
            </w:r>
          </w:p>
        </w:tc>
        <w:tc>
          <w:tcPr>
            <w:tcW w:w="1720" w:type="dxa"/>
            <w:vAlign w:val="bottom"/>
            <w:gridSpan w:val="2"/>
          </w:tcPr>
          <w:p>
            <w:pPr>
              <w:ind w:left="540"/>
              <w:spacing w:after="0"/>
              <w:rPr>
                <w:sz w:val="20"/>
                <w:szCs w:val="20"/>
                <w:color w:val="auto"/>
              </w:rPr>
            </w:pPr>
            <w:r>
              <w:rPr>
                <w:rFonts w:ascii="Arial" w:cs="Arial" w:eastAsia="Arial" w:hAnsi="Arial"/>
                <w:sz w:val="18"/>
                <w:szCs w:val="18"/>
                <w:color w:val="auto"/>
              </w:rPr>
              <w:t>EFT - China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Telecomnet, Inc.</w:t>
            </w:r>
          </w:p>
        </w:tc>
        <w:tc>
          <w:tcPr>
            <w:tcW w:w="134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88"/>
              </w:rPr>
              <w:t>99%</w:t>
            </w:r>
          </w:p>
        </w:tc>
        <w:tc>
          <w:tcPr>
            <w:tcW w:w="1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epay - Brazil</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 WORLDWIDE, INC.</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Net income attributable to Euronet Worldwide, Inc. was $21.0 million for the third quarter and $22.3 million for the first nine months of 2010 compared to</w:t>
      </w:r>
    </w:p>
    <w:p>
      <w:pPr>
        <w:spacing w:after="0" w:line="3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$18.9 million for the third quarter and $22.1 million for the first nine months of 2009. As more fully discussed above, the increase of $0.2 million for the first nine months of 2010 as compared to the same period in 2009 was primarily the result of the $5.2 million increase in operating income which is largely the result of the $9.9 million goodwill and acquired intangible assets impairment charge in the first nine months of 2009. Additionally, we recorded a gain on dispute settlement of $3.1 million in the third quarter of 2010 and a $1.8 million gain on sale of investment securities during the first nine months of 2009. Further, net interest expense decreased $4.2 million, income tax expense decreased $2.6 million, income from discontinued operations decreased $0.5 million and other items decreased net income by $0.3 million during the first nine months of 2010 compared to the same period in 2009. Finally, foreign currency exchange losses increased $12.3 million for the first nine months of 2010 compared to the same period in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2010, we had working capital, which is calculated as the difference between total current assets and total current liabilities, of</w:t>
      </w:r>
    </w:p>
    <w:p>
      <w:pPr>
        <w:spacing w:after="0" w:line="35"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$136.5 million, compared to working capital of $167.0 million as of December 31, 2009. Our ratio of current assets to current liabilities was 1.27 as of September 30, 2010, compared to 1.34 as of December 31, 2009. The decrease in working capital was primarily due to the use of cash to reduce revolving credit facility borrowings and acquire Telecomnet, Inc., partly offset by the working capital produced by operations during the first nine months of 2010.</w:t>
      </w:r>
    </w:p>
    <w:p>
      <w:pPr>
        <w:spacing w:after="0" w:line="4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require substantial working capital to finance operations. The Money Transfer Segment funds the correspondent distribution network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fiscal period ends. As of September 30, 2010, working capital in the Money Transfer Segment was $65.5 million. We expect that working capital needs will increase as we expand this business. The epay Segment produces positive working capital, but much of it is restricted in connection with the administration of its customer collection and vendor remittance activities. The EFT Processing Segment does not require substantial working capital.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Cash flows provided by operating activities were $85.8 million for the first nine months of 2010 compared to $117.3 million for the first nine months of 2009. The decrease is primarily due to fluctuations in working capital primarily associated with the timing of the settlement processes with mobile operators in the epay Segment and with correspondents in the Money Transfer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Cash flows used in investing activities were $46.7 million for the first nine months of 2010, compared to $35.4 million for the first nine months of 2009. Our investing activities included $24.4 million in cash used for acquisitions in the first nine months of 2010 compared to $10.3 million for the same period in 2009. Purchases of property and equipment used $21.1 million and $26.2 million of cash for in the first nine months of 2010 and 2009, respectively. Our investing activities for the first nine months of 2009 included $3.0 million in proceeds from the sale of investment securities. Finally, cash used for software development and other investing activities totaled $1.2 million in the first nine months of 2010 and $1.9 million in the first nine months of 2009.</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Cash flows used in financing activities were $43.6 million during the first nine months of 2010 compared to $48.0 million during the first nine months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2009. Our financing activities for the first nine months of 2010 consisted primarily of net repayments of debt obligations of $43.8 million compared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$46.8 million for the first nine months of 2009. To support the short-term cash needs of our Money Transfer Segment, we generally borrow amounts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 facility several times each month to fund the correspondent network in advance of collecting remittance amounts from the agency network.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borrowings are repaid over a very short period of time, generally within a few days. Primarily as a result of this, during the first nine months of 2010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had a total of $119.0 million in borrowings and $158.2 million in repayments under our revolving credit facility. During the first nine months of 2010, we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paid $2.7 million for repayments and early retirements of debt obligations and $1.9 million for capital lease obligations. Additionally, we paid $1.7 million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and $2.4 million of dividends to noncontrolling interests stockholders in the first nine months of 2010 and 2009,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Expected future financing and investing cash requirements primarily depend on our acquisition activity and the related financing needs.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Credit Facility</w:t>
      </w:r>
      <w:r>
        <w:rPr>
          <w:rFonts w:ascii="Arial" w:cs="Arial" w:eastAsia="Arial" w:hAnsi="Arial"/>
          <w:sz w:val="17"/>
          <w:szCs w:val="17"/>
          <w:color w:val="auto"/>
        </w:rPr>
        <w:t xml:space="preserve"> — In connection with completing the April 2007 acquisition of RIA, we entered into a $290 million secured credit facility consisting of a</w:t>
      </w:r>
    </w:p>
    <w:p>
      <w:pPr>
        <w:spacing w:after="0" w:line="3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$190 million seven-year term loan, which was fully drawn at closing, and a $100 million five-year revolving credit facility (together, the “Credit Facility”). The term loan bears interest at LIBOR plus 200 basis points or prime plus 100 basis points and requires that we repay $1.9 million of the balance each year, with the remaining balance payable at the end of the seven-year term. We have prepaid amounts on this loan and we estimate that we will be able to repay the remaining $127.5 million term loan prior to its maturity date through cash flows available from operations, provided our operating cash flows are not required for future business developments. Up front financing costs of $4.8 million were deferred and are being amortized over the terms of the respective loans.</w:t>
      </w:r>
    </w:p>
    <w:p>
      <w:pPr>
        <w:spacing w:after="0" w:line="5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revolving credit facility bears interest at LIBOR or prime plus a margin that adjusts each quarter based upon our Consolidated EBITDA ratio as defined in the Credit Facility agreement. We intend to use the revolving credit facility primarily to fund working capital requirements, which are expected to increase as we expand the Money Transfer business. Based on our current projected working capital requirements, we anticipate that our revolving credit facility will be sufficient to fund our working capital needs.</w:t>
      </w:r>
    </w:p>
    <w:p>
      <w:pPr>
        <w:spacing w:after="0" w:line="7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may be required to repay our obligations under the Credit Facility six months before any potential repurchase dates, the first being October 15, 2012, under our $175 million 3.50% Convertible Debentures Due 2025, unless we are able to demonstrate that either: (i) we could borrow unsubordinated funded debt equal to the principal amount of the convertible debentures while remaining in compliance with the financial covenants in the Credit Facility or (ii) we will have sufficient liquidity to meet repayment requirements (as determined by the administrative agent and the lenders). These and other material terms and conditions applicable to the Credit Facility are described in the agreement governing the Credit Facility.</w:t>
      </w:r>
    </w:p>
    <w:p>
      <w:pPr>
        <w:spacing w:after="0" w:line="6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term loan may be expanded by up to an additional $150 million and the revolving credit facility can be expanded by up to an additional $25 million, subject to satisfaction of certain conditions including pro forma debt covenant compliance.</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of September 30, 2010, we had borrowings of $127.5 million outstanding under the term loan. We had no borrowings and $40.7 million of stand-by letters of credit outstanding under the revolving credit facility. The remaining $59.3 million under the revolving credit facility was available for borrowing. Borrowings under the revolving credit facility are being used to fund short-term working capital requirements in the U.S. and India. As of September 30, 2010, our weighted average interest rate was 2.4% under the term loan, excluding amortization of deferred financing costs.</w:t>
      </w:r>
    </w:p>
    <w:p>
      <w:pPr>
        <w:spacing w:after="0" w:line="6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u w:val="single" w:color="auto"/>
          <w:color w:val="auto"/>
        </w:rPr>
        <w:t>Short-term debt obligations</w:t>
      </w:r>
      <w:r>
        <w:rPr>
          <w:rFonts w:ascii="Arial" w:cs="Arial" w:eastAsia="Arial" w:hAnsi="Arial"/>
          <w:sz w:val="17"/>
          <w:szCs w:val="17"/>
          <w:color w:val="auto"/>
        </w:rPr>
        <w:t xml:space="preserve"> — Short-term debt obligations at September 30, 2010 were primarily comprised of the $1.9 million annual repayment requirement under the term loan. Certain of our subsidiaries also have available credit lines and overdraft facilities to supplement short-term working capital requirements, when necessary, and there were $0.6 million outstanding under these facilities as of September 30, 2010.</w:t>
      </w:r>
    </w:p>
    <w:p>
      <w:pPr>
        <w:spacing w:after="0" w:line="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believe that the short-term debt obligations can be funded through cash generated from operations, together with cash on hand or borrowings under our revolving credit facility.</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u w:val="single" w:color="auto"/>
          <w:color w:val="auto"/>
        </w:rPr>
        <w:t>Convertible debt</w:t>
      </w:r>
      <w:r>
        <w:rPr>
          <w:rFonts w:ascii="Arial" w:cs="Arial" w:eastAsia="Arial" w:hAnsi="Arial"/>
          <w:sz w:val="18"/>
          <w:szCs w:val="18"/>
          <w:color w:val="auto"/>
        </w:rPr>
        <w:t xml:space="preserve"> — We have $175 million in principal amount of 3.50% Convertible Debentures Due 2025 that are convertible into 4.3 million shares of Euronet common stock at a conversion price of $40.48 per share upon the occurrence of certain events (relating to the closing prices of Euronet common stock exceeding certain thresholds for specified periods). The debentures may not be redeemed by us until October 20, 2012, but are redeemable at par at any time thereafter. Holders of the debentures have the option to require us to purchase their debentures at par on October 15, 2012, 2015 and 2020, or upon a change in control of the Company. On the maturity date, these debentures can be settled in cash or Euronet common stock, at our option, at predetermined conversion rates.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Should holders of the 3.50% convertible debentures require us to repurchase their debentures on the dates outlined above, we cannot guarantee that we will have sufficient cash on hand or have acceptable financing options available to us to fund these required repurchases. An inability to finance these potential repayments could have an adverse impact on our operations. These terms and other material terms and conditions applicable to the convertible debentures are set forth in the indenture agreement governing the debentures.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u w:val="single" w:color="auto"/>
          <w:color w:val="auto"/>
        </w:rPr>
        <w:t>Payment obligations related to acquisitions</w:t>
      </w:r>
      <w:r>
        <w:rPr>
          <w:rFonts w:ascii="Arial" w:cs="Arial" w:eastAsia="Arial" w:hAnsi="Arial"/>
          <w:sz w:val="18"/>
          <w:szCs w:val="18"/>
          <w:color w:val="auto"/>
        </w:rPr>
        <w:t xml:space="preserve"> — As of September 30, 2010, we have recorded a liability of $5.0 million for the fair value of contingent consideration related to the acquisition of Telecomnet, Inc. The contingent consideration paid, if any, will be determined based on the 2010 earnings of Telecomnet, Inc. and could be more or less than the $5.0 million initially recorded.</w:t>
      </w:r>
    </w:p>
    <w:p>
      <w:pPr>
        <w:spacing w:after="0" w:line="73"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have potential contingent obligations to the former owner of the net assets of Movilcarga. Based upon presently available information, we do not believe any additional payments will be required. The seller disputed this conclusion and initiated arbitration as provided for in the purchase agreement. A global public accounting firm was engaged as an independent expert to review the results of the computation, but procedures for such review have never been commenced, principally because the seller is in a bankruptcy proceeding. Any additional payments, if ultimately determined to be owed the seller, will be recorded as additional goodwill and could be made in either cash or a combination of cash and Euronet common stock at our option.</w:t>
      </w:r>
    </w:p>
    <w:p>
      <w:pPr>
        <w:spacing w:after="0" w:line="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acquisition of Brodos Romania, we agreed to contingent consideration arrangements based on the achievement of certain performance criteria. If the criteria are achieved, we would have to pay a total of $2.5 million in cash or 75,489 shares of Euronet common stock, at the option of the seller. However, Brodos Romania failed to achieve the performance criteria by January 2010 for the first $1.25 million and based on its current performance, it is unlikely to achieve the performance criteria during 2010 for the remaining amounts.</w:t>
      </w:r>
    </w:p>
    <w:p>
      <w:pPr>
        <w:spacing w:after="0" w:line="7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for the first nine months of 2010 were $21.9 million. These capital expenditures were primarily for the purchase of ATMs to meet contractual requirements in Poland, India and China, the purchase and installation of ATMs in key under-penetrated markets, the purchase of POS terminals for the epay and Money Transfer Segments, and office, data center and company store computer equipment and software, including capital expenditures for the purchase and development of the necessary processing systems and capabilities to expand the cross-border merchant processing and acquiring business. Total capital expenditures for 2010 are currently estimated to be approximately $30 million to $35 million.</w:t>
      </w:r>
    </w:p>
    <w:p>
      <w:pPr>
        <w:spacing w:after="0" w:line="5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epay Segment, approximately 122,000 of the approximately 541,000 POS devices that we operate are Company-owned, with the remaining terminals being operated as integrated cash register devices of our major retail customers or owned by the retailers. As our epay Segment expands, we will continue to add terminals in certain independent retail locations at a price of approximately $300 per terminal. We expect the proportion of owned terminals to total terminals operated to remain relatively constant.</w:t>
      </w:r>
    </w:p>
    <w:p>
      <w:pPr>
        <w:spacing w:after="0" w:line="7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will be sufficient to meet our debt, leasing, contingent acquisition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German EFT transaction fees</w:t>
      </w:r>
      <w:r>
        <w:rPr>
          <w:rFonts w:ascii="Arial" w:cs="Arial" w:eastAsia="Arial" w:hAnsi="Arial"/>
          <w:sz w:val="18"/>
          <w:szCs w:val="18"/>
          <w:color w:val="auto"/>
        </w:rPr>
        <w:t xml:space="preserve"> — EFT transaction fees in Germany increased in mid-2009 and we expect the higher rates to be sustained through the end of 2010. However, based on recent developments, it appears likely that in the first quarter of 2011 the current interbank charge structure will shift to a market-driven surcharge structure. We anticipate that surcharge rates will be considerably lower than current rates and, therefore, reduce our EFT Processing Segment revenues.</w:t>
      </w:r>
    </w:p>
    <w:p>
      <w:pPr>
        <w:spacing w:after="0" w:line="7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u w:val="single" w:color="auto"/>
          <w:color w:val="auto"/>
        </w:rPr>
        <w:t>ATM outsourcing agreements</w:t>
      </w:r>
      <w:r>
        <w:rPr>
          <w:rFonts w:ascii="Arial" w:cs="Arial" w:eastAsia="Arial" w:hAnsi="Arial"/>
          <w:sz w:val="17"/>
          <w:szCs w:val="17"/>
          <w:color w:val="auto"/>
        </w:rPr>
        <w:t xml:space="preserve"> — Our contracts in the EFT Processing Segment tend to cover large numbers of ATMs, so significant increases and decreases in our pool of managed ATMs may result from entry into or termination of these management contracts. Banks have historically been very deliberate in negotiating these agreements and have evaluated a wide range of matters when deciding to choose an outsource vendor. Generally, the process of negotiating a new agreement is subject to extensive management analysis and approvals and the process typically takes six to twelve months or longer. Increasing consolidation in the banking industry could make this process less predictable.</w:t>
      </w:r>
    </w:p>
    <w:p>
      <w:pPr>
        <w:spacing w:after="0" w:line="6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existing contracts generally have terms of five to seven years and a number of them will expire or be up for renewal each year for the next few years. As a result, we expect to be regularly engaged in discussions with one or more of our customer banks to either obtain renewal of, or restructure, our ATM outsourcing agreements. For contracts that we are able to renew, as was the case for contract renewals in Romania and Greece in prior years, we expect customers to seek rate concessions or up-front payments because of the greater availability of alternative processing solutions in many of our markets now, as compared to when we originally entered into the contracts. While we have been successful in many cases in obtaining new terms that preserve the same level of earnings arising from the agreements, we have not been successful in all cases and, therefore, we expect to experience reductions in revenues in future quarters arising from the expiration or restructuring of agreements.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On occasion, we grant guarantees of the obligations of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September 30, 2010, there were no material changes from the disclosure in our Annual Report on Form 10-K for the year ended December 31, 2009. To date, we are not aware of any significant claims made by the indemnified parties or parties to whom we have provided guarantees on behalf of our subsidiaries and, accordingly, no liabilities have been recorded as of September 30, 2010. See also Note 11, Guarantees, to the Unaudited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September 30, 2010, the only material change from the disclosure relating to contractual obligations contained in our Annual Report on Form 10-K for the year ended December 31, 2009, is the $39.2 million net reduction of debt under our revolving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(“Exchange Act”). All statements other than statements of historical facts included in this document are forward-looking statements, including statements regarding the following:</w:t>
      </w:r>
    </w:p>
    <w:p>
      <w:pPr>
        <w:spacing w:after="0" w:line="7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trends affecting our business plans, financing plans and requirements;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trends affecting our business;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adequacy of capital to meet our capital requirements and expansion plans;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assumptions underlying our business plans;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our ability to repay indebtedness;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business strategy;</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government regulatory action;</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technological advances; and</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projected costs and revenues.</w:t>
      </w:r>
    </w:p>
    <w:p>
      <w:pPr>
        <w:spacing w:after="0" w:line="11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we can give no assurance that these expectations will prove to be correct. Forward-looking statements are typically identified by the words believe, expect, anticipate, intend, estimate and similar expressions.</w:t>
      </w:r>
    </w:p>
    <w:p>
      <w:pPr>
        <w:spacing w:after="0" w:line="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technological developments affecting the market for our products and services; foreign currency exchange fluctuations; our ability to renew existing contracts at profitable rates; changes in laws and regulations affecting our business, including immigration laws, and those referred to above and as set forth and more fully described in Part I, Item 1A — Risk Factors of our Annual Report on Form 10-K for the year ended December 31, 2009 and Part II, Item 1A of our Quarterly Report on Form 10-Q for the three months ended March 31, 2010. We do not intend, and do not undertake, any obligation to update any forward looking statements to reflect future events or circumstances after the date of such statements.</w:t>
      </w:r>
    </w:p>
    <w:p>
      <w:pPr>
        <w:spacing w:after="0" w:line="163" w:lineRule="exact"/>
        <w:rPr>
          <w:sz w:val="20"/>
          <w:szCs w:val="20"/>
          <w:color w:val="auto"/>
        </w:rPr>
      </w:pPr>
    </w:p>
    <w:p>
      <w:pPr>
        <w:ind w:right="424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spacing w:after="0"/>
        <w:rPr>
          <w:sz w:val="20"/>
          <w:szCs w:val="20"/>
          <w:color w:val="auto"/>
        </w:rPr>
      </w:pPr>
      <w:r>
        <w:rPr>
          <w:rFonts w:ascii="Arial" w:cs="Arial" w:eastAsia="Arial" w:hAnsi="Arial"/>
          <w:sz w:val="17"/>
          <w:szCs w:val="17"/>
          <w:color w:val="auto"/>
        </w:rPr>
        <w:t>As of September 30, 2010, our total debt outstanding was $292.4 million. Of this amount, $159.2 million, or 54% of our total debt obligations, relates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contingent convertible debentures having a fixed coupon rate. Our $175 million principal amount of contingent convertible debentures, issued 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October 2005, accrue cash interest at a rate of 3.50% of the principal amount per annum. Based on quoted market prices, as of September 30, 2010, the fair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value of our fixed rate convertible debentures was $171.4 million, compared to 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carrying value of $159.2 million. Interest expense for these debentures, including accretion and amortization of deferred debt issuance costs, totals approximately $14.1 million per year, or a weighted average interest rate of 8.9% annually. Additionally, approximately $5.0 million, or 2% of our total debt obligations, relates to capitalized leases with fixed payment and interest terms that expire between 2010 and 2014.</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remaining $128.2 million, or 44% of our total debt obligations, relates to debt that accrues interest at variable rates. If we were to maintain these borrowings for one year, and maximize the potential borrowings available under the revolving credit facility for one year, including the $25.0 million in potential additional expanded borrowings, a 1% increase in the applicable interest rate would result in additional interest expense to the Company of approximately $2.1 million. This computation excludes the potential additional $150.0 million under the term loan because of the limited circumstances under which the additional amounts would be available to us for borrowing.</w:t>
      </w:r>
    </w:p>
    <w:p>
      <w:pPr>
        <w:spacing w:after="0" w:line="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excess cash is invested in instruments with original maturities of three months or less; therefore, as investments mature and are reinvested, the amount we earn will increase or decrease with changes in the underlying short-term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For the first nine months of 2010, 77% of our revenues were generated in non-U.S. dollar countries compared to 75% for the first nine months of 2009. We expect to continue generating a significant portion of our revenues in countries with currencies other than the U.S. dollar.</w:t>
      </w:r>
    </w:p>
    <w:p>
      <w:pPr>
        <w:spacing w:after="0" w:line="38"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We are particularly vulnerable to fluctuations in exchange rates of the U.S. dollar to the currencies of countries in which we have significant operations, primarily the euro, British pound, Australian dollar and Polish zloty. As of September 30, 2010, we estimate that a 10% fluctuation in these foreign currency exchange rates would have the combined annualized effect on reported net income and working capital of approximately $25 million to $35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 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$45 million to</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$55 million as a result of the change in value of these items during translation to the U.S. dollar. For the fluctuations described above, a strengthening U.S. dollar produces a financial loss, while a weakening U.S. dollar produces a financial gain. 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the weakening of the U.S. dollar and negatively impacted by the strengthening of the U.S. dollar. Additionally, our debt obligations are primarily in U.S. dollars, therefore, as foreign currency exchange rates fluctuate, the amount available for repayment of debt will also increase or decrease.</w:t>
      </w:r>
    </w:p>
    <w:p>
      <w:pPr>
        <w:spacing w:after="0" w:line="8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Our exposure to changes in foreign currency exchange rates is limited by the fact that disbursement occurs for the majority of transactions shortly after they are initiated. Additionally, we enter into foreign currency forward contracts to help offset foreign currency exposure related to the notional value of money transfer transactions collected in currencies other than the U.S. dollar. As of September 30, 2010, we had foreign currency forward contracts outstanding with a notional value of $49.5 million, primarily in euros and U.S. dollars, that were not designated as hedges and mature in a weighted average of 3.5 days. The fair value of these forward contracts as of September 30, 2010 was an unrealized loss $0.3 million, which was partially offset by the unrealized gain on the related foreign currency receivables.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September 30, 2010.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third quarter of 2010 that has materially affected, or is reasonably likely to materially affect, our internal control over financial reporting.</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and regulatory proceedings arising in the ordinary course of its business.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Currently, there are no legal or regulatory proceedings that management believes, either individually or in the aggregate, would have a material adverse effect upon the consolidated results of operations or financial condition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You should carefully consider the risks described in Part I, Item 1A. Risk Factors in our Annual Report on Form 10-K for the fiscal year ended December 31, 2009, as updated in our subsequent filings with the SEC before making an investment decision. The risks and uncertainties described in our Annual Report on Form 10-K, as updated by any subsequent Quarterly Reports on Form 10-Q, are not the only ones facing our Company. Additional risks and uncertainties not presently known to us or that we currently deem immaterial may also impair our business operations. If any of the risks identified in our Annual Report on Form 10-K, as updated by any subsequent Quarterly Reports on Form 10-Q, actually occurs, our business, financial condition or results of operations could be materially adversely affected. In that case, the trading price of our common stock could decline substantially. This Quarterly Report also contains forward-looking statements that involve risks and uncertainties. Our actual results could differ materially from those anticipated in the forward-looking statements as a result of a number of factors, including the risks described in our Risk Factors and elsewhere in this Quarterly Report.</w:t>
      </w:r>
    </w:p>
    <w:p>
      <w:pPr>
        <w:spacing w:after="0" w:line="58" w:lineRule="exact"/>
        <w:rPr>
          <w:sz w:val="20"/>
          <w:szCs w:val="20"/>
          <w:color w:val="auto"/>
        </w:rPr>
      </w:pPr>
    </w:p>
    <w:p>
      <w:pPr>
        <w:ind w:right="880"/>
        <w:spacing w:after="0" w:line="308" w:lineRule="auto"/>
        <w:rPr>
          <w:sz w:val="20"/>
          <w:szCs w:val="20"/>
          <w:color w:val="auto"/>
        </w:rPr>
      </w:pPr>
      <w:r>
        <w:rPr>
          <w:rFonts w:ascii="Arial" w:cs="Arial" w:eastAsia="Arial" w:hAnsi="Arial"/>
          <w:sz w:val="17"/>
          <w:szCs w:val="17"/>
          <w:i w:val="1"/>
          <w:iCs w:val="1"/>
          <w:color w:val="auto"/>
        </w:rPr>
        <w:t>There have been no material changes from the risk factors previously disclosed in the Company’s Annual Report on Form 10-K for the year ended December 31, 2009 and Quarterly Report on Form 10-Q for the three months ended March 31, 2010, as filed with the SEC.</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the three months ended September 30, 2010, the Company purchased, in accordance with the 2006 Stock Incentive Plan (Amended and Restated), 2,581 shares of its common stock for participant income tax withholding in conjunction with the lapse of restrictions on stock awards, as requested by the participants. The following table sets forth information with respect to those shares: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Total Number</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of Shares</w:t>
            </w:r>
          </w:p>
        </w:tc>
        <w:tc>
          <w:tcPr>
            <w:tcW w:w="500" w:type="dxa"/>
            <w:vAlign w:val="bottom"/>
          </w:tcPr>
          <w:p>
            <w:pPr>
              <w:spacing w:after="0"/>
              <w:rPr>
                <w:sz w:val="12"/>
                <w:szCs w:val="12"/>
                <w:color w:val="auto"/>
              </w:rPr>
            </w:pPr>
          </w:p>
        </w:tc>
        <w:tc>
          <w:tcPr>
            <w:tcW w:w="11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5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50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5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500" w:type="dxa"/>
            <w:vAlign w:val="bottom"/>
          </w:tcPr>
          <w:p>
            <w:pPr>
              <w:spacing w:after="0"/>
              <w:rPr>
                <w:sz w:val="12"/>
                <w:szCs w:val="12"/>
                <w:color w:val="auto"/>
              </w:rPr>
            </w:pPr>
          </w:p>
        </w:tc>
        <w:tc>
          <w:tcPr>
            <w:tcW w:w="1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5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Price Paid</w:t>
            </w:r>
          </w:p>
        </w:tc>
        <w:tc>
          <w:tcPr>
            <w:tcW w:w="50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Announced</w:t>
            </w:r>
          </w:p>
        </w:tc>
        <w:tc>
          <w:tcPr>
            <w:tcW w:w="500" w:type="dxa"/>
            <w:vAlign w:val="bottom"/>
          </w:tcPr>
          <w:p>
            <w:pPr>
              <w:spacing w:after="0"/>
              <w:rPr>
                <w:sz w:val="12"/>
                <w:szCs w:val="12"/>
                <w:color w:val="auto"/>
              </w:rPr>
            </w:pPr>
          </w:p>
        </w:tc>
        <w:tc>
          <w:tcPr>
            <w:tcW w:w="11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5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48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500" w:type="dxa"/>
            <w:vAlign w:val="bottom"/>
          </w:tcPr>
          <w:p>
            <w:pPr>
              <w:spacing w:after="0"/>
              <w:rPr>
                <w:sz w:val="12"/>
                <w:szCs w:val="12"/>
                <w:color w:val="auto"/>
              </w:rPr>
            </w:pPr>
          </w:p>
        </w:tc>
        <w:tc>
          <w:tcPr>
            <w:tcW w:w="108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Per Share</w:t>
            </w:r>
          </w:p>
        </w:tc>
        <w:tc>
          <w:tcPr>
            <w:tcW w:w="50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Plans or</w:t>
            </w:r>
          </w:p>
        </w:tc>
        <w:tc>
          <w:tcPr>
            <w:tcW w:w="500" w:type="dxa"/>
            <w:vAlign w:val="bottom"/>
          </w:tcPr>
          <w:p>
            <w:pPr>
              <w:spacing w:after="0"/>
              <w:rPr>
                <w:sz w:val="12"/>
                <w:szCs w:val="12"/>
                <w:color w:val="auto"/>
              </w:rPr>
            </w:pPr>
          </w:p>
        </w:tc>
        <w:tc>
          <w:tcPr>
            <w:tcW w:w="11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51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580" w:type="dxa"/>
            <w:vAlign w:val="bottom"/>
            <w:gridSpan w:val="2"/>
          </w:tcPr>
          <w:p>
            <w:pPr>
              <w:jc w:val="center"/>
              <w:ind w:left="396"/>
              <w:spacing w:after="0"/>
              <w:rPr>
                <w:sz w:val="20"/>
                <w:szCs w:val="20"/>
                <w:color w:val="auto"/>
              </w:rPr>
            </w:pPr>
            <w:r>
              <w:rPr>
                <w:rFonts w:ascii="Arial" w:cs="Arial" w:eastAsia="Arial" w:hAnsi="Arial"/>
                <w:sz w:val="14"/>
                <w:szCs w:val="14"/>
                <w:b w:val="1"/>
                <w:bCs w:val="1"/>
                <w:color w:val="auto"/>
              </w:rPr>
              <w:t>(1)</w:t>
            </w:r>
          </w:p>
        </w:tc>
        <w:tc>
          <w:tcPr>
            <w:tcW w:w="500" w:type="dxa"/>
            <w:vAlign w:val="bottom"/>
          </w:tcPr>
          <w:p>
            <w:pPr>
              <w:spacing w:after="0"/>
              <w:rPr>
                <w:sz w:val="14"/>
                <w:szCs w:val="14"/>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Programs</w:t>
            </w:r>
          </w:p>
        </w:tc>
        <w:tc>
          <w:tcPr>
            <w:tcW w:w="500" w:type="dxa"/>
            <w:vAlign w:val="bottom"/>
          </w:tcPr>
          <w:p>
            <w:pPr>
              <w:spacing w:after="0"/>
              <w:rPr>
                <w:sz w:val="14"/>
                <w:szCs w:val="14"/>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1 - August 31</w:t>
            </w:r>
          </w:p>
        </w:tc>
        <w:tc>
          <w:tcPr>
            <w:tcW w:w="480" w:type="dxa"/>
            <w:vAlign w:val="bottom"/>
            <w:shd w:val="clear" w:color="auto" w:fill="CCEEFF"/>
          </w:tcPr>
          <w:p>
            <w:pPr>
              <w:spacing w:after="0"/>
              <w:rPr>
                <w:sz w:val="18"/>
                <w:szCs w:val="18"/>
                <w:color w:val="auto"/>
              </w:rPr>
            </w:pPr>
          </w:p>
        </w:tc>
        <w:tc>
          <w:tcPr>
            <w:tcW w:w="1080" w:type="dxa"/>
            <w:vAlign w:val="bottom"/>
            <w:tcBorders>
              <w:top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2,431</w:t>
            </w:r>
          </w:p>
        </w:tc>
        <w:tc>
          <w:tcPr>
            <w:tcW w:w="5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$14.31</w:t>
            </w:r>
          </w:p>
        </w:tc>
        <w:tc>
          <w:tcPr>
            <w:tcW w:w="5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September 1 - September 30</w:t>
            </w: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150</w:t>
            </w:r>
          </w:p>
        </w:tc>
        <w:tc>
          <w:tcPr>
            <w:tcW w:w="1580" w:type="dxa"/>
            <w:vAlign w:val="bottom"/>
            <w:gridSpan w:val="2"/>
          </w:tcPr>
          <w:p>
            <w:pPr>
              <w:ind w:left="740"/>
              <w:spacing w:after="0"/>
              <w:rPr>
                <w:sz w:val="20"/>
                <w:szCs w:val="20"/>
                <w:color w:val="auto"/>
              </w:rPr>
            </w:pPr>
            <w:r>
              <w:rPr>
                <w:rFonts w:ascii="Arial" w:cs="Arial" w:eastAsia="Arial" w:hAnsi="Arial"/>
                <w:sz w:val="18"/>
                <w:szCs w:val="18"/>
                <w:color w:val="auto"/>
              </w:rPr>
              <w:t>$16.63</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2,581</w:t>
            </w:r>
          </w:p>
        </w:tc>
        <w:tc>
          <w:tcPr>
            <w:tcW w:w="1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$14.44</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 paid per share is the closing price of the shares on the vesting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the second quarter of 2009, the Antitrust Division of the United States Department of Justice (the “DOJ”) served Continental Exchange Solutions, Inc. d/b/a RIA Financial Services (“CES”), an indirect, wholly-owned subsidiary of the Company, with a grand jury subpoena requesting documents from CES and its affiliates in connection with an investigation into possible price collusion related to money transmission services to the Dominican Republic (“D.R.”) during the period from January 1, 2004 to the date of the subpoena. We acquired all of the stock of RIA Envia, Inc., the parent of CES, in April 2007. CES foreign exchange transactions between the U.S and the D.R. generated approximately 0.3% of our 2009 consolidated revenues. The Company and CES are fully cooperating with the DOJ in its investigation.</w:t>
      </w:r>
    </w:p>
    <w:p>
      <w:pPr>
        <w:spacing w:after="0" w:line="85" w:lineRule="exact"/>
        <w:rPr>
          <w:sz w:val="20"/>
          <w:szCs w:val="20"/>
          <w:color w:val="auto"/>
        </w:rPr>
      </w:pPr>
    </w:p>
    <w:p>
      <w:pPr>
        <w:jc w:val="both"/>
        <w:ind w:right="240"/>
        <w:spacing w:after="0" w:line="257" w:lineRule="auto"/>
        <w:rPr>
          <w:sz w:val="20"/>
          <w:szCs w:val="20"/>
          <w:color w:val="auto"/>
        </w:rPr>
      </w:pPr>
      <w:r>
        <w:rPr>
          <w:rFonts w:ascii="Arial" w:cs="Arial" w:eastAsia="Arial" w:hAnsi="Arial"/>
          <w:sz w:val="18"/>
          <w:szCs w:val="18"/>
          <w:color w:val="auto"/>
        </w:rPr>
        <w:t>We believe that, during the period covered by the DOJ investigation, CES generally derived part of its charge for exchanging U.S. dollars into D.R. pesos from a reference rate recommended by ADEREDI, a trade association in the D.R. composed of a CES subsidiary and other D.R. money transfer firms. We further believe, however, that CES set its own service fee on the D.R. transactions and its overall transaction price to customers. Customers were also free during this time period to use CES and other firms to transmit dollars into the D.R., without conversion into D.R. pesos, and we believe such transmissions occurred with increasing frequency over the course of this time period.</w:t>
      </w:r>
    </w:p>
    <w:p>
      <w:pPr>
        <w:spacing w:after="0" w:line="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At this time, we are unable to predict the outcome of the DOJ investigation, or, if charges were to be brought against CES, the possible range of loss, if any, associated with the resolution of any such charges. Nor can we predict any potential effect on our business, results of operations or financial condition arising from such charges or potential collateral consequences, which could include fines, penalties, limitations on or revocation of CES’s license to engage in the money transfer business in one or more states, and civil liability. In addition, we have incurred and may continue to incur significant fees and expenses in connection with the DOJ investigation and related matters.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exhibits that are required to be filed or incorporated herein by reference are listed on the Exhibit Index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380" w:type="dxa"/>
            <w:vAlign w:val="bottom"/>
            <w:tcBorders>
              <w:bottom w:val="single" w:sz="8" w:color="auto"/>
            </w:tcBorders>
          </w:tcPr>
          <w:p>
            <w:pPr>
              <w:ind w:left="390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820" w:type="dxa"/>
            <w:vAlign w:val="bottom"/>
          </w:tcPr>
          <w:p>
            <w:pPr>
              <w:jc w:val="right"/>
              <w:ind w:right="413"/>
              <w:spacing w:after="0"/>
              <w:rPr>
                <w:sz w:val="20"/>
                <w:szCs w:val="20"/>
                <w:color w:val="auto"/>
              </w:rPr>
            </w:pPr>
            <w:r>
              <w:rPr>
                <w:rFonts w:ascii="Arial" w:cs="Arial" w:eastAsia="Arial" w:hAnsi="Arial"/>
                <w:sz w:val="18"/>
                <w:szCs w:val="18"/>
                <w:color w:val="auto"/>
                <w:w w:val="85"/>
              </w:rPr>
              <w:t>12.1</w:t>
            </w:r>
          </w:p>
        </w:tc>
        <w:tc>
          <w:tcPr>
            <w:tcW w:w="3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Computation of Ratio of Earnings to Fixed Charges (1)</w:t>
            </w:r>
          </w:p>
        </w:tc>
      </w:tr>
      <w:tr>
        <w:trPr>
          <w:trHeight w:val="432"/>
        </w:trPr>
        <w:tc>
          <w:tcPr>
            <w:tcW w:w="820" w:type="dxa"/>
            <w:vAlign w:val="bottom"/>
          </w:tcPr>
          <w:p>
            <w:pPr>
              <w:jc w:val="right"/>
              <w:ind w:right="413"/>
              <w:spacing w:after="0"/>
              <w:rPr>
                <w:sz w:val="20"/>
                <w:szCs w:val="20"/>
                <w:color w:val="auto"/>
              </w:rPr>
            </w:pPr>
            <w:r>
              <w:rPr>
                <w:rFonts w:ascii="Arial" w:cs="Arial" w:eastAsia="Arial" w:hAnsi="Arial"/>
                <w:sz w:val="18"/>
                <w:szCs w:val="18"/>
                <w:color w:val="auto"/>
                <w:w w:val="85"/>
              </w:rPr>
              <w:t>31.1</w:t>
            </w:r>
          </w:p>
        </w:tc>
        <w:tc>
          <w:tcPr>
            <w:tcW w:w="3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938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 (1)</w:t>
            </w:r>
          </w:p>
        </w:tc>
      </w:tr>
      <w:tr>
        <w:trPr>
          <w:trHeight w:val="432"/>
        </w:trPr>
        <w:tc>
          <w:tcPr>
            <w:tcW w:w="820" w:type="dxa"/>
            <w:vAlign w:val="bottom"/>
          </w:tcPr>
          <w:p>
            <w:pPr>
              <w:jc w:val="right"/>
              <w:ind w:right="413"/>
              <w:spacing w:after="0"/>
              <w:rPr>
                <w:sz w:val="20"/>
                <w:szCs w:val="20"/>
                <w:color w:val="auto"/>
              </w:rPr>
            </w:pPr>
            <w:r>
              <w:rPr>
                <w:rFonts w:ascii="Arial" w:cs="Arial" w:eastAsia="Arial" w:hAnsi="Arial"/>
                <w:sz w:val="18"/>
                <w:szCs w:val="18"/>
                <w:color w:val="auto"/>
                <w:w w:val="85"/>
              </w:rPr>
              <w:t>31.2</w:t>
            </w:r>
          </w:p>
        </w:tc>
        <w:tc>
          <w:tcPr>
            <w:tcW w:w="3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938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 (1)</w:t>
            </w:r>
          </w:p>
        </w:tc>
      </w:tr>
      <w:tr>
        <w:trPr>
          <w:trHeight w:val="432"/>
        </w:trPr>
        <w:tc>
          <w:tcPr>
            <w:tcW w:w="820" w:type="dxa"/>
            <w:vAlign w:val="bottom"/>
          </w:tcPr>
          <w:p>
            <w:pPr>
              <w:jc w:val="right"/>
              <w:ind w:right="413"/>
              <w:spacing w:after="0"/>
              <w:rPr>
                <w:sz w:val="20"/>
                <w:szCs w:val="20"/>
                <w:color w:val="auto"/>
              </w:rPr>
            </w:pPr>
            <w:r>
              <w:rPr>
                <w:rFonts w:ascii="Arial" w:cs="Arial" w:eastAsia="Arial" w:hAnsi="Arial"/>
                <w:sz w:val="18"/>
                <w:szCs w:val="18"/>
                <w:color w:val="auto"/>
                <w:w w:val="85"/>
              </w:rPr>
              <w:t>32.1</w:t>
            </w:r>
          </w:p>
        </w:tc>
        <w:tc>
          <w:tcPr>
            <w:tcW w:w="3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938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(2)</w:t>
            </w:r>
          </w:p>
        </w:tc>
      </w:tr>
      <w:tr>
        <w:trPr>
          <w:trHeight w:val="432"/>
        </w:trPr>
        <w:tc>
          <w:tcPr>
            <w:tcW w:w="820" w:type="dxa"/>
            <w:vAlign w:val="bottom"/>
          </w:tcPr>
          <w:p>
            <w:pPr>
              <w:jc w:val="right"/>
              <w:ind w:right="413"/>
              <w:spacing w:after="0"/>
              <w:rPr>
                <w:sz w:val="20"/>
                <w:szCs w:val="20"/>
                <w:color w:val="auto"/>
              </w:rPr>
            </w:pPr>
            <w:r>
              <w:rPr>
                <w:rFonts w:ascii="Arial" w:cs="Arial" w:eastAsia="Arial" w:hAnsi="Arial"/>
                <w:sz w:val="18"/>
                <w:szCs w:val="18"/>
                <w:color w:val="auto"/>
                <w:w w:val="85"/>
              </w:rPr>
              <w:t>32.2</w:t>
            </w:r>
          </w:p>
        </w:tc>
        <w:tc>
          <w:tcPr>
            <w:tcW w:w="3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938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(2)</w:t>
            </w:r>
          </w:p>
        </w:tc>
      </w:tr>
    </w:tbl>
    <w:p>
      <w:pPr>
        <w:spacing w:after="0" w:line="202" w:lineRule="exact"/>
        <w:rPr>
          <w:sz w:val="20"/>
          <w:szCs w:val="20"/>
          <w:color w:val="auto"/>
        </w:rPr>
      </w:pPr>
    </w:p>
    <w:p>
      <w:pPr>
        <w:ind w:left="1160" w:right="20" w:hanging="1152"/>
        <w:spacing w:after="0" w:line="297" w:lineRule="auto"/>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following materials from Euronet Worldwide, Inc.’s Quarterly Report on Form 10-Q for the quarter ended September 30, 2010, formatted in XBRL (eXtensible Business Reporting Language): (i) Consolidated Balance Sheets at September 30, 2010 and 2009, (ii) Consolidated Statements of Operations for the three and nine months ended September 30, 2010 and 2009, (iii) Consolidated Statements of Comprehensive Income (Loss) for the three and nine months ended September 30, 2010 and 2009, (iv) Consolidated Statements of Cash Flows for the nine months ended September 30, 2010 and 2009, and (v) Notes to the Unaudited Consolidated Financial Statements, tagged as blocks of text.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3036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0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Pursuant to Item 601(b)(32) of Regulation S-K, this Exhibit is furnished rather than filed with this Form 10-Q.</w:t>
      </w:r>
    </w:p>
    <w:p>
      <w:pPr>
        <w:spacing w:after="0" w:line="76" w:lineRule="exact"/>
        <w:rPr>
          <w:rFonts w:ascii="Arial" w:cs="Arial" w:eastAsia="Arial" w:hAnsi="Arial"/>
          <w:sz w:val="18"/>
          <w:szCs w:val="18"/>
          <w:color w:val="auto"/>
        </w:rPr>
      </w:pPr>
    </w:p>
    <w:p>
      <w:pPr>
        <w:ind w:left="460" w:right="380" w:hanging="452"/>
        <w:spacing w:after="0" w:line="286"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November 4,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/s/ MICHAEL J. BROWN</w:t>
            </w:r>
          </w:p>
        </w:tc>
      </w:tr>
      <w:tr>
        <w:trPr>
          <w:trHeight w:val="195"/>
        </w:trPr>
        <w:tc>
          <w:tcPr>
            <w:tcW w:w="360" w:type="dxa"/>
            <w:vAlign w:val="bottom"/>
          </w:tcPr>
          <w:p>
            <w:pPr>
              <w:spacing w:after="0"/>
              <w:rPr>
                <w:sz w:val="16"/>
                <w:szCs w:val="16"/>
                <w:color w:val="auto"/>
              </w:rPr>
            </w:pPr>
          </w:p>
        </w:tc>
        <w:tc>
          <w:tcPr>
            <w:tcW w:w="4060" w:type="dxa"/>
            <w:vAlign w:val="bottom"/>
          </w:tcPr>
          <w:p>
            <w:pPr>
              <w:jc w:val="center"/>
              <w:spacing w:after="0" w:line="195" w:lineRule="exact"/>
              <w:rPr>
                <w:sz w:val="20"/>
                <w:szCs w:val="20"/>
                <w:color w:val="auto"/>
              </w:rPr>
            </w:pPr>
            <w:r>
              <w:rPr>
                <w:rFonts w:ascii="Arial" w:cs="Arial" w:eastAsia="Arial" w:hAnsi="Arial"/>
                <w:sz w:val="18"/>
                <w:szCs w:val="18"/>
                <w:color w:val="auto"/>
                <w:w w:val="93"/>
              </w:rPr>
              <w:t>Michael J. Brown</w:t>
            </w:r>
          </w:p>
        </w:tc>
      </w:tr>
      <w:tr>
        <w:trPr>
          <w:trHeight w:val="230"/>
        </w:trPr>
        <w:tc>
          <w:tcPr>
            <w:tcW w:w="36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648"/>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RICK L. WELLER</w:t>
            </w:r>
          </w:p>
        </w:tc>
      </w:tr>
      <w:tr>
        <w:trPr>
          <w:trHeight w:val="195"/>
        </w:trPr>
        <w:tc>
          <w:tcPr>
            <w:tcW w:w="360" w:type="dxa"/>
            <w:vAlign w:val="bottom"/>
          </w:tcPr>
          <w:p>
            <w:pPr>
              <w:spacing w:after="0"/>
              <w:rPr>
                <w:sz w:val="16"/>
                <w:szCs w:val="16"/>
                <w:color w:val="auto"/>
              </w:rPr>
            </w:pPr>
          </w:p>
        </w:tc>
        <w:tc>
          <w:tcPr>
            <w:tcW w:w="4060" w:type="dxa"/>
            <w:vAlign w:val="bottom"/>
          </w:tcPr>
          <w:p>
            <w:pPr>
              <w:jc w:val="center"/>
              <w:spacing w:after="0" w:line="195" w:lineRule="exact"/>
              <w:rPr>
                <w:sz w:val="20"/>
                <w:szCs w:val="20"/>
                <w:color w:val="auto"/>
              </w:rPr>
            </w:pPr>
            <w:r>
              <w:rPr>
                <w:rFonts w:ascii="Arial" w:cs="Arial" w:eastAsia="Arial" w:hAnsi="Arial"/>
                <w:sz w:val="18"/>
                <w:szCs w:val="18"/>
                <w:color w:val="auto"/>
                <w:w w:val="95"/>
              </w:rPr>
              <w:t>Rick L. Weller</w:t>
            </w:r>
          </w:p>
        </w:tc>
      </w:tr>
      <w:tr>
        <w:trPr>
          <w:trHeight w:val="230"/>
        </w:trPr>
        <w:tc>
          <w:tcPr>
            <w:tcW w:w="36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1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60"/>
          </w:cols>
          <w:pgMar w:left="240" w:top="419" w:right="39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rPr>
              <w:t>EXHIBIT 12.1</w:t>
            </w: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780" w:type="dxa"/>
            <w:vAlign w:val="bottom"/>
            <w:gridSpan w:val="5"/>
          </w:tcPr>
          <w:p>
            <w:pPr>
              <w:jc w:val="center"/>
              <w:spacing w:after="0"/>
              <w:rPr>
                <w:sz w:val="20"/>
                <w:szCs w:val="20"/>
                <w:color w:val="auto"/>
              </w:rPr>
            </w:pPr>
            <w:r>
              <w:rPr>
                <w:rFonts w:ascii="Arial" w:cs="Arial" w:eastAsia="Arial" w:hAnsi="Arial"/>
                <w:sz w:val="18"/>
                <w:szCs w:val="18"/>
                <w:b w:val="1"/>
                <w:bCs w:val="1"/>
                <w:color w:val="auto"/>
              </w:rPr>
              <w:t>EURONET WORLDWIDE, INC.</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10"/>
          </w:tcPr>
          <w:p>
            <w:pPr>
              <w:jc w:val="center"/>
              <w:ind w:left="2030"/>
              <w:spacing w:after="0"/>
              <w:rPr>
                <w:sz w:val="20"/>
                <w:szCs w:val="20"/>
                <w:color w:val="auto"/>
              </w:rPr>
            </w:pPr>
            <w:r>
              <w:rPr>
                <w:rFonts w:ascii="Arial" w:cs="Arial" w:eastAsia="Arial" w:hAnsi="Arial"/>
                <w:sz w:val="18"/>
                <w:szCs w:val="18"/>
                <w:b w:val="1"/>
                <w:bCs w:val="1"/>
                <w:color w:val="auto"/>
              </w:rPr>
              <w:t>COMPUTATION OF RATIO OF EARNINGS TO FIXED CHARGES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88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3"/>
              </w:rPr>
              <w:t>(Unaudited)</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200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380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2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4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6"/>
              </w:rPr>
              <w:t>Pretax income from continuing operations before adjustment for income from</w:t>
            </w:r>
          </w:p>
        </w:tc>
        <w:tc>
          <w:tcPr>
            <w:tcW w:w="5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unconsolidated subsidiaries</w:t>
            </w:r>
          </w:p>
        </w:tc>
        <w:tc>
          <w:tcPr>
            <w:tcW w:w="2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28,085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26,204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39,575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40,866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Add:</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6,278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7,404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18,495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23,633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Dividends received</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7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Adjusted pretax income</w:t>
            </w:r>
          </w:p>
        </w:tc>
        <w:tc>
          <w:tcPr>
            <w:tcW w:w="2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34,363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33,608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58,070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64,973</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2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00" w:type="dxa"/>
            <w:vAlign w:val="bottom"/>
            <w:gridSpan w:val="2"/>
            <w:vMerge w:val="continue"/>
          </w:tcPr>
          <w:p>
            <w:pPr>
              <w:spacing w:after="0"/>
              <w:rPr>
                <w:sz w:val="24"/>
                <w:szCs w:val="24"/>
                <w:color w:val="auto"/>
              </w:rPr>
            </w:pPr>
          </w:p>
        </w:tc>
        <w:tc>
          <w:tcPr>
            <w:tcW w:w="2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5,074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6,042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15,059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Estimate of interest within rental expense</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1,204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1,362</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3,436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fixed charges</w:t>
            </w:r>
          </w:p>
        </w:tc>
        <w:tc>
          <w:tcPr>
            <w:tcW w:w="2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6,278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18,495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23,633</w:t>
            </w:r>
          </w:p>
        </w:tc>
        <w:tc>
          <w:tcPr>
            <w:tcW w:w="0" w:type="dxa"/>
            <w:vAlign w:val="bottom"/>
          </w:tcPr>
          <w:p>
            <w:pPr>
              <w:spacing w:after="0"/>
              <w:rPr>
                <w:sz w:val="1"/>
                <w:szCs w:val="1"/>
                <w:color w:val="auto"/>
              </w:rPr>
            </w:pPr>
          </w:p>
        </w:tc>
      </w:tr>
      <w:tr>
        <w:trPr>
          <w:trHeight w:val="20"/>
        </w:trPr>
        <w:tc>
          <w:tcPr>
            <w:tcW w:w="38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0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2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17"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17"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40" w:hanging="4"/>
        <w:spacing w:after="0" w:line="264" w:lineRule="auto"/>
        <w:tabs>
          <w:tab w:leader="none" w:pos="43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40" w:hanging="4"/>
        <w:spacing w:after="0" w:line="277" w:lineRule="auto"/>
        <w:tabs>
          <w:tab w:leader="none" w:pos="425"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60" w:hanging="4"/>
        <w:spacing w:after="0" w:line="264" w:lineRule="auto"/>
        <w:tabs>
          <w:tab w:leader="none" w:pos="43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9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240" w:right="100" w:hanging="4"/>
        <w:spacing w:after="0" w:line="277" w:lineRule="auto"/>
        <w:tabs>
          <w:tab w:leader="none" w:pos="42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20" w:hanging="4"/>
        <w:spacing w:after="0" w:line="277" w:lineRule="auto"/>
        <w:tabs>
          <w:tab w:leader="none" w:pos="43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2010</w:t>
      </w:r>
    </w:p>
    <w:p>
      <w:pPr>
        <w:spacing w:after="0" w:line="225" w:lineRule="exact"/>
        <w:rPr>
          <w:sz w:val="20"/>
          <w:szCs w:val="20"/>
          <w:color w:val="auto"/>
        </w:rPr>
      </w:pPr>
    </w:p>
    <w:p>
      <w:pPr>
        <w:jc w:val="center"/>
        <w:ind w:right="798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2" w:lineRule="exact"/>
        <w:rPr>
          <w:sz w:val="20"/>
          <w:szCs w:val="20"/>
          <w:color w:val="auto"/>
        </w:rPr>
      </w:pPr>
    </w:p>
    <w:p>
      <w:pPr>
        <w:jc w:val="center"/>
        <w:ind w:right="798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79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17"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17"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40" w:hanging="4"/>
        <w:spacing w:after="0" w:line="264" w:lineRule="auto"/>
        <w:tabs>
          <w:tab w:leader="none" w:pos="43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40" w:hanging="4"/>
        <w:spacing w:after="0" w:line="277" w:lineRule="auto"/>
        <w:tabs>
          <w:tab w:leader="none" w:pos="425"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60" w:hanging="4"/>
        <w:spacing w:after="0" w:line="264" w:lineRule="auto"/>
        <w:tabs>
          <w:tab w:leader="none" w:pos="43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9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240" w:right="100" w:hanging="4"/>
        <w:spacing w:after="0" w:line="277" w:lineRule="auto"/>
        <w:tabs>
          <w:tab w:leader="none" w:pos="425"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20" w:hanging="4"/>
        <w:spacing w:after="0" w:line="277" w:lineRule="auto"/>
        <w:tabs>
          <w:tab w:leader="none" w:pos="435"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2010</w:t>
      </w:r>
    </w:p>
    <w:p>
      <w:pPr>
        <w:spacing w:after="0" w:line="225" w:lineRule="exact"/>
        <w:rPr>
          <w:sz w:val="20"/>
          <w:szCs w:val="20"/>
          <w:color w:val="auto"/>
        </w:rPr>
      </w:pPr>
    </w:p>
    <w:p>
      <w:pPr>
        <w:jc w:val="center"/>
        <w:ind w:right="798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2" w:lineRule="exact"/>
        <w:rPr>
          <w:sz w:val="20"/>
          <w:szCs w:val="20"/>
          <w:color w:val="auto"/>
        </w:rPr>
      </w:pPr>
    </w:p>
    <w:p>
      <w:pPr>
        <w:jc w:val="center"/>
        <w:ind w:right="798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79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September 30, 2010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500" w:hanging="264"/>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jc w:val="center"/>
        <w:ind w:right="798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2" w:lineRule="exact"/>
        <w:rPr>
          <w:sz w:val="20"/>
          <w:szCs w:val="20"/>
          <w:color w:val="auto"/>
        </w:rPr>
      </w:pPr>
    </w:p>
    <w:p>
      <w:pPr>
        <w:jc w:val="center"/>
        <w:ind w:right="798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798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4, 2010</w:t>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September 30, 2010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500" w:hanging="264"/>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jc w:val="center"/>
        <w:ind w:right="798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2" w:lineRule="exact"/>
        <w:rPr>
          <w:sz w:val="20"/>
          <w:szCs w:val="20"/>
          <w:color w:val="auto"/>
        </w:rPr>
      </w:pPr>
    </w:p>
    <w:p>
      <w:pPr>
        <w:jc w:val="center"/>
        <w:ind w:right="798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798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4, 2010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lowerRoman"/>
      <w:start w:val="2"/>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0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2019-12-10T14:28:13Z</dcterms:created>
  <dcterms:modified xsi:type="dcterms:W3CDTF">2019-12-10T14:28:13Z</dcterms:modified>
</cp:coreProperties>
</file>