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-172085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46"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9" w:lineRule="exact"/>
        <w:rPr>
          <w:sz w:val="24"/>
          <w:szCs w:val="24"/>
          <w:color w:val="auto"/>
        </w:rPr>
      </w:pPr>
    </w:p>
    <w:p>
      <w:pPr>
        <w:ind w:left="860" w:hanging="485"/>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Times New Roman" w:cs="Times New Roman" w:eastAsia="Times New Roman" w:hAnsi="Times New Roman"/>
          <w:sz w:val="18"/>
          <w:szCs w:val="18"/>
          <w:b w:val="1"/>
          <w:bCs w:val="1"/>
          <w:color w:val="auto"/>
        </w:rPr>
        <w:t>For the transition period</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9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001-31648</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EURONET WORLDWIDE, INC.</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9" w:lineRule="exact"/>
        <w:rPr>
          <w:sz w:val="24"/>
          <w:szCs w:val="24"/>
          <w:color w:val="auto"/>
        </w:rPr>
      </w:pPr>
    </w:p>
    <w:tbl>
      <w:tblPr>
        <w:tblLayout w:type="fixed"/>
        <w:tblInd w:w="1360" w:type="dxa"/>
        <w:tblCellMar>
          <w:top w:w="0" w:type="dxa"/>
          <w:left w:w="0" w:type="dxa"/>
          <w:bottom w:w="0" w:type="dxa"/>
          <w:right w:w="0" w:type="dxa"/>
        </w:tblCellMar>
      </w:tblPr>
      <w:tr>
        <w:trPr>
          <w:trHeight w:val="238"/>
        </w:trPr>
        <w:tc>
          <w:tcPr>
            <w:tcW w:w="474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31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70"/>
        </w:trPr>
        <w:tc>
          <w:tcPr>
            <w:tcW w:w="474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31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05"/>
        </w:trPr>
        <w:tc>
          <w:tcPr>
            <w:tcW w:w="474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rPr>
              <w:t>Leawood, Kansas</w:t>
            </w:r>
          </w:p>
        </w:tc>
        <w:tc>
          <w:tcPr>
            <w:tcW w:w="3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(913) 327-4200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9" w:lineRule="exact"/>
        <w:rPr>
          <w:sz w:val="24"/>
          <w:szCs w:val="24"/>
          <w:color w:val="auto"/>
        </w:rPr>
      </w:pPr>
    </w:p>
    <w:p>
      <w:pPr>
        <w:ind w:right="420"/>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71" w:lineRule="exact"/>
        <w:rPr>
          <w:sz w:val="24"/>
          <w:szCs w:val="24"/>
          <w:color w:val="auto"/>
        </w:rPr>
      </w:pPr>
    </w:p>
    <w:p>
      <w:pPr>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71"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529" w:right="299" w:bottom="1440" w:gutter="0" w:footer="0" w:header="0"/>
        </w:sectPr>
      </w:pPr>
    </w:p>
    <w:p>
      <w:pPr>
        <w:spacing w:after="0" w:line="93" w:lineRule="exact"/>
        <w:rPr>
          <w:sz w:val="24"/>
          <w:szCs w:val="24"/>
          <w:color w:val="auto"/>
        </w:rPr>
      </w:pPr>
    </w:p>
    <w:p>
      <w:pPr>
        <w:ind w:left="3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Times New Roman" w:cs="Times New Roman" w:eastAsia="Times New Roman" w:hAnsi="Times New Roman"/>
          <w:sz w:val="15"/>
          <w:szCs w:val="15"/>
          <w:color w:val="auto"/>
        </w:rPr>
        <w:t>o</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67" w:lineRule="exact"/>
        <w:rPr>
          <w:sz w:val="24"/>
          <w:szCs w:val="24"/>
          <w:color w:val="auto"/>
        </w:rPr>
      </w:pPr>
    </w:p>
    <w:p>
      <w:pPr>
        <w:sectPr>
          <w:pgSz w:w="11900" w:h="16838" w:orient="portrait"/>
          <w:cols w:equalWidth="0" w:num="4">
            <w:col w:w="2340" w:space="720"/>
            <w:col w:w="1320" w:space="560"/>
            <w:col w:w="1660" w:space="40"/>
            <w:col w:w="4720"/>
          </w:cols>
          <w:pgMar w:left="240" w:top="529" w:right="29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Times New Roman" w:cs="Times New Roman" w:eastAsia="Times New Roman" w:hAnsi="Times New Roman"/>
          <w:sz w:val="16"/>
          <w:szCs w:val="16"/>
          <w:color w:val="auto"/>
        </w:rPr>
        <w:t>o</w:t>
      </w:r>
    </w:p>
    <w:p>
      <w:pPr>
        <w:spacing w:after="0" w:line="200" w:lineRule="exact"/>
        <w:rPr>
          <w:sz w:val="24"/>
          <w:szCs w:val="24"/>
          <w:color w:val="auto"/>
        </w:rPr>
      </w:pPr>
    </w:p>
    <w:p>
      <w:pPr>
        <w:sectPr>
          <w:pgSz w:w="11900" w:h="16838" w:orient="portrait"/>
          <w:cols w:equalWidth="0" w:num="2">
            <w:col w:w="4560" w:space="720"/>
            <w:col w:w="6080"/>
          </w:cols>
          <w:pgMar w:left="240" w:top="529" w:right="299" w:bottom="1440" w:gutter="0" w:footer="0" w:header="0"/>
          <w:type w:val="continuous"/>
        </w:sectPr>
      </w:pPr>
    </w:p>
    <w:p>
      <w:pPr>
        <w:spacing w:after="0" w:line="133" w:lineRule="exact"/>
        <w:rPr>
          <w:sz w:val="24"/>
          <w:szCs w:val="24"/>
          <w:color w:val="auto"/>
        </w:rPr>
      </w:pPr>
    </w:p>
    <w:p>
      <w:pPr>
        <w:ind w:left="40" w:right="60"/>
        <w:spacing w:after="0" w:line="26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6"/>
          <w:szCs w:val="16"/>
          <w:color w:val="auto"/>
        </w:rPr>
        <w:t>o</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May 1, 2017, Euronet Worldwide, Inc. had 52,430,488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189230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102870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529" w:right="29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1"/>
              </w:rPr>
              <w:t>Page</w:t>
            </w:r>
          </w:p>
        </w:tc>
      </w:tr>
      <w:tr>
        <w:trPr>
          <w:trHeight w:val="237"/>
        </w:trPr>
        <w:tc>
          <w:tcPr>
            <w:tcW w:w="2920" w:type="dxa"/>
            <w:vAlign w:val="bottom"/>
            <w:tcBorders>
              <w:bottom w:val="single" w:sz="8" w:color="0000EE"/>
            </w:tcBorders>
            <w:gridSpan w:val="10"/>
          </w:tcPr>
          <w:p>
            <w:pPr>
              <w:spacing w:after="0"/>
              <w:rPr>
                <w:rFonts w:ascii="Times New Roman" w:cs="Times New Roman" w:eastAsia="Times New Roman" w:hAnsi="Times New Roman"/>
                <w:sz w:val="17"/>
                <w:szCs w:val="17"/>
                <w:b w:val="1"/>
                <w:bCs w:val="1"/>
                <w:color w:val="0000EE"/>
                <w:w w:val="96"/>
              </w:rPr>
            </w:pPr>
            <w:hyperlink w:anchor="page3">
              <w:r>
                <w:rPr>
                  <w:rFonts w:ascii="Times New Roman" w:cs="Times New Roman" w:eastAsia="Times New Roman" w:hAnsi="Times New Roman"/>
                  <w:sz w:val="17"/>
                  <w:szCs w:val="17"/>
                  <w:b w:val="1"/>
                  <w:bCs w:val="1"/>
                  <w:color w:val="0000EE"/>
                  <w:w w:val="96"/>
                </w:rPr>
                <w:t>PART I—FINANCIAL INFORMATION</w:t>
              </w:r>
            </w:hyperlink>
          </w:p>
        </w:tc>
        <w:tc>
          <w:tcPr>
            <w:tcW w:w="7780" w:type="dxa"/>
            <w:vAlign w:val="bottom"/>
            <w:gridSpan w:val="9"/>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w:t>
            </w:r>
          </w:p>
        </w:tc>
        <w:tc>
          <w:tcPr>
            <w:tcW w:w="9620" w:type="dxa"/>
            <w:vAlign w:val="bottom"/>
            <w:gridSpan w:val="15"/>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Financial Statements (unaudited)</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Consolidated Balance Sheets as of March 31, 2017 and December 31, 2016</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5"/>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Consolidated Statements of Income for the Three Months Ended March 31, 2017 and 2016</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5"/>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Consolidated Statements of Comprehensive Income for the Three Months Ended March 31, 2017 and 2016</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5">
              <w:r>
                <w:rPr>
                  <w:rFonts w:ascii="Times New Roman" w:cs="Times New Roman" w:eastAsia="Times New Roman" w:hAnsi="Times New Roman"/>
                  <w:sz w:val="17"/>
                  <w:szCs w:val="17"/>
                  <w:color w:val="0000EE"/>
                </w:rPr>
                <w:t>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940" w:type="dxa"/>
            <w:vAlign w:val="bottom"/>
            <w:gridSpan w:val="14"/>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Consolidated Statements of Cash Flows for the Three Months Ended March 31, 2017 and 2016</w:t>
              </w:r>
            </w:hyperlink>
          </w:p>
        </w:tc>
        <w:tc>
          <w:tcPr>
            <w:tcW w:w="2680" w:type="dxa"/>
            <w:vAlign w:val="bottom"/>
          </w:tcPr>
          <w:p>
            <w:pPr>
              <w:spacing w:after="0"/>
              <w:rPr>
                <w:sz w:val="21"/>
                <w:szCs w:val="21"/>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6</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160" w:type="dxa"/>
            <w:vAlign w:val="bottom"/>
            <w:gridSpan w:val="13"/>
          </w:tcPr>
          <w:p>
            <w:pPr>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Notes to the Unaudited Consolidated Financial Statements</w:t>
              </w:r>
            </w:hyperlink>
          </w:p>
        </w:tc>
        <w:tc>
          <w:tcPr>
            <w:tcW w:w="3460" w:type="dxa"/>
            <w:vAlign w:val="bottom"/>
            <w:gridSpan w:val="2"/>
          </w:tcPr>
          <w:p>
            <w:pPr>
              <w:spacing w:after="0"/>
              <w:rPr>
                <w:sz w:val="21"/>
                <w:szCs w:val="21"/>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7">
              <w:r>
                <w:rPr>
                  <w:rFonts w:ascii="Times New Roman" w:cs="Times New Roman" w:eastAsia="Times New Roman" w:hAnsi="Times New Roman"/>
                  <w:sz w:val="17"/>
                  <w:szCs w:val="17"/>
                  <w:color w:val="0000EE"/>
                </w:rPr>
                <w:t>7</w:t>
              </w:r>
            </w:hyperlink>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Item 2.</w:t>
            </w:r>
          </w:p>
        </w:tc>
        <w:tc>
          <w:tcPr>
            <w:tcW w:w="620" w:type="dxa"/>
            <w:vAlign w:val="bottom"/>
            <w:gridSpan w:val="2"/>
          </w:tcPr>
          <w:p>
            <w:pPr>
              <w:spacing w:after="0"/>
              <w:rPr>
                <w:sz w:val="21"/>
                <w:szCs w:val="21"/>
                <w:color w:val="auto"/>
              </w:rPr>
            </w:pPr>
          </w:p>
        </w:tc>
        <w:tc>
          <w:tcPr>
            <w:tcW w:w="5800" w:type="dxa"/>
            <w:vAlign w:val="bottom"/>
            <w:gridSpan w:val="11"/>
          </w:tcPr>
          <w:p>
            <w:pPr>
              <w:spacing w:after="0"/>
              <w:rPr>
                <w:rFonts w:ascii="Times New Roman" w:cs="Times New Roman" w:eastAsia="Times New Roman" w:hAnsi="Times New Roman"/>
                <w:sz w:val="16"/>
                <w:szCs w:val="16"/>
                <w:color w:val="0000EE"/>
              </w:rPr>
            </w:pPr>
            <w:hyperlink w:anchor="page19">
              <w:r>
                <w:rPr>
                  <w:rFonts w:ascii="Times New Roman" w:cs="Times New Roman" w:eastAsia="Times New Roman" w:hAnsi="Times New Roman"/>
                  <w:sz w:val="16"/>
                  <w:szCs w:val="16"/>
                  <w:color w:val="0000EE"/>
                </w:rPr>
                <w:t>Management's Discussion and Analysis of Financial Condition and Results of Operations</w:t>
              </w:r>
            </w:hyperlink>
          </w:p>
        </w:tc>
        <w:tc>
          <w:tcPr>
            <w:tcW w:w="3820" w:type="dxa"/>
            <w:vAlign w:val="bottom"/>
            <w:gridSpan w:val="4"/>
          </w:tcPr>
          <w:p>
            <w:pPr>
              <w:spacing w:after="0"/>
              <w:rPr>
                <w:sz w:val="21"/>
                <w:szCs w:val="21"/>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19">
              <w:r>
                <w:rPr>
                  <w:rFonts w:ascii="Times New Roman" w:cs="Times New Roman" w:eastAsia="Times New Roman" w:hAnsi="Times New Roman"/>
                  <w:sz w:val="17"/>
                  <w:szCs w:val="17"/>
                  <w:color w:val="0000EE"/>
                </w:rPr>
                <w:t>18</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Item 3.</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Times New Roman" w:cs="Times New Roman" w:eastAsia="Times New Roman" w:hAnsi="Times New Roman"/>
                <w:sz w:val="16"/>
                <w:szCs w:val="16"/>
                <w:color w:val="0000EE"/>
                <w:w w:val="99"/>
              </w:rPr>
            </w:pPr>
            <w:hyperlink w:anchor="page37">
              <w:r>
                <w:rPr>
                  <w:rFonts w:ascii="Times New Roman" w:cs="Times New Roman" w:eastAsia="Times New Roman" w:hAnsi="Times New Roman"/>
                  <w:sz w:val="16"/>
                  <w:szCs w:val="16"/>
                  <w:color w:val="0000EE"/>
                  <w:w w:val="99"/>
                </w:rPr>
                <w:t>Quantitative and Qualitative Disclosures About Market Risk</w:t>
              </w:r>
            </w:hyperlink>
          </w:p>
        </w:tc>
        <w:tc>
          <w:tcPr>
            <w:tcW w:w="1900" w:type="dxa"/>
            <w:vAlign w:val="bottom"/>
            <w:gridSpan w:val="2"/>
          </w:tcPr>
          <w:p>
            <w:pPr>
              <w:spacing w:after="0"/>
              <w:rPr>
                <w:sz w:val="20"/>
                <w:szCs w:val="20"/>
                <w:color w:val="auto"/>
              </w:rPr>
            </w:pPr>
          </w:p>
        </w:tc>
        <w:tc>
          <w:tcPr>
            <w:tcW w:w="3820" w:type="dxa"/>
            <w:vAlign w:val="bottom"/>
            <w:gridSpan w:val="4"/>
          </w:tcPr>
          <w:p>
            <w:pPr>
              <w:spacing w:after="0"/>
              <w:rPr>
                <w:sz w:val="20"/>
                <w:szCs w:val="20"/>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7">
              <w:r>
                <w:rPr>
                  <w:rFonts w:ascii="Times New Roman" w:cs="Times New Roman" w:eastAsia="Times New Roman" w:hAnsi="Times New Roman"/>
                  <w:sz w:val="17"/>
                  <w:szCs w:val="17"/>
                  <w:color w:val="0000EE"/>
                </w:rPr>
                <w:t>36</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5720" w:type="dxa"/>
            <w:vAlign w:val="bottom"/>
            <w:tcBorders>
              <w:left w:val="single" w:sz="8" w:color="0000EE"/>
            </w:tcBorders>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Item 4.</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Times New Roman" w:cs="Times New Roman" w:eastAsia="Times New Roman" w:hAnsi="Times New Roman"/>
                <w:sz w:val="16"/>
                <w:szCs w:val="16"/>
                <w:color w:val="0000EE"/>
              </w:rPr>
            </w:pPr>
            <w:hyperlink w:anchor="page38">
              <w:r>
                <w:rPr>
                  <w:rFonts w:ascii="Times New Roman" w:cs="Times New Roman" w:eastAsia="Times New Roman" w:hAnsi="Times New Roman"/>
                  <w:sz w:val="16"/>
                  <w:szCs w:val="16"/>
                  <w:color w:val="0000EE"/>
                </w:rPr>
                <w:t>Controls and Procedures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8">
              <w:r>
                <w:rPr>
                  <w:rFonts w:ascii="Times New Roman" w:cs="Times New Roman" w:eastAsia="Times New Roman" w:hAnsi="Times New Roman"/>
                  <w:sz w:val="17"/>
                  <w:szCs w:val="17"/>
                  <w:color w:val="0000EE"/>
                </w:rPr>
                <w:t>37</w:t>
              </w:r>
            </w:hyperlink>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2660" w:type="dxa"/>
            <w:vAlign w:val="bottom"/>
            <w:tcBorders>
              <w:bottom w:val="single" w:sz="8" w:color="0000EE"/>
            </w:tcBorders>
            <w:gridSpan w:val="9"/>
          </w:tcPr>
          <w:p>
            <w:pPr>
              <w:spacing w:after="0"/>
              <w:rPr>
                <w:rFonts w:ascii="Times New Roman" w:cs="Times New Roman" w:eastAsia="Times New Roman" w:hAnsi="Times New Roman"/>
                <w:sz w:val="17"/>
                <w:szCs w:val="17"/>
                <w:b w:val="1"/>
                <w:bCs w:val="1"/>
                <w:color w:val="0000EE"/>
                <w:w w:val="95"/>
              </w:rPr>
            </w:pPr>
            <w:hyperlink w:anchor="page38">
              <w:r>
                <w:rPr>
                  <w:rFonts w:ascii="Times New Roman" w:cs="Times New Roman" w:eastAsia="Times New Roman" w:hAnsi="Times New Roman"/>
                  <w:sz w:val="17"/>
                  <w:szCs w:val="17"/>
                  <w:b w:val="1"/>
                  <w:bCs w:val="1"/>
                  <w:color w:val="0000EE"/>
                  <w:w w:val="95"/>
                </w:rPr>
                <w:t>PART II—OTHER INFORMATION</w:t>
              </w:r>
            </w:hyperlink>
          </w:p>
        </w:tc>
        <w:tc>
          <w:tcPr>
            <w:tcW w:w="8040" w:type="dxa"/>
            <w:vAlign w:val="bottom"/>
            <w:gridSpan w:val="10"/>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Item 1.</w:t>
            </w:r>
          </w:p>
        </w:tc>
        <w:tc>
          <w:tcPr>
            <w:tcW w:w="620" w:type="dxa"/>
            <w:vAlign w:val="bottom"/>
            <w:gridSpan w:val="2"/>
          </w:tcPr>
          <w:p>
            <w:pPr>
              <w:spacing w:after="0"/>
              <w:rPr>
                <w:sz w:val="21"/>
                <w:szCs w:val="21"/>
                <w:color w:val="auto"/>
              </w:rPr>
            </w:pPr>
          </w:p>
        </w:tc>
        <w:tc>
          <w:tcPr>
            <w:tcW w:w="1200" w:type="dxa"/>
            <w:vAlign w:val="bottom"/>
            <w:gridSpan w:val="4"/>
          </w:tcPr>
          <w:p>
            <w:pPr>
              <w:spacing w:after="0"/>
              <w:rPr>
                <w:rFonts w:ascii="Times New Roman" w:cs="Times New Roman" w:eastAsia="Times New Roman" w:hAnsi="Times New Roman"/>
                <w:sz w:val="16"/>
                <w:szCs w:val="16"/>
                <w:color w:val="0000EE"/>
                <w:w w:val="99"/>
              </w:rPr>
            </w:pPr>
            <w:hyperlink w:anchor="page38">
              <w:r>
                <w:rPr>
                  <w:rFonts w:ascii="Times New Roman" w:cs="Times New Roman" w:eastAsia="Times New Roman" w:hAnsi="Times New Roman"/>
                  <w:sz w:val="16"/>
                  <w:szCs w:val="16"/>
                  <w:color w:val="0000EE"/>
                  <w:w w:val="99"/>
                </w:rPr>
                <w:t>Legal Proceedings</w:t>
              </w:r>
            </w:hyperlink>
          </w:p>
        </w:tc>
        <w:tc>
          <w:tcPr>
            <w:tcW w:w="8420" w:type="dxa"/>
            <w:vAlign w:val="bottom"/>
            <w:gridSpan w:val="11"/>
          </w:tcPr>
          <w:p>
            <w:pPr>
              <w:spacing w:after="0"/>
              <w:rPr>
                <w:sz w:val="21"/>
                <w:szCs w:val="21"/>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8">
              <w:r>
                <w:rPr>
                  <w:rFonts w:ascii="Times New Roman" w:cs="Times New Roman" w:eastAsia="Times New Roman" w:hAnsi="Times New Roman"/>
                  <w:sz w:val="17"/>
                  <w:szCs w:val="17"/>
                  <w:color w:val="0000EE"/>
                </w:rPr>
                <w:t>37</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1A.</w:t>
            </w:r>
          </w:p>
        </w:tc>
        <w:tc>
          <w:tcPr>
            <w:tcW w:w="9620" w:type="dxa"/>
            <w:vAlign w:val="bottom"/>
            <w:gridSpan w:val="15"/>
          </w:tcPr>
          <w:p>
            <w:pPr>
              <w:spacing w:after="0"/>
              <w:rPr>
                <w:rFonts w:ascii="Times New Roman" w:cs="Times New Roman" w:eastAsia="Times New Roman" w:hAnsi="Times New Roman"/>
                <w:sz w:val="16"/>
                <w:szCs w:val="16"/>
                <w:color w:val="0000EE"/>
              </w:rPr>
            </w:pPr>
            <w:hyperlink w:anchor="page39">
              <w:r>
                <w:rPr>
                  <w:rFonts w:ascii="Times New Roman" w:cs="Times New Roman" w:eastAsia="Times New Roman" w:hAnsi="Times New Roman"/>
                  <w:sz w:val="16"/>
                  <w:szCs w:val="16"/>
                  <w:color w:val="0000EE"/>
                </w:rPr>
                <w:t>Risk Factors</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9">
              <w:r>
                <w:rPr>
                  <w:rFonts w:ascii="Times New Roman" w:cs="Times New Roman" w:eastAsia="Times New Roman" w:hAnsi="Times New Roman"/>
                  <w:sz w:val="17"/>
                  <w:szCs w:val="17"/>
                  <w:color w:val="0000EE"/>
                </w:rPr>
                <w:t>38</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Item 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Times New Roman" w:cs="Times New Roman" w:eastAsia="Times New Roman" w:hAnsi="Times New Roman"/>
                <w:sz w:val="16"/>
                <w:szCs w:val="16"/>
                <w:color w:val="0000EE"/>
              </w:rPr>
            </w:pPr>
            <w:hyperlink w:anchor="page39">
              <w:r>
                <w:rPr>
                  <w:rFonts w:ascii="Times New Roman" w:cs="Times New Roman" w:eastAsia="Times New Roman" w:hAnsi="Times New Roman"/>
                  <w:sz w:val="16"/>
                  <w:szCs w:val="16"/>
                  <w:color w:val="0000EE"/>
                </w:rPr>
                <w:t>Unregistered Sales of Equity Securities and Use of Proceeds</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9">
              <w:r>
                <w:rPr>
                  <w:rFonts w:ascii="Times New Roman" w:cs="Times New Roman" w:eastAsia="Times New Roman" w:hAnsi="Times New Roman"/>
                  <w:sz w:val="17"/>
                  <w:szCs w:val="17"/>
                  <w:color w:val="0000EE"/>
                </w:rPr>
                <w:t>38</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Item 6.</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Times New Roman" w:cs="Times New Roman" w:eastAsia="Times New Roman" w:hAnsi="Times New Roman"/>
                <w:sz w:val="16"/>
                <w:szCs w:val="16"/>
                <w:color w:val="0000EE"/>
              </w:rPr>
            </w:pPr>
            <w:hyperlink w:anchor="page40">
              <w:r>
                <w:rPr>
                  <w:rFonts w:ascii="Times New Roman" w:cs="Times New Roman" w:eastAsia="Times New Roman" w:hAnsi="Times New Roman"/>
                  <w:sz w:val="16"/>
                  <w:szCs w:val="16"/>
                  <w:color w:val="0000EE"/>
                </w:rPr>
                <w:t>Exhibits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40">
              <w:r>
                <w:rPr>
                  <w:rFonts w:ascii="Times New Roman" w:cs="Times New Roman" w:eastAsia="Times New Roman" w:hAnsi="Times New Roman"/>
                  <w:sz w:val="17"/>
                  <w:szCs w:val="17"/>
                  <w:color w:val="0000EE"/>
                </w:rPr>
                <w:t>39</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94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Times New Roman" w:cs="Times New Roman" w:eastAsia="Times New Roman" w:hAnsi="Times New Roman"/>
                <w:sz w:val="16"/>
                <w:szCs w:val="16"/>
                <w:color w:val="0000EE"/>
                <w:w w:val="97"/>
              </w:rPr>
            </w:pPr>
            <w:hyperlink w:anchor="page41">
              <w:r>
                <w:rPr>
                  <w:rFonts w:ascii="Times New Roman" w:cs="Times New Roman" w:eastAsia="Times New Roman" w:hAnsi="Times New Roman"/>
                  <w:sz w:val="16"/>
                  <w:szCs w:val="16"/>
                  <w:color w:val="0000EE"/>
                  <w:w w:val="97"/>
                </w:rPr>
                <w:t>Signatures</w:t>
              </w:r>
            </w:hyperlink>
          </w:p>
        </w:tc>
        <w:tc>
          <w:tcPr>
            <w:tcW w:w="8940" w:type="dxa"/>
            <w:vAlign w:val="bottom"/>
            <w:gridSpan w:val="13"/>
          </w:tcPr>
          <w:p>
            <w:pPr>
              <w:spacing w:after="0"/>
              <w:rPr>
                <w:sz w:val="24"/>
                <w:szCs w:val="24"/>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41">
              <w:r>
                <w:rPr>
                  <w:rFonts w:ascii="Times New Roman" w:cs="Times New Roman" w:eastAsia="Times New Roman" w:hAnsi="Times New Roman"/>
                  <w:sz w:val="17"/>
                  <w:szCs w:val="17"/>
                  <w:color w:val="0000EE"/>
                </w:rPr>
                <w:t>40</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40"/>
          </w:cols>
          <w:pgMar w:left="440" w:top="360" w:right="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100" w:type="dxa"/>
            <w:vAlign w:val="bottom"/>
          </w:tcPr>
          <w:p>
            <w:pPr>
              <w:jc w:val="right"/>
              <w:ind w:right="13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763,587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734,414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99,992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77,674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 — PINs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43,965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78,115</w:t>
            </w:r>
          </w:p>
        </w:tc>
        <w:tc>
          <w:tcPr>
            <w:tcW w:w="0" w:type="dxa"/>
            <w:vAlign w:val="bottom"/>
          </w:tcPr>
          <w:p>
            <w:pPr>
              <w:spacing w:after="0"/>
              <w:rPr>
                <w:sz w:val="1"/>
                <w:szCs w:val="1"/>
                <w:color w:val="auto"/>
              </w:rPr>
            </w:pPr>
          </w:p>
        </w:tc>
      </w:tr>
      <w:tr>
        <w:trPr>
          <w:trHeight w:val="225"/>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receivable, net of allowances for doubtful accounts of $18,887 at March 31, 2017 and $18,369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2016</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370,873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502,989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166,829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191,796</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1,445,246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1,584,988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$281,165 at March 31, 2017 and $262,470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217,866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202,145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698,511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689,713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intangible assets, net of accumulated amortization of $158,286 at March 31, 2017 and $150,347 at December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31, 2016</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161,075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165,331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 of accumulated amortization of $38,464 at March 31, 2017 and $36,984 at December 31, 2016</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70,695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2,597,836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2,712,872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318,416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456,682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580,240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615,153</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32,161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27,611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46,550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44,200</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1,007,454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1,179,100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562,233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561,663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44,418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44,079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20,504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1,644,127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1,812,315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$0.02 par value. 10,000,000 shares authorized; none issued</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$0.02 par value. 90,000,000 shares authorized; 58,534,749 issued at March 31, 2017 and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58,389,242 issued at December 31, 2016</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1,051,745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1,045,663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at cost, 6,106,743 shares at March 31, 2016 and 6,085,841 shares at December 31, 2016</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(215,462)</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308,232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278,842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(210,662)</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Euronet Worldwide, Inc.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952,430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899,549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953,709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900,557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2,597,836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2,712,872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420"/>
          </w:cols>
          <w:pgMar w:left="240" w:top="121" w:right="239" w:bottom="306"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306"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363"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473,380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437,894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296,607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271,626</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67,237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41,987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37,854</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21,637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19,288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432,094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396,005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41,286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41,889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gain, net</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gains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37,040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38,227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29,084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28,123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29,094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 attributable to Euronet Worldwide, Inc. stockholders: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52,345,944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52,685,765</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54,921,779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54,529,588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980"/>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63"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29,084</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34,702</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47,489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63,786</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Comprehensive income attributable to Euronet Worldwide,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47,519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63,843</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4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29,084</w:t>
            </w: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19,288</w:t>
            </w: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3,711</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foreign exchange gain,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convertible debt discount and amortization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3,117</w:t>
            </w: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working capital, net of amounts acquired:</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2,410</w:t>
            </w: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8,090</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 — PINs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11,022</w:t>
            </w: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140,012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81,736</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5,736</w:t>
            </w: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(109,796)</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5,331</w:t>
            </w: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49,620</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noncurrent assets and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37"/>
        </w:trPr>
        <w:tc>
          <w:tcPr>
            <w:tcW w:w="8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50,831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104,613</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w:t>
            </w: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other long-term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37"/>
        </w:trPr>
        <w:tc>
          <w:tcPr>
            <w:tcW w:w="8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(18,903)</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1,992</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Repurchase of shares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(76,390)</w:t>
            </w: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 from revolving credit agreements</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538,969</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revolving credit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(467,099)</w:t>
            </w: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long-term debt obligations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short-term debt obligations,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r>
      <w:tr>
        <w:trPr>
          <w:trHeight w:val="237"/>
        </w:trPr>
        <w:tc>
          <w:tcPr>
            <w:tcW w:w="8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10,558</w:t>
            </w:r>
          </w:p>
        </w:tc>
      </w:tr>
      <w:tr>
        <w:trPr>
          <w:trHeight w:val="243"/>
        </w:trPr>
        <w:tc>
          <w:tcPr>
            <w:tcW w:w="8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91,014</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734,414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457,518</w:t>
            </w:r>
          </w:p>
        </w:tc>
      </w:tr>
      <w:tr>
        <w:trPr>
          <w:trHeight w:val="230"/>
        </w:trPr>
        <w:tc>
          <w:tcPr>
            <w:tcW w:w="87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57"/>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763,587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548,532</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8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1,621</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10,462</w:t>
            </w:r>
          </w:p>
        </w:tc>
      </w:tr>
      <w:tr>
        <w:trPr>
          <w:trHeight w:val="234"/>
        </w:trPr>
        <w:tc>
          <w:tcPr>
            <w:tcW w:w="87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21" w:right="25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Euronet Worldwide, Inc. (together with its subsidiaries, the “Company” or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and cash flows for the interim periods. The unaudited consolidated financial statements should be read in conjunction with the audited consolidated financial statements of the Company for the year ended December 31, 2016, including the notes thereto, set forth in the Company’s 2016 Annual Report on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2017.</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Euronet’s EFT Processing Segment experiences its heaviest demand for dynamic currency conversion ("DCC") services during the third quarter of the fiscal year, coinciding with tourism season. Additionally, the EFT Processing and epay Segments are impacted by seasonality during the fourth quarter and the first quarter of each year due to higher transaction levels during the holiday season and lower levels following the holiday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RECENTLY ISSUED AND ADOPTED ACCOUNTING PRONOUNCEMENTS</w:t>
      </w:r>
    </w:p>
    <w:p>
      <w:pPr>
        <w:spacing w:after="0" w:line="22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which requires an entity to recognize the amount of revenue to which it expects to be entitled for the transfer of promised goods or services to customers. ASU 2014-09 will replace most existing revenue recognition guidance in U.S. GAAP when it becomes effective. In July 2015, the FASB approved a one-year deferral of the effective date of the new revenue recognition standard. The new standard will become effective for the Company on January 1, 2018. The standard permits the use of either the full retrospective or modified retrospective transition method.</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March 2016, the FASB issued ASU 2016-08, </w:t>
      </w:r>
      <w:r>
        <w:rPr>
          <w:rFonts w:ascii="Times New Roman" w:cs="Times New Roman" w:eastAsia="Times New Roman" w:hAnsi="Times New Roman"/>
          <w:sz w:val="18"/>
          <w:szCs w:val="18"/>
          <w:i w:val="1"/>
          <w:iCs w:val="1"/>
          <w:color w:val="auto"/>
        </w:rPr>
        <w:t>Revenue from Contracts with Customers (Topic 606), Principal versus Agent Considerations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versus Net)</w:t>
      </w:r>
      <w:r>
        <w:rPr>
          <w:rFonts w:ascii="Times New Roman" w:cs="Times New Roman" w:eastAsia="Times New Roman" w:hAnsi="Times New Roman"/>
          <w:sz w:val="18"/>
          <w:szCs w:val="18"/>
          <w:color w:val="auto"/>
        </w:rPr>
        <w:t>. In April 2016, the FASB issued ASU 2016-10,</w:t>
      </w:r>
      <w:r>
        <w:rPr>
          <w:rFonts w:ascii="Times New Roman" w:cs="Times New Roman" w:eastAsia="Times New Roman" w:hAnsi="Times New Roman"/>
          <w:sz w:val="18"/>
          <w:szCs w:val="18"/>
          <w:i w:val="1"/>
          <w:iCs w:val="1"/>
          <w:color w:val="auto"/>
        </w:rPr>
        <w:t xml:space="preserve"> Revenue from Contracts with Customers (Topic 606), Identifying Performance Obligations and Licensing</w:t>
      </w:r>
      <w:r>
        <w:rPr>
          <w:rFonts w:ascii="Times New Roman" w:cs="Times New Roman" w:eastAsia="Times New Roman" w:hAnsi="Times New Roman"/>
          <w:sz w:val="18"/>
          <w:szCs w:val="18"/>
          <w:color w:val="auto"/>
        </w:rPr>
        <w:t>. In May 2016, the FASB issued ASU 2016-11,</w:t>
      </w:r>
      <w:r>
        <w:rPr>
          <w:rFonts w:ascii="Times New Roman" w:cs="Times New Roman" w:eastAsia="Times New Roman" w:hAnsi="Times New Roman"/>
          <w:sz w:val="18"/>
          <w:szCs w:val="18"/>
          <w:i w:val="1"/>
          <w:iCs w:val="1"/>
          <w:color w:val="auto"/>
        </w:rPr>
        <w:t xml:space="preserve"> Revenue from Contracts with Customers (Topic 606) and Derivatives and Hedging (Topic 815) - Rescission of SEC Guidance Because of ASU 2014-09 and 2014-16,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ASU 2016-12, Revenue from Contracts with Customers (Topic 606) - Narrow Scope Improvements and Practical Expedient</w:t>
      </w:r>
      <w:r>
        <w:rPr>
          <w:rFonts w:ascii="Times New Roman" w:cs="Times New Roman" w:eastAsia="Times New Roman" w:hAnsi="Times New Roman"/>
          <w:sz w:val="18"/>
          <w:szCs w:val="18"/>
          <w:color w:val="auto"/>
        </w:rPr>
        <w:t>s. In December 2016, the FASB issued ASU 2016-20,</w:t>
      </w:r>
      <w:r>
        <w:rPr>
          <w:rFonts w:ascii="Times New Roman" w:cs="Times New Roman" w:eastAsia="Times New Roman" w:hAnsi="Times New Roman"/>
          <w:sz w:val="18"/>
          <w:szCs w:val="18"/>
          <w:i w:val="1"/>
          <w:iCs w:val="1"/>
          <w:color w:val="auto"/>
        </w:rPr>
        <w:t xml:space="preserve"> Technical Corrections and Improvements to Topic 606, Revenue from Contracts with Customers (Topic 606)</w:t>
      </w:r>
      <w:r>
        <w:rPr>
          <w:rFonts w:ascii="Times New Roman" w:cs="Times New Roman" w:eastAsia="Times New Roman" w:hAnsi="Times New Roman"/>
          <w:sz w:val="18"/>
          <w:szCs w:val="18"/>
          <w:color w:val="auto"/>
        </w:rPr>
        <w:t>. These ASUs clarify the implementation guidance on a few narrow areas, make minor corrections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adds some practical expedients to the guidance in Topic 606.</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Lastly, in February 2017, the FASB issued ASU 2017-05, </w:t>
      </w:r>
      <w:r>
        <w:rPr>
          <w:rFonts w:ascii="Times New Roman" w:cs="Times New Roman" w:eastAsia="Times New Roman" w:hAnsi="Times New Roman"/>
          <w:sz w:val="18"/>
          <w:szCs w:val="18"/>
          <w:i w:val="1"/>
          <w:iCs w:val="1"/>
          <w:color w:val="auto"/>
        </w:rPr>
        <w:t>Other Income -Gains and Losses from the Derecognition of Nonfinancial Assets (Subtopic 610-20):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Clarifying the Scope of Asset Derecognition Guidance and Accounting for Partial Sales of Nonfinancial Assets</w:t>
      </w:r>
      <w:r>
        <w:rPr>
          <w:rFonts w:ascii="Times New Roman" w:cs="Times New Roman" w:eastAsia="Times New Roman" w:hAnsi="Times New Roman"/>
          <w:sz w:val="18"/>
          <w:szCs w:val="18"/>
          <w:color w:val="auto"/>
        </w:rPr>
        <w:t>, which clarifies the scope of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derecognition guidance and provide guidance on partial sales of nonfinancial assets. This ASU clarifies the scope and accounting of a financial asset that meets the definition of an “in-substance nonfinancial asset” and defines the term, “in-substance nonfinancial asset.” This ASU must be adopted at the same time as ASC 606.</w:t>
      </w:r>
    </w:p>
    <w:p>
      <w:pPr>
        <w:spacing w:after="0" w:line="12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has performed a review of the requirements of the new revenue standards and is in the process of reviewing customer contracts under the new revenue standards but does not expect the new revenue standards will have a material impact on the timing of revenue recognition on its consolidated financial statements. The Company continues to assess all potential effects of the standards and it believes the principal versus agent guidance may affect the presentation and classification of revenue for certain epay and EFT segment arrangements. The Company will continue to update its assessment of the effect the new revenue standards will have on its consolidated financial statements and will disclose the final determination of the transition method and material effects, if any, when known.</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will update the existing guidance on accounting for leases and require new qualitative and quantitative disclosures about the Company’s leasing activities. The new standard requires lessees to account for all leases on the balance sheet, except for certain short-term leases that have a maximum possible lease term of 12 months. The accounting for lessors is largely unchanged from the previous accounting guidance, except for leverage lease accounting which is not permitted for leases entered into or modified after the effective date of the new standard. The new standard is effective for annual periods beginning after December 15, 2018 and interim periods within those annual periods, with early adoption permitted. In transition, lessees and lessors are required to recognize and measure leases at the beginning of the earliest period presented using a modified retrospective approach. The modified retrospective approach includes a number of optional practical expedients that the Company may elect to apply. The Company is currently evaluating the expected impact of the adoption of this standard on its consolidated financial statements and related disclosures.</w:t>
      </w:r>
    </w:p>
    <w:p>
      <w:pPr>
        <w:spacing w:after="0" w:line="13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 xml:space="preserve">In March 2016, FASB issued ASU 2016-09, </w:t>
      </w:r>
      <w:r>
        <w:rPr>
          <w:rFonts w:ascii="Times New Roman" w:cs="Times New Roman" w:eastAsia="Times New Roman" w:hAnsi="Times New Roman"/>
          <w:sz w:val="17"/>
          <w:szCs w:val="17"/>
          <w:i w:val="1"/>
          <w:iCs w:val="1"/>
          <w:color w:val="auto"/>
        </w:rPr>
        <w:t>Compensation-Stock Compensation (Topic 718): Improvements to Employee Share-Based Payment Accounting</w:t>
      </w:r>
      <w:r>
        <w:rPr>
          <w:rFonts w:ascii="Times New Roman" w:cs="Times New Roman" w:eastAsia="Times New Roman" w:hAnsi="Times New Roman"/>
          <w:sz w:val="17"/>
          <w:szCs w:val="17"/>
          <w:color w:val="auto"/>
        </w:rPr>
        <w:t>, which addresses how companies account for certain aspects of share-based payments to employees. This ASU requires all excess tax benefits and tax deficiencies be recognized in the statement of income as a component of income tax expense or benefit. The tax effects of exercised, expired or vested awards are treated as discrete items in the reporting period in which they occur and may result in increased volatility in the Company's effective tax rate. As part of the adoption of this standard during the recent quarter, the Company was required to recognize previously unrecognized excess tax benefits on a modified retrospective basis and record an adjustment to deferred tax assets and retained earnings. Additionally, the Company applied the prospective transition method for the presentation of excess tax benefits from a financing activity to an operating activity in the Company’s consolidated statements of cash flows. Cash paid by the Company when directly withholding shares for tax withholding purposes is classified as a financing activity in the Consolidated Statements of Cash Flows. The Company made an accounting election to continue to estimate forfeitures when determining amortization expense of stock-based compensation.</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period ended March 31, 2017, the adoption of the provisions of this ASU did not have a material impact on the Company’s consolidated statement of income. A cumulative effect adjustment of $40.2 million for previously unrecognized excess tax benefits from prior fiscal years was recognized in beginning Retained earnings as of January 1, 2017. As a result of recognizing this excess tax benefit, the Company recorded a deferred tax asset of $40.2 million and an associated valuation allowance of $38.9 million to beginning Retained earnings. The offsetting deferred tax asset and valuation allowance resulted in a net increase of $1.3 million to beginning Retained earnings at adoption.</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Prior to 2017, excess tax benefits were recognized in additional paid-in capital and tax deficiencies were recognized either as an offset to accumulated excess tax benefits, if any, or in the consolidated statements of income. Excess tax benefits were not recognized until the deduction reduced taxes payable. Additionally, excess tax benefits from stock-based compensation were included in financing activities within the Company’s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Basic earnings per share has been computed by dividing earnings available to common stockholders by the weighted average number of common shares outstanding during the respective periods. Diluted earnings per share has been computed by dividing earnings available to common stockholders by the weighted average shares outstanding during the respective period, after adjusting for any potential dilution of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340"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52,345,944</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52,685,765</w:t>
            </w: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Incremental shares from assumed exercise of stock options and vesting of restricted stock</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1,706,342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1,698,945</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Incremental shares from assumed conversion of convertible notes</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869,493</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144,878</w:t>
            </w:r>
          </w:p>
        </w:tc>
      </w:tr>
      <w:tr>
        <w:trPr>
          <w:trHeight w:val="27"/>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54,921,779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54,529,588</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table includes the impact of all stock options and restricted stock that are dilutive to the Company’s weighted average common shares outstanding during the three months ended March 31, 2017 and 2016. The calculation of diluted earnings per share excludes stock options or shares of restricted stock that are anti-dilutive to the Company’s weighted average common shares outstanding of approximately 969,000 and 418,000 for the three months ended March 31, 2017, and 2016, respectively.</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During 2017 and 2016, the Company had convertible notes outstanding that, if converted, could have had a potentially dilutive effect on its common stock. At issuance, the Company stated its intent to settle any conversion of these notes by paying cash for the principal value and issuing common stock for any conversion value in excess of the principal value. As of March 31, 2017, and currently, the Company maintains the intent and ability to settle any conversion as stated. Accordingly, the convertible notes would only have a dilutive effect if the market price per share of common stock exceeds the conversion price per share of common stock, which it did as of March 31, 2017 and 2016. Therefore, according to Accounting Standards Codification ("ASC") 260, </w:t>
      </w:r>
      <w:r>
        <w:rPr>
          <w:rFonts w:ascii="Times New Roman" w:cs="Times New Roman" w:eastAsia="Times New Roman" w:hAnsi="Times New Roman"/>
          <w:sz w:val="18"/>
          <w:szCs w:val="18"/>
          <w:i w:val="1"/>
          <w:iCs w:val="1"/>
          <w:color w:val="auto"/>
        </w:rPr>
        <w:t>Earnings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w:t>
      </w:r>
      <w:r>
        <w:rPr>
          <w:rFonts w:ascii="Times New Roman" w:cs="Times New Roman" w:eastAsia="Times New Roman" w:hAnsi="Times New Roman"/>
          <w:sz w:val="18"/>
          <w:szCs w:val="18"/>
          <w:color w:val="auto"/>
        </w:rPr>
        <w:t>, these notes were dilutive to earnings per share for the three months ended March 31, 2017 and 2016. See Note 6, Debt Obligations, for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the convertible notes.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4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Accumulated other comprehensive income consists entirely of foreign currency translation adjustments. The Company recorded foreign currency translation gains of $19.4 million and $34.7 million for the three months ended March 31, 2017 and 2016, respectively. There were no reclassifications of foreign currency translation into the consolidated statements of income for the three months ended March 31, 2017 and 2016.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ACQUIRED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acquired intangible assets and goodwill activity for the three months ended March 31, 2017 is presented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95"/>
        </w:trPr>
        <w:tc>
          <w:tcPr>
            <w:tcW w:w="5120" w:type="dxa"/>
            <w:vAlign w:val="bottom"/>
            <w:tcBorders>
              <w:bottom w:val="single" w:sz="8" w:color="auto"/>
            </w:tcBorders>
            <w:vMerge w:val="continue"/>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2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165,331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689,713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855,044</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(Decreases):</w:t>
            </w: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(primarily changes in foreign currency exchange rates)</w:t>
            </w: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10,889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31, 2017</w:t>
            </w:r>
          </w:p>
        </w:tc>
        <w:tc>
          <w:tcPr>
            <w:tcW w:w="2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161,075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698,511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859,586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Estimated amortization expense on intangible assets with finite lives, before income taxes, as of March 31, 2017, is expected to total $17.7 million for the remainder of 2017, $21.9 million for 2018, $21.0 million for 2019, $20.2 million for 2020, $19.3 million for 2021 and $18.3 million for 2022.</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Company’s annual goodwill impairment test is performed during the fourth quarter of its fiscal year. The annual impairment test for the year ended December 31, 2016 resulted in no impairment charge.</w:t>
      </w:r>
    </w:p>
    <w:p>
      <w:pPr>
        <w:spacing w:after="0" w:line="108"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2016 annual impairment test could change, which may result in the Company recording material non-cash impairment charges during the year in which these changes take place.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4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49"/>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3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229,538</w:t>
            </w:r>
          </w:p>
        </w:tc>
        <w:tc>
          <w:tcPr>
            <w:tcW w:w="5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210,275</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transfer settlement obligations</w:t>
            </w:r>
          </w:p>
        </w:tc>
        <w:tc>
          <w:tcPr>
            <w:tcW w:w="3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219,601</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amounts due to mobile operators and other content providers</w:t>
            </w:r>
          </w:p>
        </w:tc>
        <w:tc>
          <w:tcPr>
            <w:tcW w:w="3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121,505</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3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63,772</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580,240</w:t>
            </w:r>
          </w:p>
        </w:tc>
        <w:tc>
          <w:tcPr>
            <w:tcW w:w="5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615,153</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obligations consist of the following:</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8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 due 2019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58,125</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agreements, due 2019</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159,520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159,963</w:t>
            </w:r>
          </w:p>
        </w:tc>
      </w:tr>
      <w:tr>
        <w:trPr>
          <w:trHeight w:val="237"/>
        </w:trPr>
        <w:tc>
          <w:tcPr>
            <w:tcW w:w="88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217,645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219,963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Debt: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1.50% convertible notes, unsecured, due 2044</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360,982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358,293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obligations</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23,892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 obligations</w:t>
            </w: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600,077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602,148</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Carrying value of debt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592,375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593,824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(32,161)</w:t>
            </w:r>
          </w:p>
        </w:tc>
      </w:tr>
      <w:tr>
        <w:trPr>
          <w:trHeight w:val="25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562,233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561,663</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March 31, 2017, the Company had a $675 million senior secured credit facility (the "Credit Facility") consisting of a $600 million revolving credit facility and a $75 million term loan ("Term Loan A"), which had been reduced to $58.1 million through principal amortization payments. The Credit Facility expires April 9, 2019.</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Interest on borrowings under the revolving credit facility and Term Loan A varies based upon the Company's consolidated total leverage ratio, as defined in the Company's credit agreement, and is based on a margin over the London Inter-Bank Offered Rate (“LIBOR”) or a margin over a base rate, as selected by the Company, with the applicable margin ranging from 1.375% to 2.375% for LIBOR loans or 0.375% to 1.375% for base rate loans. Accordingly, the weighted average interest rate for borrowings outstanding under the Company's revolving credit facility and Term Loan A was 2.21% and 2.36%, respectively, as of March 31, 2017.</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Convertible Senior Notes due 2044 (“Convertible Notes”) had a principal amount outstanding of $402.5 million as of March 31, 2017. Contractual interest expense was $1.5 million for both the three months ended March 31, 2017 and 2016. Accretion expense was $2.7 million and $2.6 million for the three months ended March 31, 2017 and 2016, respectively. The effective interest rate was 4.7% for the three months ended March 31, 2017. As of March 31, 2017, the unamortized discount was $41.5 million, and will be amortized through October 1, 2020.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INSTRUMENTS AND HEDGING ACTIVITIES</w:t>
      </w:r>
    </w:p>
    <w:p>
      <w:pPr>
        <w:spacing w:after="0" w:line="12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 xml:space="preserve">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 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primarily due to either the relatively short duration of the contract term or the effects of fluctuations in currency exchange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reflected concurrently in earnings for both the derivative instrument and the transaction and having an offsetting effect.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Ria Operations and Corporate</w:t>
      </w:r>
    </w:p>
    <w:p>
      <w:pPr>
        <w:spacing w:after="0" w:line="17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the United States, the Company's Ria operations use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March 31, 2017, the Company held in its Ria operations foreign currency forward contracts outstanding in the U.S. with a notional value of $211 million, primarily in Australian dollars, Canadian dollars, British pounds, euros and Mexican pesos.</w:t>
      </w:r>
    </w:p>
    <w:p>
      <w:pPr>
        <w:spacing w:after="0" w:line="13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the Company uses forward contracts, typically with maturities from a few days to less than one year, to offset foreign exchange rate fluctuations on certain foreign currency denominated other asset and liability positions. As of March 31, 2017, the Company had foreign currency forward contracts outstanding with a notional value of $86 million, primarily in British pounds, euros and Polish zloty.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HiFX Operations</w:t>
      </w:r>
    </w:p>
    <w:p>
      <w:pPr>
        <w:spacing w:after="0" w:line="17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may hedge some or all of the resulting net currency risks by entering into offsetting contracts with established financial institution counterparties. Foreign exchange revenues from HiFX's total portfolio of positions were $15.7 million and $15.2 million for</w:t>
      </w:r>
    </w:p>
    <w:p>
      <w:pPr>
        <w:sectPr>
          <w:pgSz w:w="11900" w:h="16838" w:orient="portrait"/>
          <w:cols w:equalWidth="0" w:num="1">
            <w:col w:w="11420"/>
          </w:cols>
          <w:pgMar w:left="240" w:top="121" w:right="239" w:bottom="0" w:gutter="0" w:footer="0" w:header="0"/>
        </w:sectPr>
      </w:pPr>
    </w:p>
    <w:bookmarkStart w:id="11" w:name="page12"/>
    <w:bookmarkEnd w:id="11"/>
    <w:p>
      <w:pPr>
        <w:ind w:right="160"/>
        <w:spacing w:after="0" w:line="282" w:lineRule="auto"/>
        <w:rPr>
          <w:sz w:val="20"/>
          <w:szCs w:val="20"/>
          <w:color w:val="auto"/>
        </w:rPr>
      </w:pPr>
      <w:r>
        <w:rPr>
          <w:rFonts w:ascii="Times New Roman" w:cs="Times New Roman" w:eastAsia="Times New Roman" w:hAnsi="Times New Roman"/>
          <w:sz w:val="18"/>
          <w:szCs w:val="18"/>
          <w:color w:val="auto"/>
        </w:rPr>
        <w:t>the three months ended March 31, 2017 and 2016, respectively. All of the derivative contracts used in the Company's HiFX operations are economic hedges and are not designated as hedges under ASC Topic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duration of these derivative contracts is generally less than one year.</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aggregate equivalent U.S. dollar notional amounts of foreign currency derivative customer contracts held by the Company in its HiFX operations as of March 31, 2017 was approximately $1.3 billion. The majority of customer contracts are written in major currencies such as the U.S. dollar, euro, New Zealand dollar, British pound, and Australian dollar.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Presentation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derivative instruments as recorded in the Consolidated Balance Sheets as of the dates below:</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17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16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1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9"/>
        </w:trPr>
        <w:tc>
          <w:tcPr>
            <w:tcW w:w="2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exchange contracts</w:t>
            </w:r>
          </w:p>
        </w:tc>
        <w:tc>
          <w:tcPr>
            <w:tcW w:w="17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Other current assets</w:t>
            </w:r>
          </w:p>
        </w:tc>
        <w:tc>
          <w:tcPr>
            <w:tcW w:w="7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46,236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75,307</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(63,772)</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gross and net fair value of derivative assets and liabilities as of March 31, 2017 and December 31, 2016 (in thousands):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Derivative Assets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Net Amounts</w:t>
            </w: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2017</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90"/>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46,236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46,236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12,691</w:t>
            </w:r>
          </w:p>
        </w:tc>
        <w:tc>
          <w:tcPr>
            <w:tcW w:w="0" w:type="dxa"/>
            <w:vAlign w:val="bottom"/>
          </w:tcPr>
          <w:p>
            <w:pPr>
              <w:spacing w:after="0"/>
              <w:rPr>
                <w:sz w:val="1"/>
                <w:szCs w:val="1"/>
                <w:color w:val="auto"/>
              </w:rPr>
            </w:pPr>
          </w:p>
        </w:tc>
      </w:tr>
      <w:tr>
        <w:trPr>
          <w:trHeight w:val="589"/>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75,307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75,307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17,993</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Net Amounts</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2017</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25,701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0" w:type="dxa"/>
            <w:vAlign w:val="bottom"/>
          </w:tcPr>
          <w:p>
            <w:pPr>
              <w:spacing w:after="0"/>
              <w:rPr>
                <w:sz w:val="1"/>
                <w:szCs w:val="1"/>
                <w:color w:val="auto"/>
              </w:rPr>
            </w:pPr>
          </w:p>
        </w:tc>
      </w:tr>
      <w:tr>
        <w:trPr>
          <w:trHeight w:val="589"/>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49,752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Fair Value Measurements, for the determination of the fair values of derivatives.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Presentation</w:t>
      </w:r>
    </w:p>
    <w:p>
      <w:pPr>
        <w:spacing w:after="0" w:line="119"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location and amount of losses on derivatives in the Consolidated Statements of Income for the three months ended March 31, 2017 and 2016:</w:t>
      </w:r>
    </w:p>
    <w:p>
      <w:pPr>
        <w:spacing w:after="0" w:line="101"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Amount of Loss Recognized in Income on</w:t>
      </w:r>
    </w:p>
    <w:p>
      <w:pPr>
        <w:spacing w:after="0" w:line="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Derivative Contracts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Location of Loss Recognized in Income</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5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6"/>
                <w:szCs w:val="6"/>
                <w:color w:val="auto"/>
              </w:rPr>
            </w:pPr>
          </w:p>
        </w:tc>
        <w:tc>
          <w:tcPr>
            <w:tcW w:w="27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5"/>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Derivative Contracts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3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financial assets and liabilities measured and recorded at fair value on a recurring basis: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 of March 31, 2017</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2"/>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46,236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46,236</w:t>
            </w:r>
          </w:p>
        </w:tc>
      </w:tr>
      <w:tr>
        <w:trPr>
          <w:trHeight w:val="243"/>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(36,359)</w:t>
            </w:r>
          </w:p>
        </w:tc>
      </w:tr>
      <w:tr>
        <w:trPr>
          <w:trHeight w:val="400"/>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2"/>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75,307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75,307</w:t>
            </w:r>
          </w:p>
        </w:tc>
      </w:tr>
      <w:tr>
        <w:trPr>
          <w:trHeight w:val="243"/>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(63,772)</w:t>
            </w:r>
          </w:p>
        </w:tc>
      </w:tr>
      <w:tr>
        <w:trPr>
          <w:trHeight w:val="675"/>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Other Fair Value Disclosures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(other than the Convertible Notes), including the current portion, approximate fair value because interest is primarily based on LIBOR, which resets at various intervals of less than one year. The Company estimates the fair value of the Convertible Notes using quoted prices in inactive markets for identical liabilities (Level 2). As of March 31, 2017 and December 31, 2016, the fair values of the Convertible Notes were $526.6 million and $475.1 million, respectively, with carrying values of $361.0 million and $358.3 million, respectively.</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INFORMATION</w:t>
      </w:r>
    </w:p>
    <w:p>
      <w:pPr>
        <w:spacing w:after="0" w:line="119"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color w:val="auto"/>
        </w:rPr>
        <w:t xml:space="preserve">The Company’s reportable operating segments have been determined in accordance with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The Company currently operates in the following three reportable operating segments:</w:t>
      </w:r>
    </w:p>
    <w:p>
      <w:pPr>
        <w:spacing w:after="0" w:line="52" w:lineRule="exact"/>
        <w:rPr>
          <w:sz w:val="20"/>
          <w:szCs w:val="20"/>
          <w:color w:val="auto"/>
        </w:rPr>
      </w:pPr>
    </w:p>
    <w:p>
      <w:pPr>
        <w:ind w:left="980" w:hanging="648"/>
        <w:spacing w:after="0" w:line="258"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75" w:lineRule="exact"/>
        <w:rPr>
          <w:rFonts w:ascii="Times New Roman" w:cs="Times New Roman" w:eastAsia="Times New Roman" w:hAnsi="Times New Roman"/>
          <w:sz w:val="18"/>
          <w:szCs w:val="18"/>
          <w:color w:val="auto"/>
        </w:rPr>
      </w:pPr>
    </w:p>
    <w:p>
      <w:pPr>
        <w:ind w:left="980" w:right="680" w:hanging="648"/>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53" w:lineRule="exact"/>
        <w:rPr>
          <w:rFonts w:ascii="Times New Roman" w:cs="Times New Roman" w:eastAsia="Times New Roman" w:hAnsi="Times New Roman"/>
          <w:sz w:val="18"/>
          <w:szCs w:val="18"/>
          <w:color w:val="auto"/>
        </w:rPr>
      </w:pPr>
    </w:p>
    <w:p>
      <w:pPr>
        <w:ind w:left="980" w:right="60" w:hanging="648"/>
        <w:spacing w:after="0" w:line="255"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Money Transfer Segment, the Company provides global money transfer services under the brand names Ria, HiFX, IME and xe. Ria and IME provide global consumer-to-consumer money transfer services through a network of sending agents, Company-owned stores and Company-owned websites, disbursing money transfers through a worldwide correspondent network. HiFX offers account-to-account international payment services to high-income individuals and small-to-medium sized businesses. xe is a provider of foreign currency exchange information and offers money transfers on its currency data websites.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7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reportable segment results for the three months ended March 31, 2017 and 2016:</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105,752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164,169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203,974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473,380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62,073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126,160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296,607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12,595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38,889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71,863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22,814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41,987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21,637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94,790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150,248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177,878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9,178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432,094</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10,962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13,921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26,096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41,286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2016</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86,569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170,105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181,573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437,894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46,747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130,162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271,626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36,843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6,893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67,237</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20,814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37,854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19,288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73,299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154,290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160,047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8,369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396,005</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13,270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15,815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21,526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41,889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property and equipment and total assets by reportable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Property and Equipment, net as of</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Total Assets as of</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vMerge w:val="restart"/>
          </w:tcPr>
          <w:p>
            <w:pPr>
              <w:spacing w:after="0"/>
              <w:rPr>
                <w:sz w:val="12"/>
                <w:szCs w:val="12"/>
                <w:color w:val="auto"/>
              </w:rPr>
            </w:pPr>
          </w:p>
        </w:tc>
        <w:tc>
          <w:tcPr>
            <w:tcW w:w="116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153,382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139,161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891,592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786,166</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552,096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733,514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38,954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1,116,681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1,136,722</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37,467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56,470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217,866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202,145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2,597,836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2,712,872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Company's effective income tax rate was 24.2% and 23.9% for the three months ended </w:t>
      </w:r>
      <w:r>
        <w:rPr>
          <w:rFonts w:ascii="Times New Roman" w:cs="Times New Roman" w:eastAsia="Times New Roman" w:hAnsi="Times New Roman"/>
          <w:sz w:val="18"/>
          <w:szCs w:val="18"/>
          <w:color w:val="252525"/>
        </w:rPr>
        <w:t>March 31, 2017</w:t>
      </w:r>
      <w:r>
        <w:rPr>
          <w:rFonts w:ascii="Times New Roman" w:cs="Times New Roman" w:eastAsia="Times New Roman" w:hAnsi="Times New Roman"/>
          <w:sz w:val="18"/>
          <w:szCs w:val="18"/>
          <w:color w:val="auto"/>
        </w:rPr>
        <w:t xml:space="preserve"> and 2016, respectively. The Company's effective income tax rates for the three months ended March 31, 2017 and 2016 were lower than the applicable statutory income tax rate of 35% primarily because of the Company's U.S. income tax positions. The Company does not have a history of significant taxable income in the U.S.; therefore, the Company has recorded a valuation allowance against its net U.S. deferred tax assets. Accordingly, in instances when the Company's U.S. legal entities generate pre-tax U.S. GAAP income, no income tax expense is recognized to the extent there are net operating loss carryforwards to offset the pre-tax U.S. GAAP income.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of March 31, 2017, the Company had $72.4 million of stand-by letters of credit/bank guarantees issued on its behalf, of which $46.3 million are outstanding under the revolving credit facility. The remaining stand-by letters of credit/bank guarantees are collateralized by $3.0 million of cash deposits held by the respective issuing banks.</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certain circumstances, Euronet grants guarantees in support of obligations of subsidiaries. As of March 31, 2017, the Company had granted off balance sheet guarantees for cash in various ATM networks amounting to $15.4 million over the terms of the cash supply agreements and performance guarantees amounting to approximately $21.1 million over the terms of agreements with the customers.</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Once each of Euronet's subsidiaries reaches a certain size, it is required under the Credit Facility to provide a guarantee of all or a portion of the outstanding obligations under the Credit Facility depending upon whether the subsidiary is a domestic or foreign entity.</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2" w:lineRule="exact"/>
        <w:rPr>
          <w:sz w:val="20"/>
          <w:szCs w:val="20"/>
          <w:color w:val="auto"/>
        </w:rPr>
      </w:pPr>
    </w:p>
    <w:p>
      <w:pPr>
        <w:ind w:left="580" w:right="60" w:hanging="329"/>
        <w:spacing w:after="0" w:line="261"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March 31, 2017, the balance of cash used in the Company's ATM networks for which the Company was responsible was approximately $288 million. The Company maintains insurance policies to mitigate this exposure;</w:t>
      </w:r>
    </w:p>
    <w:p>
      <w:pPr>
        <w:spacing w:after="0" w:line="71" w:lineRule="exact"/>
        <w:rPr>
          <w:rFonts w:ascii="Times New Roman" w:cs="Times New Roman" w:eastAsia="Times New Roman" w:hAnsi="Times New Roman"/>
          <w:sz w:val="18"/>
          <w:szCs w:val="18"/>
          <w:color w:val="auto"/>
        </w:rPr>
      </w:pPr>
    </w:p>
    <w:p>
      <w:pPr>
        <w:ind w:left="580" w:right="120" w:hanging="329"/>
        <w:spacing w:after="0" w:line="261"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systems of internal controls and insurance policies to mitigate this exposure;</w:t>
      </w:r>
    </w:p>
    <w:p>
      <w:pPr>
        <w:spacing w:after="0" w:line="71" w:lineRule="exact"/>
        <w:rPr>
          <w:rFonts w:ascii="Times New Roman" w:cs="Times New Roman" w:eastAsia="Times New Roman" w:hAnsi="Times New Roman"/>
          <w:sz w:val="18"/>
          <w:szCs w:val="18"/>
          <w:color w:val="auto"/>
        </w:rPr>
      </w:pPr>
    </w:p>
    <w:p>
      <w:pPr>
        <w:ind w:left="580" w:right="180" w:hanging="329"/>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68" w:lineRule="exact"/>
        <w:rPr>
          <w:rFonts w:ascii="Times New Roman" w:cs="Times New Roman" w:eastAsia="Times New Roman" w:hAnsi="Times New Roman"/>
          <w:sz w:val="18"/>
          <w:szCs w:val="18"/>
          <w:color w:val="auto"/>
        </w:rPr>
      </w:pPr>
    </w:p>
    <w:p>
      <w:pPr>
        <w:ind w:left="580" w:right="140" w:hanging="329"/>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68" w:lineRule="exact"/>
        <w:rPr>
          <w:rFonts w:ascii="Times New Roman" w:cs="Times New Roman" w:eastAsia="Times New Roman" w:hAnsi="Times New Roman"/>
          <w:sz w:val="18"/>
          <w:szCs w:val="18"/>
          <w:color w:val="auto"/>
        </w:rPr>
      </w:pPr>
    </w:p>
    <w:p>
      <w:pPr>
        <w:ind w:left="580" w:right="60" w:hanging="329"/>
        <w:spacing w:after="0" w:line="25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79" w:lineRule="exact"/>
        <w:rPr>
          <w:rFonts w:ascii="Times New Roman" w:cs="Times New Roman" w:eastAsia="Times New Roman" w:hAnsi="Times New Roman"/>
          <w:sz w:val="18"/>
          <w:szCs w:val="18"/>
          <w:color w:val="auto"/>
        </w:rPr>
      </w:pPr>
    </w:p>
    <w:p>
      <w:pPr>
        <w:ind w:left="580" w:right="420" w:hanging="329"/>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date, the Company is not aware of any significant claims made by the indemnified parties or third parties to guarantee agreements with the Company and, accordingly, no liabilities were recorded as of March 31, 2017 or December 31, 2016.</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LITIGATION AND CONTINGENCIES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20"/>
          </w:cols>
          <w:pgMar w:left="24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76" w:lineRule="exact"/>
        <w:rPr>
          <w:sz w:val="20"/>
          <w:szCs w:val="20"/>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and financing plans and requirements;</w:t>
      </w:r>
    </w:p>
    <w:p>
      <w:pPr>
        <w:spacing w:after="0" w:line="2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affecting our business plans and financing plans and requirements;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affecting our business;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capital to meet our capital requirements and expansion plans;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assumptions underlying our business plans;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indebtedness;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capital expenditures;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outcome of loss contingencies;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closing of any pending acquisitions;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strategy;</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regulatory action;</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and</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costs and revenues.</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these forward-looking statements are reasonable, we can give no assurance that these expectations will prove to be correct.</w:t>
      </w:r>
    </w:p>
    <w:p>
      <w:pPr>
        <w:spacing w:after="0" w:line="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the effects in Europe of the recent Brexit vote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future security breaches, or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and anti-bribery requirements; changes in laws and regulations affecting our business, including immigration laws; changes in our relationships with, or in fees charged by, our business partners; competition; the outcome of claims and other loss contingencies affecting Euronet; and those factors referred to above and as set forth and more fully described in Part I, Item 1A — Risk Factors of our Annual Report on Form 10-K for the year ended December 31, 2016. Our Annual Report on Form 10-K and Quarterly Reports on Form 10-Q are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72" w:lineRule="exact"/>
        <w:rPr>
          <w:sz w:val="20"/>
          <w:szCs w:val="20"/>
          <w:color w:val="auto"/>
        </w:rPr>
      </w:pPr>
    </w:p>
    <w:p>
      <w:pPr>
        <w:ind w:left="980" w:right="260" w:hanging="648"/>
        <w:spacing w:after="0" w:line="25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which processes transactions for a network of 35,145 ATMs and approximately 176,000 POS terminals across Europe, the Middle East and Asia Pacific. We provide comprehensive electronic payment solutions consisting of ATM cash withdrawal and deposit services, ATM network participation, outsourced ATM and POS management solutions, credit and debit card outsourcing, dynamic currency conversion ("DCC"), and other value added services. Through this segment, we also offer a suite of integrated electronic financial transaction software solutions for electronic payment and transaction delivery systems.</w:t>
      </w:r>
    </w:p>
    <w:p>
      <w:pPr>
        <w:spacing w:after="0" w:line="75" w:lineRule="exact"/>
        <w:rPr>
          <w:rFonts w:ascii="Times New Roman" w:cs="Times New Roman" w:eastAsia="Times New Roman" w:hAnsi="Times New Roman"/>
          <w:sz w:val="18"/>
          <w:szCs w:val="18"/>
          <w:color w:val="auto"/>
        </w:rPr>
      </w:pPr>
    </w:p>
    <w:p>
      <w:pPr>
        <w:ind w:left="980" w:right="80" w:hanging="648"/>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which provides distribution, processing and collection services for prepaid mobile airtime and other electronic payment products. We operate a network of approximately 666,000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1" w:lineRule="exact"/>
        <w:rPr>
          <w:rFonts w:ascii="Times New Roman" w:cs="Times New Roman" w:eastAsia="Times New Roman" w:hAnsi="Times New Roman"/>
          <w:sz w:val="18"/>
          <w:szCs w:val="18"/>
          <w:color w:val="auto"/>
        </w:rPr>
      </w:pPr>
    </w:p>
    <w:p>
      <w:pPr>
        <w:ind w:left="980" w:right="20" w:hanging="648"/>
        <w:spacing w:after="0" w:line="254"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which provides global consumer-to-consumer money transfer services, primarily under the brand names Ria, IME and xe, and global account-to-account money transfer services under the brand name HiFX. We offer services under the brand names Ria and IME through a network of sending agents, Company-owned stores (primarily in North America, Europe and Malaysia) and our websites (www.riamoneytransfer.com and www.imeremit.com), disbursing money transfers through a worldwide correspondent network that includes approximately 321,000 locations. xe is a provider of foreign currency exchange information and offers money transfer services on its currency data websites (www.xe.com and www.x-rates.com). We offer services under the brand name HiFX through our HiFX websites (www.hifx.com, www.hifx.co.uk and www.hifx.com.au)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HiFM brand, we offer cash management solutions and foreign currency risk management services to small-to-medium sized businesses.</w:t>
      </w:r>
    </w:p>
    <w:p>
      <w:pPr>
        <w:spacing w:after="0" w:line="78" w:lineRule="exact"/>
        <w:rPr>
          <w:sz w:val="20"/>
          <w:szCs w:val="20"/>
          <w:color w:val="auto"/>
        </w:rPr>
      </w:pPr>
    </w:p>
    <w:p>
      <w:pPr>
        <w:ind w:left="60" w:right="80"/>
        <w:spacing w:after="0" w:line="261" w:lineRule="auto"/>
        <w:rPr>
          <w:sz w:val="20"/>
          <w:szCs w:val="20"/>
          <w:color w:val="auto"/>
        </w:rPr>
      </w:pPr>
      <w:r>
        <w:rPr>
          <w:rFonts w:ascii="Times New Roman" w:cs="Times New Roman" w:eastAsia="Times New Roman" w:hAnsi="Times New Roman"/>
          <w:sz w:val="18"/>
          <w:szCs w:val="18"/>
          <w:color w:val="auto"/>
        </w:rPr>
        <w:t>We have six processing centers in Europe, five in Asia Pacific and two in North America. We have 34 principal offices in Europe, 12 in Asia Pacific, nine in North America, three in the Middle East, two in South America and one in Africa. Our executive offices are located in Leawood, Kansas, USA. With approximately 71% of our revenues denominated in currencies other than the U.S. dollar, any significant changes in foreign currency exchange rates will likely have a significant impact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 AND CASH FLOW</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5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EFT Processing Segment </w:t>
      </w:r>
      <w:r>
        <w:rPr>
          <w:rFonts w:ascii="Times New Roman" w:cs="Times New Roman" w:eastAsia="Times New Roman" w:hAnsi="Times New Roman"/>
          <w:sz w:val="18"/>
          <w:szCs w:val="18"/>
          <w:color w:val="auto"/>
        </w:rPr>
        <w:t>— Revenues in the EFT Processing Segment, which represented approximately 22% of total consolidated revenues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2017,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epay Segment </w:t>
      </w:r>
      <w:r>
        <w:rPr>
          <w:rFonts w:ascii="Times New Roman" w:cs="Times New Roman" w:eastAsia="Times New Roman" w:hAnsi="Times New Roman"/>
          <w:sz w:val="18"/>
          <w:szCs w:val="18"/>
          <w:color w:val="auto"/>
        </w:rPr>
        <w:t>— Revenues in the epay Segment, which represented approximately 35% of total consolidated revenues for the first quarter of 2017,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derived from commissions or processing fees received from mobile phone operators for the processing and distribution of prepaid mobile airtime and commissions earned from the distribution of other electronic payment products, vouchers, and physical gifts. The proportion of epay Segment revenues earned from the distribution of prepaid mobile phone time as compared with other electronic products has decreased over time, and non-mobile content now produces approximately 66% of epay Segment revenues. Other electronic payment products offered by this segment include digital content such as music, games and software, as well as, other products including prepaid long distance calling card plans, prepaid Internet plans, prepaid debit cards, gift cards, vouchers, transport payments, lottery payments, bill payment, and money transfer. Agreements with mobile operators and prepaid content providers are important to the success of our business and these agreements permit us to distribute prepaid mobile airtime and other electronic payment products to retailers.</w:t>
      </w:r>
    </w:p>
    <w:p>
      <w:pPr>
        <w:spacing w:after="0" w:line="8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Money Transfer Segment </w:t>
      </w:r>
      <w:r>
        <w:rPr>
          <w:rFonts w:ascii="Times New Roman" w:cs="Times New Roman" w:eastAsia="Times New Roman" w:hAnsi="Times New Roman"/>
          <w:sz w:val="18"/>
          <w:szCs w:val="18"/>
          <w:color w:val="auto"/>
        </w:rPr>
        <w:t>— Revenues in the Money Transfer Segment, which represented approximately 43% of total consolidated revenues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2017,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our websites www.riamoneytransfer.com, www.hifx.com, www.hifx.co.uk, www.hifx.com.au, www.imeremit.com, www.xe.com and www.x-rates.com,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had an initial term of three years from the launch date of April 2014, and was renewed for an additional three years until April 2020 and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7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Services, Eliminations and Other </w:t>
      </w:r>
      <w:r>
        <w:rPr>
          <w:rFonts w:ascii="Times New Roman" w:cs="Times New Roman" w:eastAsia="Times New Roman" w:hAnsi="Times New Roman"/>
          <w:sz w:val="18"/>
          <w:szCs w:val="18"/>
          <w:color w:val="auto"/>
        </w:rPr>
        <w:t>- In addition to operating in our principal operating segments described above, our “Corporate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number of ATMs and cash deposit terminals in our independent networks;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transactions processed on our network of owned and operated ATMs and POS devices;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new outsourced ATM and POS terminal management contracts;</w:t>
      </w:r>
    </w:p>
    <w:p>
      <w:pPr>
        <w:spacing w:after="0" w:line="117" w:lineRule="exact"/>
        <w:rPr>
          <w:rFonts w:ascii="Times New Roman" w:cs="Times New Roman" w:eastAsia="Times New Roman" w:hAnsi="Times New Roman"/>
          <w:sz w:val="18"/>
          <w:szCs w:val="18"/>
          <w:color w:val="auto"/>
        </w:rPr>
      </w:pPr>
    </w:p>
    <w:p>
      <w:pPr>
        <w:ind w:left="980" w:right="360" w:hanging="648"/>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value added services and other products offered by our EFT Processing Segment, including the sale of DCC, acquiring and other prepaid card services to banks and retailers;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epay processing network and portfolio of digital content;</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money transfer services, cross-currency payment products and bill payment network;</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cash management solutions and foreign currency risk management services;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our credit and debit card outsourcing business.</w:t>
      </w:r>
    </w:p>
    <w:p>
      <w:pPr>
        <w:spacing w:after="0" w:line="115"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EFT Processing Segment </w:t>
      </w:r>
      <w:r>
        <w:rPr>
          <w:rFonts w:ascii="Times New Roman" w:cs="Times New Roman" w:eastAsia="Times New Roman" w:hAnsi="Times New Roman"/>
          <w:sz w:val="18"/>
          <w:szCs w:val="18"/>
          <w:color w:val="auto"/>
        </w:rPr>
        <w:t>— The continued expansion and development of our EFT Processing Segment business will depend on various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necessarily limited to, the following:</w:t>
      </w:r>
    </w:p>
    <w:p>
      <w:pPr>
        <w:spacing w:after="0" w:line="52" w:lineRule="exact"/>
        <w:rPr>
          <w:sz w:val="20"/>
          <w:szCs w:val="20"/>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by banks and other ATM operators and service providers in our current target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ATM outsourcing services in our current target markets;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or services, including value added services, to drive increases in transactions and revenues;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various business lines in markets where we operate and in new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additional card acceptance and ATM management agreements with banks;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required licenses in markets we intend to enter or expand services;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renew ATM network cash supply agreements with financial institutions;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for expansion;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efficiently to install ATMs contracted under newly awarded outsourcing agreements;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existing contracts at profitable rates;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pricing at current levels or mitigate price reductions in certain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reductions in ATM interchange fees;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sign additional customers for the cross-border merchant processing and acquiring business;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52"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epay Segment </w:t>
      </w:r>
      <w:r>
        <w:rPr>
          <w:rFonts w:ascii="Times New Roman" w:cs="Times New Roman" w:eastAsia="Times New Roman" w:hAnsi="Times New Roman"/>
          <w:sz w:val="18"/>
          <w:szCs w:val="18"/>
          <w:color w:val="auto"/>
        </w:rPr>
        <w:t>— The continued expansion and development of the epay Segment business will depend on various factors, including, but not necessarily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the following:</w:t>
      </w:r>
    </w:p>
    <w:p>
      <w:pPr>
        <w:spacing w:after="0" w:line="52" w:lineRule="exact"/>
        <w:rPr>
          <w:sz w:val="20"/>
          <w:szCs w:val="20"/>
          <w:color w:val="auto"/>
        </w:rPr>
      </w:pPr>
    </w:p>
    <w:p>
      <w:pPr>
        <w:ind w:left="980" w:right="300" w:hanging="648"/>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existing expertise and relationships with mobile operators, digital content providers and retailers to our advantage;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use of third-party providers such as ourselves to supply electronic processing solutions for existing and additional digital content;</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mobile phone networks in the markets in which we do business and the increase in the number of mobile phone users;</w:t>
      </w:r>
    </w:p>
    <w:p>
      <w:pPr>
        <w:spacing w:after="0" w:line="117" w:lineRule="exact"/>
        <w:rPr>
          <w:rFonts w:ascii="Times New Roman" w:cs="Times New Roman" w:eastAsia="Times New Roman" w:hAnsi="Times New Roman"/>
          <w:sz w:val="18"/>
          <w:szCs w:val="18"/>
          <w:color w:val="auto"/>
        </w:rPr>
      </w:pPr>
    </w:p>
    <w:p>
      <w:pPr>
        <w:ind w:left="980" w:right="340" w:hanging="648"/>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pace of growth in the prepaid mobile phone and digital content market, including consumer shifts between prepaid and postpaid services;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share of the retail distribution capacity;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technologies that may compete with POS distribution of prepaid mobile airtime and other products;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commission that is paid to the various intermediaries in the electronic payment distribution chain;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recover monies collected by retailers;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new and differentiated products in addition to those offered by mobile operators;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effectively market additional value added services;</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40"/>
          </w:cols>
          <w:pgMar w:left="240" w:top="121" w:right="3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980" w:right="100" w:hanging="64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cross-selling opportunities with our EFT Processing and Money Transfer Segments, including providing money transfer services through our distribution network; and</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for further expansion.</w:t>
      </w:r>
    </w:p>
    <w:p>
      <w:pPr>
        <w:spacing w:after="0" w:line="3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all of the markets in which we operate, we are experiencing significant competition which will impact the rate at which we may be able to grow organically. Competition among prepaid mobile airtime and digital content distributors results in the increase of commissions paid to retailers and increases in retailer attrition rates. To grow, we must capture market share from other prepaid mobile airtime and digital content distributors, offer a superior product offering and demonstrate the value of a global network. In certain markets in which we operate, many of the factors that may contribute to rapid growth (growth in electronic payment products, expansion of our network of retailers and access to products of mobile operators and other content providers) remain present.</w:t>
      </w:r>
    </w:p>
    <w:p>
      <w:pPr>
        <w:spacing w:after="0" w:line="78"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Money Transfer Segment — </w:t>
      </w:r>
      <w:r>
        <w:rPr>
          <w:rFonts w:ascii="Times New Roman" w:cs="Times New Roman" w:eastAsia="Times New Roman" w:hAnsi="Times New Roman"/>
          <w:sz w:val="18"/>
          <w:szCs w:val="18"/>
          <w:color w:val="auto"/>
        </w:rPr>
        <w:t>The continued expansion and development of our Money Transfer Segment business will depend on various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necessarily limited to, the following:</w:t>
      </w:r>
    </w:p>
    <w:p>
      <w:pPr>
        <w:spacing w:after="0" w:line="52" w:lineRule="exact"/>
        <w:rPr>
          <w:sz w:val="20"/>
          <w:szCs w:val="20"/>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in worker migration and employment opportunities;</w:t>
      </w:r>
    </w:p>
    <w:p>
      <w:pPr>
        <w:spacing w:after="0" w:line="117" w:lineRule="exact"/>
        <w:rPr>
          <w:rFonts w:ascii="Times New Roman" w:cs="Times New Roman" w:eastAsia="Times New Roman" w:hAnsi="Times New Roman"/>
          <w:sz w:val="18"/>
          <w:szCs w:val="18"/>
          <w:color w:val="auto"/>
        </w:rPr>
      </w:pPr>
    </w:p>
    <w:p>
      <w:pPr>
        <w:ind w:left="980" w:right="22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53" w:lineRule="exact"/>
        <w:rPr>
          <w:rFonts w:ascii="Times New Roman" w:cs="Times New Roman" w:eastAsia="Times New Roman" w:hAnsi="Times New Roman"/>
          <w:sz w:val="18"/>
          <w:szCs w:val="18"/>
          <w:color w:val="auto"/>
        </w:rPr>
      </w:pPr>
    </w:p>
    <w:p>
      <w:pPr>
        <w:ind w:left="980" w:right="6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the trend of increased use of electronic money transfer and bill payment services among high-income individuals, immigrant workers and the unbanked population in our markets;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agent and correspondent networks;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and services or develop new products and services at competitive prices to drive increases in transactions;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technologies that may compete with our money transfer network;</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services in markets where we operate and in new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strengthen our brands;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working capital requirements;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from agents funds collected from customers and our ability to recover advances made to correspondents;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regulatory requirements of the jurisdictions in which we operate or plan to operate;</w:t>
      </w:r>
    </w:p>
    <w:p>
      <w:pPr>
        <w:spacing w:after="0" w:line="117" w:lineRule="exact"/>
        <w:rPr>
          <w:rFonts w:ascii="Times New Roman" w:cs="Times New Roman" w:eastAsia="Times New Roman" w:hAnsi="Times New Roman"/>
          <w:sz w:val="18"/>
          <w:szCs w:val="18"/>
          <w:color w:val="auto"/>
        </w:rPr>
      </w:pPr>
    </w:p>
    <w:p>
      <w:pPr>
        <w:ind w:left="980" w:right="18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cross-selling opportunities with the epay Segment, including providing prepaid services through our stores and agents worldwide;</w:t>
      </w:r>
    </w:p>
    <w:p>
      <w:pPr>
        <w:spacing w:after="0" w:line="53" w:lineRule="exact"/>
        <w:rPr>
          <w:rFonts w:ascii="Times New Roman" w:cs="Times New Roman" w:eastAsia="Times New Roman" w:hAnsi="Times New Roman"/>
          <w:sz w:val="18"/>
          <w:szCs w:val="18"/>
          <w:color w:val="auto"/>
        </w:rPr>
      </w:pPr>
    </w:p>
    <w:p>
      <w:pPr>
        <w:ind w:left="980" w:right="8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for further expansion;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banking relationships necessary for us to service our customers;</w:t>
      </w:r>
    </w:p>
    <w:p>
      <w:pPr>
        <w:spacing w:after="0" w:line="117" w:lineRule="exact"/>
        <w:rPr>
          <w:rFonts w:ascii="Times New Roman" w:cs="Times New Roman" w:eastAsia="Times New Roman" w:hAnsi="Times New Roman"/>
          <w:sz w:val="18"/>
          <w:szCs w:val="18"/>
          <w:color w:val="auto"/>
        </w:rPr>
      </w:pPr>
    </w:p>
    <w:p>
      <w:pPr>
        <w:ind w:left="980" w:right="8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agent network in Europe using our payment institution licenses under the Payment Services Directive and in the United States; and</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additional value-added products under the xe brand.</w:t>
      </w:r>
    </w:p>
    <w:p>
      <w:pPr>
        <w:spacing w:after="0" w:line="3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operating income by segment for the three months ended March 31, 2017 and 2016 are summarized in the tables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10"/>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Revenues for the Three Months</w:t>
            </w:r>
          </w:p>
        </w:tc>
        <w:tc>
          <w:tcPr>
            <w:tcW w:w="140" w:type="dxa"/>
            <w:vAlign w:val="bottom"/>
          </w:tcPr>
          <w:p>
            <w:pPr>
              <w:spacing w:after="0"/>
              <w:rPr>
                <w:sz w:val="13"/>
                <w:szCs w:val="13"/>
                <w:color w:val="auto"/>
              </w:rPr>
            </w:pPr>
          </w:p>
        </w:tc>
        <w:tc>
          <w:tcPr>
            <w:tcW w:w="192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2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105,752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86,569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19,183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2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164,169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170,105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2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203,974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181,573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22,401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473,895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438,247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35,648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2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57"/>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gridSpan w:val="4"/>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473,380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437,894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35,486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3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6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Operating Income (Expense) for</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11"/>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the Three Months Ended March</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236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98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(Decrease)Amount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2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13,270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(2,308)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2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6"/>
              </w:rPr>
              <w:t>15,815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(1,894)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2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21,526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4,570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6"/>
              </w:rPr>
              <w:t>50,611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368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2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(971)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57"/>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41,286</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6"/>
              </w:rPr>
              <w:t>41,889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(603)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6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3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changes in foreign currency exchange rates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revenues and local expenses are recorded in the functional currencies of our operating entities and translated into U.S. dollars for financial reporting purposes; therefore, amounts we earn outside the U.S. are negatively impacted by a stronger U.S. dollar and positively impacted by a weaker U.S. dollar. On average, the U.S. dollar was stronger in the first quarter of 2017 than the same period of 2016 compared to currencies of most markets in which we operate. Considering the results by country and the associated functional currency, we estimate that our reported consolidated revenue and operating income for the first quarter of 2017 was 2% less due to the changes in foreign currency exchange rates when compared to the same period of 2016.</w:t>
      </w:r>
    </w:p>
    <w:p>
      <w:pPr>
        <w:spacing w:after="0" w:line="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Average Translation Rate</w:t>
            </w:r>
          </w:p>
        </w:tc>
        <w:tc>
          <w:tcPr>
            <w:tcW w:w="10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20" w:type="dxa"/>
            <w:vAlign w:val="bottom"/>
            <w:gridSpan w:val="4"/>
          </w:tcPr>
          <w:p>
            <w:pPr>
              <w:jc w:val="right"/>
              <w:ind w:right="452"/>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9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63"/>
        </w:trPr>
        <w:tc>
          <w:tcPr>
            <w:tcW w:w="39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Currency (dollars per foreign currency)</w:t>
            </w:r>
          </w:p>
        </w:tc>
        <w:tc>
          <w:tcPr>
            <w:tcW w:w="3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Australian dollar</w:t>
            </w:r>
          </w:p>
        </w:tc>
        <w:tc>
          <w:tcPr>
            <w:tcW w:w="3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0.7580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0.7221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British pound</w:t>
            </w:r>
          </w:p>
        </w:tc>
        <w:tc>
          <w:tcPr>
            <w:tcW w:w="3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1.2390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1.4327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3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1.1038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Hungarian forint</w:t>
            </w:r>
          </w:p>
        </w:tc>
        <w:tc>
          <w:tcPr>
            <w:tcW w:w="3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0.0035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0.0035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Indian rupee</w:t>
            </w:r>
          </w:p>
        </w:tc>
        <w:tc>
          <w:tcPr>
            <w:tcW w:w="3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0.0149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0.0148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Malaysian ringgit</w:t>
            </w:r>
          </w:p>
        </w:tc>
        <w:tc>
          <w:tcPr>
            <w:tcW w:w="3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0.2250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0.2388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Zealand dollar</w:t>
            </w:r>
          </w:p>
        </w:tc>
        <w:tc>
          <w:tcPr>
            <w:tcW w:w="3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0.7113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0.6641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Polish zloty</w:t>
            </w:r>
          </w:p>
        </w:tc>
        <w:tc>
          <w:tcPr>
            <w:tcW w:w="3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0.2467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0.2532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594"/>
        </w:trPr>
        <w:tc>
          <w:tcPr>
            <w:tcW w:w="3920" w:type="dxa"/>
            <w:vAlign w:val="bottom"/>
          </w:tcPr>
          <w:p>
            <w:pPr>
              <w:spacing w:after="0"/>
              <w:rPr>
                <w:sz w:val="24"/>
                <w:szCs w:val="24"/>
                <w:color w:val="auto"/>
              </w:rPr>
            </w:pPr>
          </w:p>
        </w:tc>
        <w:tc>
          <w:tcPr>
            <w:tcW w:w="320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THREE MONTHS ENDED MARCH 31, 2017 AND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months ended March 31, 2017 and 2016 for our EFT Processing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92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7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7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9"/>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105,752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86,569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19,183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62,073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15,326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2,340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888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2,937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94,790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73,299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21,491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97"/>
        </w:trPr>
        <w:tc>
          <w:tcPr>
            <w:tcW w:w="710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10,962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13,270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ATMs as of March 31,</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35,145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24,761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10,384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ATMs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34,578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10,103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7"/>
        </w:trPr>
        <w:tc>
          <w:tcPr>
            <w:tcW w:w="7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EFT Processing Segment total revenues for the three months ended March 31, 2017 were $105.8 million, an increase of $19.2 million or 22% as compared to the same period in 2016. The increase in total revenues for the three months ended March 31, 2017 was primarily due to an increase in the number of ATMs under management in Europe. Specifically, the increase in the number of ATMs contributed to increases in the number of transactions processed, including dynamic currency conversion ("DCC") transactions. The acquisition of YourCash, completed during the fourth quarter of 2016, also contributed to the increase in total revenues for the quarter. The increase was partially offset by the cash shortage due to the demonetization initiated in the fourth quarter of 2016 in India where we have increased the number of ATMs under management and the impact of the U.S. dollar strengthening against key foreign currencies. Foreign currency movements reduced total revenues by approximately $3.0 million for the three months ended March 31, 2017 as compared to the same period in 2016.</w:t>
      </w:r>
    </w:p>
    <w:p>
      <w:pPr>
        <w:spacing w:after="0" w:line="7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Average monthly revenues per ATM were $1,019 for the three months ended March 31, 2017 compared to $1,179 for the three months ended March 31, 2016. The decrease was primarily due to the cash shortage and the addition of approximately 3,000 low-margin ATMs in India. Revenues per transaction were $0.20 for both the first quarter of 2017 and 2016. The revenue growth from DCC, which earns higher revenues per transaction than other ATM or card based services, was largely offset by the impact of the low margin ATM transactions in India.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EFT Processing Segment direct operating costs were $62.1 million for the three months ended March 31, 2017, an increase of $15.3 million or 33% as compared to the same period in 2016. Direct operating costs in the EFT Processing Segment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The increase in direct operating costs for the three months ended March 31, 2017 was primarily due to an increase in the number of ATMs under management, particularly our independent ATM network which has more seasonal revenue generation, and the impact of our acquisition of YourCash, partly offset by the impact of the U.S. dollar strengthening against key foreign currencies.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Gross profit, which is calculated as revenues less direct operating costs, was $43.7 million for the three months ended March 31, 2017 compared to $39.8 million for the three months ended March 31, 2016. The increase in gross profit was primarily due to the growth in revenues from the increase in ATMs under management and DCC transactions processed. Gross profit as a percentage of revenues (“gross margin”) was 41.3% for the three months ended March 31, 2017 compared to 46.0% for the three months ended March 31, 2016. The decrease in gross profit as a percentage of revenue was primarily due to increased operating costs due to the expansion of our ATM network, which includes fixed costs for our independent ATMs and increased site rental cost as we negotiate new locations and contracts, along with ATM growth in the India market where we earn lower revenue per transaction and have experienced a cash shortage due to the demonetization initiative in the region.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Salaries and benefits increased $2.3 million or 21% for the three months ended March 31, 2017 compared to the same period in 2016. The increase in salaries and benefits was primarily attributable to additional headcount to support an increase in the number of ATMs and POS devices under management. As a percentage of revenues, these costs were essentially flat at 13.0% for the first quarter of 2017 compared to 13.2% for the first quarter of 2016.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2017 were $7.2 million, an increase of $0.9 million or 14% as compared to the same period in 2016. The increase was primarily due to the impact of our acquisition of YourCash. As a percentage of revenues, selling, general and administrative expenses were 6.8% for the first quarter of 2017 compared to 7.3% for the first quarter of 2016, which was primarily due to the growth in revenues earned from DCC and other value added service transactions on our ATMs under management, which require minimal incremental support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$2.9 million for the three months ended March 31, 2017 compared to the same period in 2016. The increase was primarily attributable to the deployment of additional ATMs under management, including more expensive cash recycling ATMs, software assets, and the amortization of intangible assets related to the acquisition of YourCash. As a percentage of revenues, depreciation and amortization expense increased to 11.1% for the first quarter of 2017 compared to 10.2% for the same period of 2016.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EFT Processing Segment operating income for the three months ended March 31, 2017 was $11.0 million, a decrease of $2.3 million or 17% as compared to the same period of 2016. EFT Processing Segment operating income for the three months ended March 31, 2017 decreased due to increased operating costs from the expansion of our ATM network and the impact of low margin ATM transactions and the cash shortage in India. The decrease in operating income was partly offset by the impact of the YourCash acquisition and growth in revenues earned from DCC and other value added service transactions.</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Operating income as a percentage of revenues (“operating margin”) was 10.4% for the first quarter of 2017 compared to 15.3% for the first quarter of 2016. Operating income per transaction was $0.02 for the first quarter of 2017 and $0.03 for the first quarter of 2016. The decrease in operating margin and operating income per transaction was attributable to expenses incurred to support the increased revenues and additional ATMs under management, particularly our independent ATMs which have more seasonal revenue generation, and the impact of low margin ATM transactions in India.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months ended March 31, 2017 and 2016 for our epay Segment: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920" w:type="dxa"/>
            <w:vAlign w:val="bottom"/>
            <w:gridSpan w:val="3"/>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7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7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9"/>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164,169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170,105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126,160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12,595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8,959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150,248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154,290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97"/>
        </w:trPr>
        <w:tc>
          <w:tcPr>
            <w:tcW w:w="710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13,921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15,815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7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epay Segment total revenues for the three months ended March 31, 2017 were $164.2 million, a decrease of $5.9 million or 3% as compared to the same period in 2016. The decrease in total revenues for the three months ended March 31, 2017 was primarily due to a decrease in prepaid mobile transactions processed in the U.S. and U.K. due to competitive pressures on prepaid mobile carriers and the impact of the U.S. dollar strengthening against key foreign currencies. Foreign currency movements reduced total revenues by approximately $3.9 million for the three months ended March 31, 2017 compared to the same period in 2016. The decrease was partially offset by the transaction growth of non-mobile products processed in Germany and Poland. For the three months ended March 31, 2017, the decreased revenues were also the result of high promotional revenues for non-mobile transactions in a particular market during the prior period which did not recur in current period.</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Revenues per transaction were $0.53 for both the first quarter of 2017 and 2016. The revenue growth from non-mobile transactions processed, for which we generally earn higher revenues per transaction than mobile transactions, was offset by the impact of the U.S. dollar strengthening against key foreign currencies.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epay Segment direct operating costs were $126.2 million for the three months ended March 31, 2017, a decrease of $4.0 million or 3% as compared to the same period in 2016. Direct operating costs in our epay Segment include the commissions we pay to retail merchants for the distribution and sale of prepaid mobile airtime and other prepaid products, expenses required to operate POS terminals and the cost of vouchers sold and physical gifts fulfilled. The decrease in direct operating costs for the three months ended March 31, 2017 was primarily due to the net impact of the U.S. dollar strengthening against key foreign currencies and the decrease in prepaid mobile transactions processed in the U.S. and U.K. The decrease was partly offset by additional cost to support the transaction growth of our non-mobile products in Germany.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Gross profit was $38.0 million for the three months ended March 31, 2017, as compared to $39.9 million for the three months ended March 31, 2016. The decrease in gross profit was due to the net impact of the U.S. dollar strengthening against key foreign currencies and a decrease in promotional activities for non-mobile transactions processed in a particular market.</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2017, the gross margin was essentially flat compared to the same period in the prior year. Gross margin was 23.2% for the three months ended March 31, 2017 compared to 23.5% for the same period in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Salaries and benefits expense increased slightly for the three months ended March 31, 2017 compared to the same period in 2016. This was primarily due to the increase in salaries, benefits and bonus expense, which was mainly driven by higher headcount in an effort to grow the segment. As a percentage of revenues, salaries and benefits increased to 7.7% for the three months ended March 31, 2017, compared to 7.1% for the same period in 2016, primarily due to headcount growth exceeding transaction growth.</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$9.0 million for both the three months ended March 31, 2017 and 2016. Selling, general and administrative expenses was relatively flat due to management of costs, partly offset by increased promotional cost for our non-mobile products in Germany. As a percentage of revenues, selling, general and administrative expenses were 5.5% for the three months ended March 31, 2017 compared to 5.3% for the same period in 2016.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primarily represents depreciation of POS terminals we place in retail stores and the amortization of acquired intangible assets. Depreciation and amortization expense decreased slightly for the three months ended March 31, 2017 compared to the same period in 2016. As a percentage of revenues, depreciation and amortization expense was 1.5% and 1.8% for the three months ended March 31, 2017 and 2016,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epay Segment operating income for the three months ended March 31, 2017 was $13.9 million, a decrease of $1.9 million as compared to the same period in 2016. epay Segment operating income decreased as the result of additional cost to support the transaction growth of our non-mobile products in Germany and a decrease in promotional revenues for non-mobile transactions processed in a particular market.</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margin decreased to 8.5% for the three months ended March 31, 2017, from 9.3% for the same period in 2016. Operating income per transaction was $0.05 for both the three months ended March 31, 2017 and 2016. Revenues per transaction remained constant for the three months ended March 31, 2017 as compared to the same period in 2016 despite the decrease in the number of transactions due to the increase in the number of non-mobile transactions processed, for which we generally earn higher revenues per transaction than mobile transactions.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months ended March 31, 2017 and 2016 for the Money Transfer Segment: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920" w:type="dxa"/>
            <w:vAlign w:val="bottom"/>
            <w:gridSpan w:val="3"/>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7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7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9"/>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203,974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181,573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22,401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108,885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95,070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13,815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3"/>
        </w:trPr>
        <w:tc>
          <w:tcPr>
            <w:tcW w:w="7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38,889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36,843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2,046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2,000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7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7,290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177,878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160,047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17,831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97"/>
        </w:trPr>
        <w:tc>
          <w:tcPr>
            <w:tcW w:w="712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26,096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21,526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4,570</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7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7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Money Transfer Segment total revenues for the three months ended March 31, 2017 were $204.0 million, an increase of $22.4 million or 12% as compared to the same period in 2016. The increase in total revenues for the three months ended March 31, 2017 was primarily due to increases in the number of money transfers processed, driven by growth in our U.S. and foreign agent and correspondent payout networks. Our domestic Walmart-2-Walmart money transfer service and organic growth accounted for a significant portion of the growth during these periods. The increase was partly offset by the U.S. dollar strengthening against key foreign currencies.</w:t>
      </w:r>
    </w:p>
    <w:p>
      <w:pPr>
        <w:spacing w:after="0" w:line="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Revenues per transaction increased to $9.85 for the three months ended March 31, 2017 compared to $9.71 for the three months ended March 31, 2016. The increase was primarily due to taking over the processing of xe money transfers from a third party in the fourth quarter of 2016 and subsequently recording the full customer fees as revenues.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Money Transfer Segment direct operating costs were $108.9 million for the three months ended March 31, 2017, an increase of $13.8 million or 15% as compared to the same period in 2016.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for the three months of 2017 was primarily due to growth in the number of money transfer transactions processed in both the U.S. and foreign markets.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Gross profit was $95.1 million for the three months ended March 31, 2017 as compared to $86.5 million for the three months ended March 31, 2016. The increase in gross profit was primarily due to growth in the number of money transfer transactions processed in both the U.S. and foreign markets.</w:t>
      </w:r>
    </w:p>
    <w:p>
      <w:pPr>
        <w:spacing w:after="0" w:line="5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2017, gross margin decreased to 46.6% for the three months ended March 31, 2017, compared to 47.6% for the three months ended March 31, 2016. The decrease is primarily due to the growth of our Walmart money transfer product in the U.S., which earns a lower gross profit per transaction than other money transfer services.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Salaries and benefits increased $2.0 million or 6% for the three months ended March 31, 2017 as compared to the same period in 2016. The increase in salaries and benefits was primarily due to the expansion of our operations in foreign markets. As a percentage of revenues, salaries and benefits improved to 19.1% for the first quarter compared to 20.3% for the first quarter of 2016. The decrease is primarily due to the increases in the number of money transfers processed, and the transaction growth exceeding headcount growth.</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2017 were $22.8 million, an increase of $2.0 million or 10% as compared to the same period in 2016. The increase was primarily due to expenses incurred to support the expansion of our money transfer products in both the U.S. and foreign markets.</w:t>
      </w:r>
    </w:p>
    <w:p>
      <w:pPr>
        <w:spacing w:after="0" w:line="6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a percentage of revenues, selling, general and administrative expenses decreased to 11.2% for the three months ended March 31, 2017, compared to11.5% for the same period of 2016. The decrease was primarily due to increases in the number of money transfers processed, which did not require similar increases in support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Depreciation and amortization primarily represents amortization of acquired intangible assets and depreciation of money transfer terminals, computers and software, leasehold improvements and office equipment. Depreciation and amortization expense was essentially flat for the three months ended March 31, 2017 as compared to the same period in 2016.</w:t>
      </w:r>
    </w:p>
    <w:p>
      <w:pPr>
        <w:spacing w:after="0" w:line="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a percentage of revenues, depreciation and amortization expense was 3.6% for the first quarter of 2017 as compared to 4.0% for the same period of 2016. The decrease was primarily due to the effect of revenues earned from our Walmart money transfer product, which requires less capital investment than other money transfer products.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Money Transfer Segment operating income for the three months ended March 31, 2017 was $26.1 million, an increase of $4.6 million or 21% as compared to the same period of 2016. Money Transfer Segment operating income for the three months ended March 31, 2017 increased primarily due to the growth in the number of money transfers processed. The increase was partly offset by the additional salaries and benefits and other costs incurred to support the growth in the business.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percentage of revenues, operating margin was 12.8% for the three months ended March 31, 2017 as compared to 11.9% for the same period in 2016. Operating income per transaction was $1.26 for the three months ended March 31, 2017, as compared to $1.15 for the same period in 2016. Operating margin and operating income per transaction improved for the three months ended March 31, 2017 primarily due to the increases in the number of money transfers processed partially offset by the additional salaries and benefits and other costs incurred to support the growth in the business.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operating expenses for the three months ended March 31, 2017 and 2016 for Corporate Services: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92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7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7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6,633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1"/>
                <w:szCs w:val="21"/>
                <w:color w:val="auto"/>
              </w:rPr>
            </w:pPr>
          </w:p>
        </w:tc>
        <w:tc>
          <w:tcPr>
            <w:tcW w:w="7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3,032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1,257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7"/>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9,693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8,722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971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operating expenses</w:t>
      </w:r>
    </w:p>
    <w:p>
      <w:pPr>
        <w:spacing w:after="0" w:line="119"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Overall, operating expenses for Corporate Services were $9.7 million for the three months ended March 31, 2017, an increase of 11% as compared to the same period in 2016. The decrease in salaries and benefits was primarily due to an decrease in bonus expense related to the Company's performance. The increase in selling, general and administrative expenses was primarily attributable to professional services and other costs in connection with the proposed acquisition of MoneyGram International, Inc.</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920" w:type="dxa"/>
            <w:vAlign w:val="bottom"/>
            <w:gridSpan w:val="3"/>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7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7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718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gain,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gains</w:t>
            </w:r>
          </w:p>
        </w:tc>
        <w:tc>
          <w:tcPr>
            <w:tcW w:w="24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040" w:type="dxa"/>
            <w:vAlign w:val="bottom"/>
          </w:tcPr>
          <w:p>
            <w:pPr>
              <w:jc w:val="right"/>
              <w:ind w:right="16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0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three months ended March 31, 2017 compared to the same period in 2016 was primarily due to an increase in interest earned on a tax refund received in India.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for the three months ended March 31, 2017 compared to the same period in 2016 was primarily related to higher interest rates and additional borrowings under the revolving credit facility throughout the quarter to fund the operating cash for our Independent ATM Deployed (“IAD”) networks.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gain, net</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recorded net foreign currency exchange gains of $1.7 million and $2.2 million for the three months ended March 31, 2017 and 2016, respectively. These realized and unrealized net foreign currency exchange gains reflect the fluctuation in the value of the U.S. dollar against the currencies of the countries in which we operated during the respective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Company's effective income tax rate was 24.2% and 23.9% for the three months ended </w:t>
      </w:r>
      <w:r>
        <w:rPr>
          <w:rFonts w:ascii="Times New Roman" w:cs="Times New Roman" w:eastAsia="Times New Roman" w:hAnsi="Times New Roman"/>
          <w:sz w:val="18"/>
          <w:szCs w:val="18"/>
          <w:color w:val="252525"/>
        </w:rPr>
        <w:t>March 31, 2017</w:t>
      </w:r>
      <w:r>
        <w:rPr>
          <w:rFonts w:ascii="Times New Roman" w:cs="Times New Roman" w:eastAsia="Times New Roman" w:hAnsi="Times New Roman"/>
          <w:sz w:val="18"/>
          <w:szCs w:val="18"/>
          <w:color w:val="auto"/>
        </w:rPr>
        <w:t xml:space="preserve"> and 2016, respectively. The Company's effective income tax rates for the three months ended March 31, 2017 and 2016 were lower than the applicable statutory income tax rate of 35% primarily because of the Company's U.S. income tax positions. The Company does not have a history of significant taxable income in the U.S.; therefore, the Company has recorded a valuation allowance against its net U.S. deferred tax assets. Accordingly, in instances when the Company's U.S. legal entities generate pre-tax U.S. GAAP income, no income tax expense is recognized to the extent there are net operating loss carryforwards to offset the pre-tax U.S. GAAP income. There was no material change in effective tax rate for the three months ended </w:t>
      </w:r>
      <w:r>
        <w:rPr>
          <w:rFonts w:ascii="Times New Roman" w:cs="Times New Roman" w:eastAsia="Times New Roman" w:hAnsi="Times New Roman"/>
          <w:sz w:val="18"/>
          <w:szCs w:val="18"/>
          <w:color w:val="252525"/>
        </w:rPr>
        <w:t>March 31, 2017</w:t>
      </w:r>
      <w:r>
        <w:rPr>
          <w:rFonts w:ascii="Times New Roman" w:cs="Times New Roman" w:eastAsia="Times New Roman" w:hAnsi="Times New Roman"/>
          <w:sz w:val="18"/>
          <w:szCs w:val="18"/>
          <w:color w:val="auto"/>
        </w:rPr>
        <w:t xml:space="preserve"> compared to the same period in 2016.</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represents the elimination of net income or loss attributable to the minority shareholders’ portion of the following consolidated subsidiaries that are not wholly owned: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vMerge w:val="restart"/>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 - Country</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Movilcarga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epay - Spain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Euronet China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Euronet Pakistan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EFT - Pakistan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Universal Solution Providers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EFT - UAE</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EURONET</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income attributable to Euronet was $28.1 million for the three months ended March 31, 2017, a decrease of $1.0 million as compared to the same period in 2016. The decrease in net income was primarily due to a decrease in operating income of $0.6 million, a decrease of $0.5 million in net foreign currency exchange gains and an increase in interest expense of $0.9 million. The decrease was partly offset by a decrease in income tax expense of $0.2 million and an increase in interest income of $0.7 million.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March 31, 2017 and December 31, 2016, we had working capital, which is calculated as the difference between total current assets and total current liabilities, of $437.8 million and $405.9 million, respectively. Our ratio of current assets to current liabilities at March 31, 2017 and December 31, 2016 was 1.43 and 1.34, respectively.</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require substantial working capital to finance operations. In the Money Transfer Segment, we fund the payout of the majority of our consumer-to-consumer money transfer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the majority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facility and cash flows from operations. As of March 31, 2017, we had approximately $346 million of our own cash in use or designated for use in our ATM network, which is recorded in cash and cash equivalents and trade accounts receivable, for ATM withdrawals pending settlement, on the Consolidated Balance Sheet.</w:t>
      </w:r>
    </w:p>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had cash and cash equivalents of $763.6 million at March 31, 2017, of which $651.7 million was held outside of the United States and is expected to be indefinitely reinvested for continued use in foreign operations. Repatriation of these assets to the U.S. could have negative tax consequences.</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identifies cash and cash equivalents provided by/(used in) our operating, investing and financing activities for the three month periods ended March 31, 2017 and 2016 (in thousands):</w:t>
      </w:r>
    </w:p>
    <w:p>
      <w:pPr>
        <w:spacing w:after="0" w:line="218"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50,831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104,613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(18,903)</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10,558</w:t>
            </w:r>
          </w:p>
        </w:tc>
      </w:tr>
      <w:tr>
        <w:trPr>
          <w:trHeight w:val="25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29,173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91,014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activity cash flow</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were $50.8 million for the first quarter of 2017 compared to $104.6 million for the first quarter of 2016. The decrease is primarily due to fluctuations in working capital mainly associated with the timing of the settlement processes with content providers in the epay Segment and with correspondents in the Money Transfer Segment, partly offset by improved operating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activity cash flow</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Cash flows used in investing activities were $23.9 million for the first quarter of 2017 compared to $18.9 million for the first quarter of 2016. The increase is primarily due to increased capital expenditures related to our ATM network expansion. During the first quarter of 2017, we used $22.7 million for purchases of property and equipment compared to $17.4 million during the first quarter of 2016. Cash used for software development and other investing activities totaled $1.3 million and $1.4 million for the first quarter of 2017 and 2016, respectively.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activity cash flow</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Cash flows used in financing activities were $6.4 million for the first quarter of 2017 compared to $5.3 million for the first quarter of 2016. Our financing activities for the first quarter of 2017 consisted of net repayments of $5.4 million compared to net debt borrowings of $69.5 million for the first quarter of 2016. Additionally, we used $1.2 million and $0.6 million during the first quarter of 2017 and 2016, respectively, for capital lease repayments. We repurchased $2.2 million and $76.4 million of our stock during the first quarter of 2017 and 2016, respectively. During the first quarter of 2017, we paid $2.2 million for the amount of payroll taxes represented by the common stock withheld on restricted stock vestings and stock option exercises compared to $0.8 million for the same period of 2016. We received proceeds from stock option exercises of $2.1 million and $2.0 million for the first quarter of 2017 and 2016,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sources of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1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of March 31, 2017, we had a $675 million senior secured credit facility that matures on April 9, 2019 (the "Credit Facility") consisting of a $590 million revolving credit facility, a $10 million India revolving credit facility and a $75 million term loan ("Term Loan A"), which has been reduced to $58.1 million through principal amortization payments. The revolving credit facility allows for borrowings in U.S. dollars, euros, British pounds, Australian dollars and/or Indian rupees and contains a $200 million sublimit for the issuance of letters of credit and a $25 million sublimit for swingline loans. 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working capital needs.</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March 31, 2017, fees and interest on borrowings varied based upon the Company's consolidated total leverage ratio (as defined in the Company's Amended and Restated Credit Agreement) (the "Credit Agreement")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March 31, 2017, we had borrowings of $58.1 million outstanding under the term loan. We had $159.5 million of borrowings and $46.3 million of stand-by letters of credit outstanding under the revolving credit facility as of March 31, 2017. The remaining $394.2 million under the revolving credit facility was available for borrowing. As of March 31, 2017, the weighted average interest rates under the revolving credit facility and Term Loan A were 2.21% and 2.36%, respectively, excluding amortization of deferred financing costs.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Convertible debt</w:t>
      </w:r>
      <w:r>
        <w:rPr>
          <w:rFonts w:ascii="Times New Roman" w:cs="Times New Roman" w:eastAsia="Times New Roman" w:hAnsi="Times New Roman"/>
          <w:sz w:val="18"/>
          <w:szCs w:val="18"/>
          <w:color w:val="auto"/>
        </w:rPr>
        <w:t xml:space="preserve"> — We have $402.5 million in principal amount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Other debt obligations</w:t>
      </w:r>
      <w:r>
        <w:rPr>
          <w:rFonts w:ascii="Times New Roman" w:cs="Times New Roman" w:eastAsia="Times New Roman" w:hAnsi="Times New Roman"/>
          <w:sz w:val="18"/>
          <w:szCs w:val="18"/>
          <w:color w:val="auto"/>
        </w:rPr>
        <w:t xml:space="preserve"> - Certain of our subsidiaries also have available credit lines and overdraft facilities to generally supplement short-term working capital requirements. As of March 31, 2017, there was $21.5 million outstanding under these other obligation arrangements. Short-term debt obligations as of March 31, 2017 were primarily comprised of $20.8 million due in the next twelve months under these other obligation arrangements and $9.4 million of payments due in the next twelve months under the Term Loan 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uses of capital</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Capital expenditures and needs</w:t>
      </w:r>
      <w:r>
        <w:rPr>
          <w:rFonts w:ascii="Times New Roman" w:cs="Times New Roman" w:eastAsia="Times New Roman" w:hAnsi="Times New Roman"/>
          <w:sz w:val="18"/>
          <w:szCs w:val="18"/>
          <w:color w:val="auto"/>
        </w:rPr>
        <w:t xml:space="preserve"> - Total capital expenditures, including capital lease expenditures, for the first quarter of 2017 were $25.1 million. These capital expenditures were made primarily for the purchase of ATMs to expand our independent ATM network in Europe, the purchase and installation of ATMs in key under-penetrated markets, the purchase of POS terminals for the epay and Money Transfer Segments, and office, data center and company store computer equipment and software. Total capital expenditures for 2017 are currently estimated to range from approximately $90 million to $100 million.</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current and projected cash flow levels, we anticipate that cash generated from operations, together with cash on hand and amounts available under our revolving credit facility and other existing and potential future financing sources,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functional currencies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2017, there were no material changes from the disclosure in our Annual Report on Form 10-K for the year ended December 31, 2016. To date, we are not aware of any significant claims made by the indemnified parties or parties to whom we have provided guarantees on behalf of our subsidiaries and, accordingly, no liabilities have been recorded as of March 31, 2017. See also Note 11,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March 31, 2017, our future contractual obligations have not changed significantly from the amounts reported within our 2016 Form 10-K, other than those resulting from changes in the amount of outstanding debt discussed in the Liquidity and Capital Resources section.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42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i w:val="1"/>
          <w:iCs w:val="1"/>
          <w:color w:val="auto"/>
        </w:rPr>
        <w:t>Interest rate risk</w:t>
      </w:r>
    </w:p>
    <w:p>
      <w:pPr>
        <w:ind w:right="40"/>
        <w:spacing w:after="0" w:line="255" w:lineRule="auto"/>
        <w:rPr>
          <w:sz w:val="20"/>
          <w:szCs w:val="20"/>
          <w:color w:val="auto"/>
        </w:rPr>
      </w:pPr>
      <w:r>
        <w:rPr>
          <w:rFonts w:ascii="Times New Roman" w:cs="Times New Roman" w:eastAsia="Times New Roman" w:hAnsi="Times New Roman"/>
          <w:sz w:val="18"/>
          <w:szCs w:val="18"/>
          <w:color w:val="auto"/>
        </w:rPr>
        <w:t>As of March 31, 2017, our total debt outstanding was $600.1 million. Of this amount, $361.0 million, net of debt discounts, or 60% of our total debt obligations, relates to our Convertible Notes that have a fixed coupon rate. Our $402.5 million principal amount of Convertible Notes, issued in October 2014, accrue cash interest at a rate of 1.5% of the principal amount per annum. Based on quoted market prices, as of March 31, 2017, the fair value of our fixed rate Convertible Notes was $526.6 million, compared to a carrying value of $361.0 million. Interest expense for these notes, including accretion and amortization of deferred debt issuance costs, has a weighted average interest rate of 4.7% annually. Additionally, $217.6 million, or 36% of our total debt obligations, relates to debt borrowings under our Credit Facility. If we were to maximize the potential borrowings available under the revolving credit facility and maintain these borrowings for one year, a 1% (100 basis points) increase in the applicable interest rate would result in additional annual interest expense to the Company of approximately $6.1 million.</w:t>
      </w:r>
    </w:p>
    <w:p>
      <w:pPr>
        <w:spacing w:after="0" w:line="7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remaining $21.5 million, or 4%, of our total debt obligations, is related to borrowings by certain subsidiaries to fund, from time to time, working capital requirements. These arrangements generally are due within one year and accrue interest at variable rates.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Additionally, as of March 31, 2017, we had approximately $12.6 million of capitalized leases with fixed payment and interest terms that expire between 2017 and 2021.</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the first quarter of 2017, approximately 71% of our revenues were generated in non-U.S. dollar countries and we expect to continue generating a significant portion of our revenues in countries with currencies other than the U.S. dollar.</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March 31, 2017, we estimate that a 10% fluctuation in these foreign currency exchange rates would have the combined annualized effect on reported net income and working capital of approximately $75 million to $80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w:t>
      </w:r>
    </w:p>
    <w:p>
      <w:pPr>
        <w:spacing w:after="0" w:line="8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$95 million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as a result of the change in value of these items during translation to the U.S. dollar. For the fluctuations described above, a strengthening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produces a financial loss, while a weakening U.S. dollar produces a financial gain.</w:t>
      </w:r>
    </w:p>
    <w:p>
      <w:pPr>
        <w:spacing w:after="0" w:line="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is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majority of our consumer-to-consumer money transfer operations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gain, net on Consolidated Statements of Income. As of March 31, 2017, we had foreign currency derivative contracts outstanding with a notional value of $211 million, primarily in Australian dollars, British pounds, Canadian dollars, euros and Mexican pesos, that were not designated as hedges and mature within a few days.</w:t>
      </w:r>
    </w:p>
    <w:p>
      <w:pPr>
        <w:spacing w:after="0" w:line="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derivative instruments our HiFX operations write for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March 31, 2017, we held foreign currency derivative contracts outstanding with a notional value of $1.3 billion, primarily in U.S. dollars, euros, British pounds, Australian dollars and New Zealand dollars, that were not designated as hedges and for which the majority mature within the next twelve months.</w:t>
      </w:r>
    </w:p>
    <w:p>
      <w:pPr>
        <w:spacing w:after="0" w:line="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use longer-term foreign currency forward contracts to mitigate risks associated with changes in foreign currency exchange rates on certain foreign currency denominated other asset and liability positions. As of March 31, 2017, the Company had foreign currency forward contracts outstanding with a notional value of $86 million, primarily in British pounds, euros and Polish zloty.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Derivative Instruments and Hedging Activities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March 31, 2017.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Internal Controls</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internal control over financial reporting during the three months ended March 31, 2017 that have materially affected, or are reasonably likely to materially affect, our internal control over financial reporting.</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discussion regarding contingencies in Part I, Item 1 — Financial Statements (unaudited), Note 12, Litigation and Contingencies, to the unaudited consolidated financial statements in this report is incorporated herein by reference.</w:t>
      </w:r>
    </w:p>
    <w:p>
      <w:pPr>
        <w:spacing w:after="0" w:line="54"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7"/>
          <w:szCs w:val="17"/>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52525"/>
        </w:rPr>
        <w:t xml:space="preserve">There were no material changes to the risk factors previously disclosed in our Annual Report on Form 10-K for the year ended </w:t>
      </w:r>
      <w:r>
        <w:rPr>
          <w:rFonts w:ascii="Times New Roman" w:cs="Times New Roman" w:eastAsia="Times New Roman" w:hAnsi="Times New Roman"/>
          <w:sz w:val="18"/>
          <w:szCs w:val="18"/>
          <w:color w:val="000000"/>
        </w:rPr>
        <w:t>December 31, 2016, as filed</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with the SEC.</w:t>
      </w:r>
    </w:p>
    <w:p>
      <w:pPr>
        <w:spacing w:after="0" w:line="200" w:lineRule="exact"/>
        <w:rPr>
          <w:sz w:val="20"/>
          <w:szCs w:val="20"/>
          <w:color w:val="auto"/>
        </w:rPr>
      </w:pPr>
    </w:p>
    <w:p>
      <w:pPr>
        <w:spacing w:after="0" w:line="22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240" w:top="121" w:right="4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53"/>
        </w:trPr>
        <w:tc>
          <w:tcPr>
            <w:tcW w:w="1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Euronet Worldwide, Inc. (as amended February 22, 2017) (filed as Exhibit 3.2 to the Company's Form 8-K</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filed on February 28, 2017 and incorporated herein by reference)</w:t>
            </w: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3"/>
                <w:szCs w:val="23"/>
                <w:color w:val="auto"/>
              </w:rPr>
            </w:pPr>
          </w:p>
        </w:tc>
        <w:tc>
          <w:tcPr>
            <w:tcW w:w="10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302</w:t>
            </w:r>
          </w:p>
        </w:tc>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302</w:t>
            </w:r>
          </w:p>
        </w:tc>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Certification of Chief Financial Officer</w:t>
            </w: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906</w:t>
            </w:r>
          </w:p>
        </w:tc>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906</w:t>
            </w:r>
          </w:p>
        </w:tc>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Certification of Chief Financial Officer</w:t>
            </w:r>
          </w:p>
        </w:tc>
      </w:tr>
      <w:tr>
        <w:trPr>
          <w:trHeight w:val="252"/>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0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following materials from Euronet Worldwide, Inc.’s Quarterly Report on Form 10-Q for the quarter ended March 31, 2017, formatted in</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(eXtensible Business Reporting Language): (i) Consolidated Balance Sheets at March 31, 2017 (unaudited) and December 31, 2016,</w:t>
            </w:r>
          </w:p>
        </w:tc>
      </w:tr>
    </w:tbl>
    <w:p>
      <w:pPr>
        <w:ind w:left="1180" w:right="280"/>
        <w:spacing w:after="0" w:line="253" w:lineRule="auto"/>
        <w:rPr>
          <w:sz w:val="20"/>
          <w:szCs w:val="20"/>
          <w:color w:val="auto"/>
        </w:rPr>
      </w:pPr>
      <w:r>
        <w:rPr>
          <w:rFonts w:ascii="Times New Roman" w:cs="Times New Roman" w:eastAsia="Times New Roman" w:hAnsi="Times New Roman"/>
          <w:sz w:val="18"/>
          <w:szCs w:val="18"/>
          <w:color w:val="auto"/>
        </w:rPr>
        <w:t>(ii) Consolidated Statements of Income (unaudited) for the three months ended March 31, 2017 and 2016, (iii) Consolidated Statements of Comprehensive Income (unaudited) for the three months ended March 31, 2017 and 2016, (iv) Consolidated Statements of Cash Flows (unaudited) for the three months ended March 31, 2017 and 2016, and (v) Notes to the Unaudited Consolidated Financial Statements.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Filed herewith.</w:t>
      </w:r>
    </w:p>
    <w:p>
      <w:pPr>
        <w:spacing w:after="0" w:line="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 MICHAEL J. BROWN</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J. Brown</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81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 RICK L. WELLER</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Rick L. Weller</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60"/>
          </w:cols>
          <w:pgMar w:left="240" w:top="121" w:right="3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7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r>
      <w:tr>
        <w:trPr>
          <w:trHeight w:val="264"/>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49"/>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 before adjustment for income from unconsolidated subsidiaries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38,227</w:t>
            </w:r>
          </w:p>
        </w:tc>
      </w:tr>
      <w:tr>
        <w:trPr>
          <w:trHeight w:val="24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Fixed charges</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r>
      <w:tr>
        <w:trPr>
          <w:trHeight w:val="297"/>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pretax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46,127</w:t>
            </w:r>
          </w:p>
        </w:tc>
        <w:tc>
          <w:tcPr>
            <w:tcW w:w="12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46,469</w:t>
            </w:r>
          </w:p>
        </w:tc>
      </w:tr>
      <w:tr>
        <w:trPr>
          <w:trHeight w:val="237"/>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charges:</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r>
      <w:tr>
        <w:trPr>
          <w:trHeight w:val="243"/>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Estimate of interest within rental expense</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97"/>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fixed charges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w:t>
            </w:r>
          </w:p>
        </w:tc>
      </w:tr>
      <w:tr>
        <w:trPr>
          <w:trHeight w:val="23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7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ectPr>
          <w:pgSz w:w="11900" w:h="16838" w:orient="portrait"/>
          <w:cols w:equalWidth="0" w:num="1">
            <w:col w:w="10300"/>
          </w:cols>
          <w:pgMar w:left="1360" w:top="117"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right="26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980" w:right="720" w:hanging="324"/>
        <w:spacing w:after="0" w:line="313" w:lineRule="auto"/>
        <w:tabs>
          <w:tab w:leader="none" w:pos="98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30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2017</w:t>
      </w:r>
    </w:p>
    <w:p>
      <w:pPr>
        <w:spacing w:after="0" w:line="387"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420"/>
          </w:cols>
          <w:pgMar w:left="240" w:top="576"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right="26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980" w:right="720" w:hanging="324"/>
        <w:spacing w:after="0" w:line="313" w:lineRule="auto"/>
        <w:tabs>
          <w:tab w:leader="none" w:pos="98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30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2017</w:t>
      </w:r>
    </w:p>
    <w:p>
      <w:pPr>
        <w:spacing w:after="0" w:line="387"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420"/>
          </w:cols>
          <w:pgMar w:left="240" w:top="576"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March 31, 2017 as filed with the Securities and Exchange Commission on the date hereof (the “Report”), the undersigned hereby certifies, pursuant to 18 U.S.C. Section 1350, as adopted pursuant to Section 906 of the Sarbanes-Oxley Act of 2002, that:</w:t>
      </w:r>
    </w:p>
    <w:p>
      <w:pPr>
        <w:spacing w:after="0" w:line="6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2017</w:t>
      </w:r>
    </w:p>
    <w:p>
      <w:pPr>
        <w:sectPr>
          <w:pgSz w:w="11900" w:h="16838" w:orient="portrait"/>
          <w:cols w:equalWidth="0" w:num="1">
            <w:col w:w="11420"/>
          </w:cols>
          <w:pgMar w:left="240" w:top="576"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March 31, 2017 as filed with the Securities and Exchange Commission on the date hereof (the “Report”), the undersigned hereby certifies, pursuant to 18 U.S.C. Section 1350, as adopted pursuant to Section 906 of the Sarbanes-Oxley Act of 2002, that:</w:t>
      </w:r>
    </w:p>
    <w:p>
      <w:pPr>
        <w:spacing w:after="0" w:line="6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2017</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2019-12-29T06:55:23Z</dcterms:created>
  <dcterms:modified xsi:type="dcterms:W3CDTF">2019-12-29T06:55:23Z</dcterms:modified>
</cp:coreProperties>
</file>