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3" w:lineRule="exact"/>
        <w:rPr>
          <w:sz w:val="24"/>
          <w:szCs w:val="24"/>
          <w:color w:val="auto"/>
        </w:rPr>
      </w:pPr>
    </w:p>
    <w:p>
      <w:pPr>
        <w:ind w:left="4000" w:right="2500" w:hanging="3695"/>
        <w:spacing w:after="0" w:line="303" w:lineRule="auto"/>
        <w:tabs>
          <w:tab w:leader="none" w:pos="5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520" w:hanging="215"/>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TRANSITION REPORT PURSUANT TO SECTION </w:t>
      </w:r>
      <w:r>
        <w:rPr>
          <w:rFonts w:ascii="Times New Roman" w:cs="Times New Roman" w:eastAsia="Times New Roman" w:hAnsi="Times New Roman"/>
          <w:sz w:val="17"/>
          <w:szCs w:val="17"/>
          <w:b w:val="1"/>
          <w:bCs w:val="1"/>
          <w:color w:val="auto"/>
        </w:rPr>
        <w:t>13 OR 15(d) OF THE SECURITIES EXCHANGE ACT OF 1934</w:t>
      </w:r>
    </w:p>
    <w:p>
      <w:pPr>
        <w:spacing w:after="0" w:line="189" w:lineRule="exact"/>
        <w:rPr>
          <w:sz w:val="24"/>
          <w:szCs w:val="24"/>
          <w:color w:val="auto"/>
        </w:rPr>
      </w:pPr>
    </w:p>
    <w:p>
      <w:pPr>
        <w:ind w:left="3900"/>
        <w:spacing w:after="0"/>
        <w:tabs>
          <w:tab w:leader="none" w:pos="614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4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Commission File Number: 001-31648</w:t>
      </w:r>
    </w:p>
    <w:p>
      <w:pPr>
        <w:spacing w:after="0" w:line="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EURONET WORLDWIDE, INC.</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35"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43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66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74-2806888</w:t>
            </w:r>
          </w:p>
        </w:tc>
      </w:tr>
      <w:tr>
        <w:trPr>
          <w:trHeight w:val="283"/>
        </w:trPr>
        <w:tc>
          <w:tcPr>
            <w:tcW w:w="43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4660" w:type="dxa"/>
            <w:vAlign w:val="bottom"/>
          </w:tcPr>
          <w:p>
            <w:pPr>
              <w:jc w:val="center"/>
              <w:ind w:left="209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84"/>
        </w:trPr>
        <w:tc>
          <w:tcPr>
            <w:tcW w:w="43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11400 Tomahawk Creek Parkway, Suite 300</w:t>
            </w:r>
          </w:p>
        </w:tc>
        <w:tc>
          <w:tcPr>
            <w:tcW w:w="4660" w:type="dxa"/>
            <w:vAlign w:val="bottom"/>
          </w:tcPr>
          <w:p>
            <w:pPr>
              <w:spacing w:after="0"/>
              <w:rPr>
                <w:sz w:val="24"/>
                <w:szCs w:val="24"/>
                <w:color w:val="auto"/>
              </w:rPr>
            </w:pPr>
          </w:p>
        </w:tc>
      </w:tr>
      <w:tr>
        <w:trPr>
          <w:trHeight w:val="283"/>
        </w:trPr>
        <w:tc>
          <w:tcPr>
            <w:tcW w:w="4300" w:type="dxa"/>
            <w:vAlign w:val="bottom"/>
          </w:tcPr>
          <w:p>
            <w:pPr>
              <w:ind w:left="1420"/>
              <w:spacing w:after="0"/>
              <w:rPr>
                <w:sz w:val="20"/>
                <w:szCs w:val="20"/>
                <w:color w:val="auto"/>
              </w:rPr>
            </w:pPr>
            <w:r>
              <w:rPr>
                <w:rFonts w:ascii="Times New Roman" w:cs="Times New Roman" w:eastAsia="Times New Roman" w:hAnsi="Times New Roman"/>
                <w:sz w:val="16"/>
                <w:szCs w:val="16"/>
                <w:b w:val="1"/>
                <w:bCs w:val="1"/>
                <w:color w:val="auto"/>
              </w:rPr>
              <w:t>Leawood, Kansas</w:t>
            </w:r>
          </w:p>
        </w:tc>
        <w:tc>
          <w:tcPr>
            <w:tcW w:w="4660" w:type="dxa"/>
            <w:vAlign w:val="bottom"/>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66211</w:t>
            </w:r>
          </w:p>
        </w:tc>
      </w:tr>
      <w:tr>
        <w:trPr>
          <w:trHeight w:val="283"/>
        </w:trPr>
        <w:tc>
          <w:tcPr>
            <w:tcW w:w="43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4660" w:type="dxa"/>
            <w:vAlign w:val="bottom"/>
          </w:tcPr>
          <w:p>
            <w:pPr>
              <w:jc w:val="center"/>
              <w:ind w:left="207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283"/>
        </w:trPr>
        <w:tc>
          <w:tcPr>
            <w:tcW w:w="4300" w:type="dxa"/>
            <w:vAlign w:val="bottom"/>
          </w:tcPr>
          <w:p>
            <w:pPr>
              <w:spacing w:after="0"/>
              <w:rPr>
                <w:sz w:val="24"/>
                <w:szCs w:val="24"/>
                <w:color w:val="auto"/>
              </w:rPr>
            </w:pPr>
          </w:p>
        </w:tc>
        <w:tc>
          <w:tcPr>
            <w:tcW w:w="4660" w:type="dxa"/>
            <w:vAlign w:val="bottom"/>
          </w:tcPr>
          <w:p>
            <w:pPr>
              <w:jc w:val="right"/>
              <w:ind w:right="3459"/>
              <w:spacing w:after="0"/>
              <w:rPr>
                <w:sz w:val="20"/>
                <w:szCs w:val="20"/>
                <w:color w:val="auto"/>
              </w:rPr>
            </w:pPr>
            <w:r>
              <w:rPr>
                <w:rFonts w:ascii="Times New Roman" w:cs="Times New Roman" w:eastAsia="Times New Roman" w:hAnsi="Times New Roman"/>
                <w:sz w:val="16"/>
                <w:szCs w:val="16"/>
                <w:b w:val="1"/>
                <w:bCs w:val="1"/>
                <w:color w:val="auto"/>
              </w:rPr>
              <w:t>(913) 327-4200</w:t>
            </w:r>
          </w:p>
        </w:tc>
      </w:tr>
    </w:tbl>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75"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1"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0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5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5100" w:type="dxa"/>
            <w:vAlign w:val="bottom"/>
            <w:gridSpan w:val="3"/>
          </w:tcPr>
          <w:p>
            <w:pPr>
              <w:ind w:left="2060"/>
              <w:spacing w:after="0" w:line="183"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120" w:type="dxa"/>
            <w:vAlign w:val="bottom"/>
            <w:gridSpan w:val="5"/>
          </w:tcPr>
          <w:p>
            <w:pPr>
              <w:jc w:val="center"/>
              <w:ind w:right="60"/>
              <w:spacing w:after="0" w:line="183" w:lineRule="exact"/>
              <w:rPr>
                <w:sz w:val="20"/>
                <w:szCs w:val="20"/>
                <w:color w:val="auto"/>
              </w:rPr>
            </w:pPr>
            <w:r>
              <w:rPr>
                <w:rFonts w:ascii="Times New Roman" w:cs="Times New Roman" w:eastAsia="Times New Roman" w:hAnsi="Times New Roman"/>
                <w:sz w:val="16"/>
                <w:szCs w:val="16"/>
                <w:b w:val="1"/>
                <w:bCs w:val="1"/>
                <w:color w:val="auto"/>
              </w:rPr>
              <w:t>Symbol(s)</w:t>
            </w:r>
          </w:p>
        </w:tc>
        <w:tc>
          <w:tcPr>
            <w:tcW w:w="1000" w:type="dxa"/>
            <w:vAlign w:val="bottom"/>
          </w:tcPr>
          <w:p>
            <w:pPr>
              <w:spacing w:after="0"/>
              <w:rPr>
                <w:sz w:val="15"/>
                <w:szCs w:val="15"/>
                <w:color w:val="auto"/>
              </w:rPr>
            </w:pPr>
          </w:p>
        </w:tc>
        <w:tc>
          <w:tcPr>
            <w:tcW w:w="4040" w:type="dxa"/>
            <w:vAlign w:val="bottom"/>
            <w:gridSpan w:val="2"/>
          </w:tcPr>
          <w:p>
            <w:pPr>
              <w:jc w:val="center"/>
              <w:ind w:right="1040"/>
              <w:spacing w:after="0" w:line="183"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48"/>
        </w:trPr>
        <w:tc>
          <w:tcPr>
            <w:tcW w:w="2060" w:type="dxa"/>
            <w:vAlign w:val="bottom"/>
            <w:tcBorders>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0" w:type="dxa"/>
            <w:vAlign w:val="bottom"/>
            <w:tcBorders>
              <w:top w:val="single" w:sz="8" w:color="auto"/>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7"/>
        </w:trPr>
        <w:tc>
          <w:tcPr>
            <w:tcW w:w="5100" w:type="dxa"/>
            <w:vAlign w:val="bottom"/>
            <w:tcBorders>
              <w:left w:val="single" w:sz="8" w:color="auto"/>
              <w:right w:val="single" w:sz="8" w:color="auto"/>
            </w:tcBorders>
            <w:gridSpan w:val="3"/>
          </w:tcPr>
          <w:p>
            <w:pPr>
              <w:ind w:left="2040"/>
              <w:spacing w:after="0"/>
              <w:rPr>
                <w:sz w:val="20"/>
                <w:szCs w:val="20"/>
                <w:color w:val="auto"/>
              </w:rPr>
            </w:pPr>
            <w:r>
              <w:rPr>
                <w:rFonts w:ascii="Times New Roman" w:cs="Times New Roman" w:eastAsia="Times New Roman" w:hAnsi="Times New Roman"/>
                <w:sz w:val="16"/>
                <w:szCs w:val="16"/>
                <w:color w:val="auto"/>
              </w:rPr>
              <w:t>Common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EEFT</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17"/>
        </w:trPr>
        <w:tc>
          <w:tcPr>
            <w:tcW w:w="5100" w:type="dxa"/>
            <w:vAlign w:val="bottom"/>
            <w:tcBorders>
              <w:left w:val="single" w:sz="8" w:color="auto"/>
              <w:right w:val="single" w:sz="8" w:color="auto"/>
            </w:tcBorders>
            <w:gridSpan w:val="3"/>
          </w:tcPr>
          <w:p>
            <w:pPr>
              <w:ind w:left="1540"/>
              <w:spacing w:after="0"/>
              <w:rPr>
                <w:sz w:val="20"/>
                <w:szCs w:val="20"/>
                <w:color w:val="auto"/>
              </w:rPr>
            </w:pPr>
            <w:r>
              <w:rPr>
                <w:rFonts w:ascii="Times New Roman" w:cs="Times New Roman" w:eastAsia="Times New Roman" w:hAnsi="Times New Roman"/>
                <w:sz w:val="16"/>
                <w:szCs w:val="16"/>
                <w:color w:val="auto"/>
              </w:rPr>
              <w:t>1.375% Senior Notes due 2026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EEFT26</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6"/>
                <w:szCs w:val="16"/>
                <w:color w:val="auto"/>
              </w:rPr>
              <w:t>Nasdaq Global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40" w:lineRule="exact"/>
        <w:rPr>
          <w:sz w:val="24"/>
          <w:szCs w:val="24"/>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46" w:lineRule="exact"/>
        <w:rPr>
          <w:sz w:val="24"/>
          <w:szCs w:val="24"/>
          <w:color w:val="auto"/>
        </w:rPr>
      </w:pPr>
    </w:p>
    <w:p>
      <w:pPr>
        <w:ind w:right="2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40" w:type="dxa"/>
        <w:tblCellMar>
          <w:top w:w="0" w:type="dxa"/>
          <w:left w:w="0" w:type="dxa"/>
          <w:bottom w:w="0" w:type="dxa"/>
          <w:right w:w="0" w:type="dxa"/>
        </w:tblCellMar>
      </w:tblPr>
      <w:tr>
        <w:trPr>
          <w:trHeight w:val="235"/>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Accelerated filer</w:t>
            </w:r>
          </w:p>
        </w:tc>
        <w:tc>
          <w:tcPr>
            <w:tcW w:w="1220" w:type="dxa"/>
            <w:vAlign w:val="bottom"/>
          </w:tcPr>
          <w:p>
            <w:pPr>
              <w:ind w:left="1060"/>
              <w:spacing w:after="0"/>
              <w:rPr>
                <w:sz w:val="20"/>
                <w:szCs w:val="20"/>
                <w:color w:val="auto"/>
              </w:rPr>
            </w:pPr>
            <w:r>
              <w:rPr>
                <w:rFonts w:ascii="Wingdings" w:cs="Wingdings" w:eastAsia="Wingdings" w:hAnsi="Wingdings"/>
                <w:sz w:val="16"/>
                <w:szCs w:val="16"/>
                <w:b w:val="1"/>
                <w:bCs w:val="1"/>
                <w:color w:val="auto"/>
                <w:w w:val="97"/>
              </w:rPr>
              <w:t>o</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20" w:type="dxa"/>
            <w:vAlign w:val="bottom"/>
          </w:tcPr>
          <w:p>
            <w:pPr>
              <w:ind w:left="520"/>
              <w:spacing w:after="0"/>
              <w:rPr>
                <w:sz w:val="20"/>
                <w:szCs w:val="20"/>
                <w:color w:val="auto"/>
              </w:rPr>
            </w:pPr>
            <w:r>
              <w:rPr>
                <w:rFonts w:ascii="Wingdings" w:cs="Wingdings" w:eastAsia="Wingdings" w:hAnsi="Wingdings"/>
                <w:sz w:val="16"/>
                <w:szCs w:val="16"/>
                <w:b w:val="1"/>
                <w:bCs w:val="1"/>
                <w:color w:val="auto"/>
              </w:rPr>
              <w:t>o</w:t>
            </w:r>
          </w:p>
        </w:tc>
        <w:tc>
          <w:tcPr>
            <w:tcW w:w="478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1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78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 w:lineRule="exact"/>
        <w:rPr>
          <w:sz w:val="24"/>
          <w:szCs w:val="24"/>
          <w:color w:val="auto"/>
        </w:rPr>
      </w:pPr>
    </w:p>
    <w:p>
      <w:pPr>
        <w:ind w:left="40" w:right="580"/>
        <w:spacing w:after="0" w:line="26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On May 2, 2024, Euronet Worldwide, Inc. had 45,871,136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60" w:type="dxa"/>
            <w:vAlign w:val="bottom"/>
            <w:gridSpan w:val="10"/>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64"/>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60" w:type="dxa"/>
            <w:vAlign w:val="bottom"/>
            <w:gridSpan w:val="10"/>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35"/>
        </w:trPr>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6"/>
        </w:trPr>
        <w:tc>
          <w:tcPr>
            <w:tcW w:w="29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PART I—FINANCIAL INFORMATION</w:t>
            </w:r>
          </w:p>
        </w:tc>
        <w:tc>
          <w:tcPr>
            <w:tcW w:w="7680" w:type="dxa"/>
            <w:vAlign w:val="bottom"/>
            <w:tcBorders>
              <w:bottom w:val="single" w:sz="8" w:color="CCEEFF"/>
            </w:tcBorders>
            <w:gridSpan w:val="11"/>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March 31, 2024 and December 31, 2023</w:t>
            </w:r>
          </w:p>
        </w:tc>
        <w:tc>
          <w:tcPr>
            <w:tcW w:w="4200" w:type="dxa"/>
            <w:vAlign w:val="bottom"/>
            <w:tcBorders>
              <w:bottom w:val="single" w:sz="8" w:color="CCEEFF"/>
            </w:tcBorders>
            <w:gridSpan w:val="6"/>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840" w:type="dxa"/>
            <w:vAlign w:val="bottom"/>
          </w:tcPr>
          <w:p>
            <w:pPr>
              <w:spacing w:after="0"/>
              <w:rPr>
                <w:sz w:val="15"/>
                <w:szCs w:val="15"/>
                <w:color w:val="auto"/>
              </w:rPr>
            </w:pPr>
          </w:p>
        </w:tc>
        <w:tc>
          <w:tcPr>
            <w:tcW w:w="982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Three Months Ended March 31, 2024 and 2023</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(loss) for the Three Months Ended March 31, 2024 and 2023</w:t>
            </w:r>
          </w:p>
        </w:tc>
        <w:tc>
          <w:tcPr>
            <w:tcW w:w="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17"/>
                <w:szCs w:val="17"/>
                <w:color w:val="auto"/>
              </w:rPr>
            </w:pPr>
          </w:p>
        </w:tc>
      </w:tr>
      <w:tr>
        <w:trPr>
          <w:trHeight w:val="176"/>
        </w:trPr>
        <w:tc>
          <w:tcPr>
            <w:tcW w:w="8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1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 for the Three Months Ended March 31, 2024 and 2023</w:t>
            </w:r>
          </w:p>
        </w:tc>
        <w:tc>
          <w:tcPr>
            <w:tcW w:w="14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tcBorders>
              <w:top w:val="single" w:sz="8" w:color="CCEEFF"/>
            </w:tcBorders>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Three Months Ended March 31, 2024 and 2023</w:t>
            </w:r>
          </w:p>
        </w:tc>
        <w:tc>
          <w:tcPr>
            <w:tcW w:w="2780" w:type="dxa"/>
            <w:vAlign w:val="bottom"/>
            <w:tcBorders>
              <w:bottom w:val="single" w:sz="8" w:color="CCEEFF"/>
            </w:tcBorders>
            <w:gridSpan w:val="3"/>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5"/>
        </w:trPr>
        <w:tc>
          <w:tcPr>
            <w:tcW w:w="840" w:type="dxa"/>
            <w:vAlign w:val="bottom"/>
          </w:tcPr>
          <w:p>
            <w:pPr>
              <w:spacing w:after="0"/>
              <w:rPr>
                <w:sz w:val="15"/>
                <w:szCs w:val="15"/>
                <w:color w:val="auto"/>
              </w:rPr>
            </w:pPr>
          </w:p>
        </w:tc>
        <w:tc>
          <w:tcPr>
            <w:tcW w:w="982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Notes to the Unaudited Consolidated Financial Statements</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22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tcBorders>
              <w:bottom w:val="single" w:sz="8" w:color="CCEEFF"/>
            </w:tcBorders>
            <w:shd w:val="clear" w:color="auto" w:fill="CCEEFF"/>
          </w:tcPr>
          <w:p>
            <w:pPr>
              <w:spacing w:after="0"/>
              <w:rPr>
                <w:sz w:val="17"/>
                <w:szCs w:val="17"/>
                <w:color w:val="auto"/>
              </w:rPr>
            </w:pPr>
          </w:p>
        </w:tc>
        <w:tc>
          <w:tcPr>
            <w:tcW w:w="64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200" w:type="dxa"/>
            <w:vAlign w:val="bottom"/>
            <w:tcBorders>
              <w:bottom w:val="single" w:sz="8" w:color="CCEEFF"/>
            </w:tcBorders>
            <w:gridSpan w:val="5"/>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c>
          <w:tcPr>
            <w:tcW w:w="2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80" w:type="dxa"/>
            <w:vAlign w:val="bottom"/>
            <w:shd w:val="clear" w:color="auto" w:fill="CCEEFF"/>
          </w:tcPr>
          <w:p>
            <w:pPr>
              <w:spacing w:after="0"/>
              <w:rPr>
                <w:sz w:val="15"/>
                <w:szCs w:val="15"/>
                <w:color w:val="auto"/>
              </w:rPr>
            </w:pPr>
          </w:p>
        </w:tc>
        <w:tc>
          <w:tcPr>
            <w:tcW w:w="96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22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PART II—OTHER INFORMATION</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300" w:type="dxa"/>
            <w:vAlign w:val="bottom"/>
            <w:tcBorders>
              <w:bottom w:val="single" w:sz="8" w:color="CCEEFF"/>
            </w:tcBorders>
            <w:gridSpan w:val="14"/>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82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shd w:val="clear" w:color="auto" w:fill="CCEEFF"/>
          </w:tcPr>
          <w:p>
            <w:pPr>
              <w:spacing w:after="0"/>
              <w:rPr>
                <w:sz w:val="17"/>
                <w:szCs w:val="17"/>
                <w:color w:val="auto"/>
              </w:rPr>
            </w:pPr>
          </w:p>
        </w:tc>
        <w:tc>
          <w:tcPr>
            <w:tcW w:w="96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shd w:val="clear" w:color="auto" w:fill="CCEEFF"/>
          </w:tcPr>
          <w:p>
            <w:pPr>
              <w:spacing w:after="0"/>
              <w:rPr>
                <w:sz w:val="17"/>
                <w:szCs w:val="17"/>
                <w:color w:val="auto"/>
              </w:rPr>
            </w:pPr>
          </w:p>
        </w:tc>
      </w:tr>
      <w:tr>
        <w:trPr>
          <w:trHeight w:val="176"/>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80" w:type="dxa"/>
            <w:vAlign w:val="bottom"/>
            <w:tcBorders>
              <w:top w:val="single" w:sz="8" w:color="CCEEFF"/>
            </w:tcBorders>
          </w:tcPr>
          <w:p>
            <w:pPr>
              <w:spacing w:after="0"/>
              <w:rPr>
                <w:sz w:val="15"/>
                <w:szCs w:val="15"/>
                <w:color w:val="auto"/>
              </w:rPr>
            </w:pPr>
          </w:p>
        </w:tc>
        <w:tc>
          <w:tcPr>
            <w:tcW w:w="434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300" w:type="dxa"/>
            <w:vAlign w:val="bottom"/>
            <w:tcBorders>
              <w:top w:val="single" w:sz="8" w:color="CCEEFF"/>
            </w:tcBorders>
            <w:gridSpan w:val="8"/>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tcBorders>
              <w:top w:val="single" w:sz="8" w:color="CCEEFF"/>
            </w:tcBorders>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180" w:type="dxa"/>
            <w:vAlign w:val="bottom"/>
            <w:shd w:val="clear" w:color="auto" w:fill="CCEEFF"/>
          </w:tcPr>
          <w:p>
            <w:pPr>
              <w:spacing w:after="0"/>
              <w:rPr>
                <w:sz w:val="15"/>
                <w:szCs w:val="15"/>
                <w:color w:val="auto"/>
              </w:rPr>
            </w:pPr>
          </w:p>
        </w:tc>
        <w:tc>
          <w:tcPr>
            <w:tcW w:w="96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22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Pr>
          <w:p>
            <w:pPr>
              <w:spacing w:after="0"/>
              <w:rPr>
                <w:sz w:val="15"/>
                <w:szCs w:val="15"/>
                <w:color w:val="auto"/>
              </w:rPr>
            </w:pPr>
          </w:p>
        </w:tc>
      </w:tr>
      <w:tr>
        <w:trPr>
          <w:trHeight w:val="338"/>
        </w:trPr>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left="406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0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49"/>
        </w:trPr>
        <w:tc>
          <w:tcPr>
            <w:tcW w:w="8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r>
      <w:tr>
        <w:trPr>
          <w:trHeight w:val="201"/>
        </w:trPr>
        <w:tc>
          <w:tcPr>
            <w:tcW w:w="8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1,236.2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1,254.2</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ATM cash</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525.2</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 assets</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1,681.5</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accounts receivable, net of credit losses of $3.5 and $3.6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370.6</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316.0</w:t>
            </w:r>
          </w:p>
        </w:tc>
      </w:tr>
      <w:tr>
        <w:trPr>
          <w:trHeight w:val="210"/>
        </w:trPr>
        <w:tc>
          <w:tcPr>
            <w:tcW w:w="844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right of use lease assets</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142.6</w:t>
            </w: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$671.2 and $656.9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332.1</w:t>
            </w: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847.5</w:t>
            </w: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intangible assets, net of accumulated amortization of $214.8 and $214.1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167.6</w:t>
            </w: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net of accumulated amortization of $77.6 and $76.3</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181.9</w:t>
            </w: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r>
      <w:tr>
        <w:trPr>
          <w:trHeight w:val="249"/>
        </w:trPr>
        <w:tc>
          <w:tcPr>
            <w:tcW w:w="844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5,693.6</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5,894.4</w:t>
            </w:r>
          </w:p>
        </w:tc>
        <w:tc>
          <w:tcPr>
            <w:tcW w:w="80" w:type="dxa"/>
            <w:vAlign w:val="bottom"/>
            <w:tcBorders>
              <w:bottom w:val="single" w:sz="8" w:color="auto"/>
            </w:tcBorders>
          </w:tcPr>
          <w:p>
            <w:pPr>
              <w:spacing w:after="0"/>
              <w:rPr>
                <w:sz w:val="21"/>
                <w:szCs w:val="21"/>
                <w:color w:val="auto"/>
              </w:rPr>
            </w:pPr>
          </w:p>
        </w:tc>
      </w:tr>
      <w:tr>
        <w:trPr>
          <w:trHeight w:val="197"/>
        </w:trPr>
        <w:tc>
          <w:tcPr>
            <w:tcW w:w="844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Settlement obligations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1,681.5</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241.2</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439.0</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150.3</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56.7</w:t>
            </w:r>
          </w:p>
        </w:tc>
      </w:tr>
      <w:tr>
        <w:trPr>
          <w:trHeight w:val="209"/>
        </w:trPr>
        <w:tc>
          <w:tcPr>
            <w:tcW w:w="8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2,700.6</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1,715.4</w:t>
            </w: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95.8</w:t>
            </w: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85.9</w:t>
            </w:r>
          </w:p>
        </w:tc>
      </w:tr>
      <w:tr>
        <w:trPr>
          <w:trHeight w:val="210"/>
        </w:trPr>
        <w:tc>
          <w:tcPr>
            <w:tcW w:w="8440" w:type="dxa"/>
            <w:vAlign w:val="bottom"/>
            <w:tcBorders>
              <w:top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4,644.7</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r>
      <w:tr>
        <w:trPr>
          <w:trHeight w:val="209"/>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$0.02 par value. 10,000,000 shares authorized; none issued</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$0.02 par value. 90,000,000 shares authorized; shares issued 64,467,354 and 64,376,923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1,311.6</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at cost, shares issued 18,598,580 and 18,598,961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(1,487.7)</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1,627.9</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(203.2)</w:t>
            </w:r>
          </w:p>
        </w:tc>
      </w:tr>
      <w:tr>
        <w:trPr>
          <w:trHeight w:val="210"/>
        </w:trPr>
        <w:tc>
          <w:tcPr>
            <w:tcW w:w="8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Euronet Worldwide, Inc. stockholders’ equity</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0"/>
        </w:trPr>
        <w:tc>
          <w:tcPr>
            <w:tcW w:w="844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80" w:type="dxa"/>
            <w:vAlign w:val="bottom"/>
            <w:tcBorders>
              <w:bottom w:val="single" w:sz="8" w:color="CCEEFF"/>
            </w:tcBorders>
          </w:tcPr>
          <w:p>
            <w:pPr>
              <w:spacing w:after="0"/>
              <w:rPr>
                <w:sz w:val="18"/>
                <w:szCs w:val="18"/>
                <w:color w:val="auto"/>
              </w:rPr>
            </w:pPr>
          </w:p>
        </w:tc>
      </w:tr>
      <w:tr>
        <w:trPr>
          <w:trHeight w:val="209"/>
        </w:trPr>
        <w:tc>
          <w:tcPr>
            <w:tcW w:w="84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106"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-3175</wp:posOffset>
            </wp:positionV>
            <wp:extent cx="17056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84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491.6</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r>
      <w:tr>
        <w:trPr>
          <w:trHeight w:val="209"/>
        </w:trPr>
        <w:tc>
          <w:tcPr>
            <w:tcW w:w="844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loss, net</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(losses) gains, net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09"/>
        </w:trPr>
        <w:tc>
          <w:tcPr>
            <w:tcW w:w="8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09"/>
        </w:trPr>
        <w:tc>
          <w:tcPr>
            <w:tcW w:w="8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Euronet Worldwide, Inc.</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attributable to Euronet Worldwide, Inc. stockholders: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r>
      <w:tr>
        <w:trPr>
          <w:trHeight w:val="197"/>
        </w:trPr>
        <w:tc>
          <w:tcPr>
            <w:tcW w:w="844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8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45,816,943</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49,811,368</w:t>
            </w:r>
          </w:p>
        </w:tc>
      </w:tr>
      <w:tr>
        <w:trPr>
          <w:trHeight w:val="196"/>
        </w:trPr>
        <w:tc>
          <w:tcPr>
            <w:tcW w:w="844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48,962,583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52,974,800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EURONET WORLDWIDE, INC. AND SUBSIDIARIES CONSOLIDATED STATEMENTS OF COMPREHENSIVE INCOME (LOSS) (Unaudited, in millions)</w:t>
      </w:r>
    </w:p>
    <w:p>
      <w:pPr>
        <w:spacing w:after="0" w:line="18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13335</wp:posOffset>
            </wp:positionV>
            <wp:extent cx="17056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8"/>
                <w:szCs w:val="18"/>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adjustment</w:t>
            </w:r>
          </w:p>
        </w:tc>
        <w:tc>
          <w:tcPr>
            <w:tcW w:w="86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(45.0)</w:t>
            </w:r>
          </w:p>
        </w:tc>
        <w:tc>
          <w:tcPr>
            <w:tcW w:w="3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09"/>
        </w:trPr>
        <w:tc>
          <w:tcPr>
            <w:tcW w:w="8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2"/>
              </w:rPr>
              <w:t>(18.8)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8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09"/>
        </w:trPr>
        <w:tc>
          <w:tcPr>
            <w:tcW w:w="844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Comprehensive income (loss) attributable to Euronet Worldwide, Inc.</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2"/>
              </w:rPr>
              <w:t>(18.8)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94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173"/>
        </w:trPr>
        <w:tc>
          <w:tcPr>
            <w:tcW w:w="546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49,822,707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(1,105.8)</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79,859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(276,400)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5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3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49,626,166</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(1,133.6)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5460" w:type="dxa"/>
            <w:vAlign w:val="bottom"/>
          </w:tcPr>
          <w:p>
            <w:pPr>
              <w:spacing w:after="0"/>
              <w:rPr>
                <w:sz w:val="24"/>
                <w:szCs w:val="24"/>
                <w:color w:val="auto"/>
              </w:rPr>
            </w:pP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24"/>
                <w:szCs w:val="24"/>
                <w:color w:val="auto"/>
              </w:rPr>
            </w:pPr>
          </w:p>
        </w:tc>
        <w:tc>
          <w:tcPr>
            <w:tcW w:w="94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187"/>
        </w:trPr>
        <w:tc>
          <w:tcPr>
            <w:tcW w:w="5460" w:type="dxa"/>
            <w:vAlign w:val="bottom"/>
          </w:tcPr>
          <w:p>
            <w:pPr>
              <w:spacing w:after="0"/>
              <w:rPr>
                <w:sz w:val="16"/>
                <w:szCs w:val="16"/>
                <w:color w:val="auto"/>
              </w:rPr>
            </w:pP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80" w:type="dxa"/>
            <w:vAlign w:val="bottom"/>
          </w:tcPr>
          <w:p>
            <w:pPr>
              <w:spacing w:after="0"/>
              <w:rPr>
                <w:sz w:val="16"/>
                <w:szCs w:val="16"/>
                <w:color w:val="auto"/>
              </w:rPr>
            </w:pPr>
          </w:p>
        </w:tc>
        <w:tc>
          <w:tcPr>
            <w:tcW w:w="94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of December 31, 2023</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(loss)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shares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45,777,962</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1,311.6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0" w:type="dxa"/>
            <w:vAlign w:val="bottom"/>
          </w:tcPr>
          <w:p>
            <w:pPr>
              <w:spacing w:after="0"/>
              <w:rPr>
                <w:sz w:val="1"/>
                <w:szCs w:val="1"/>
                <w:color w:val="auto"/>
              </w:rPr>
            </w:pPr>
          </w:p>
        </w:tc>
      </w:tr>
      <w:tr>
        <w:trPr>
          <w:trHeight w:val="243"/>
        </w:trPr>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90,812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45,868,774</w:t>
            </w:r>
          </w:p>
        </w:tc>
        <w:tc>
          <w:tcPr>
            <w:tcW w:w="2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1,324.8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(1,488.2)</w:t>
            </w:r>
          </w:p>
        </w:tc>
        <w:tc>
          <w:tcPr>
            <w:tcW w:w="0" w:type="dxa"/>
            <w:vAlign w:val="bottom"/>
          </w:tcPr>
          <w:p>
            <w:pPr>
              <w:spacing w:after="0"/>
              <w:rPr>
                <w:sz w:val="1"/>
                <w:szCs w:val="1"/>
                <w:color w:val="auto"/>
              </w:rPr>
            </w:pP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40" w:type="dxa"/>
            <w:vAlign w:val="bottom"/>
            <w:gridSpan w:val="2"/>
            <w:vMerge w:val="continue"/>
          </w:tcPr>
          <w:p>
            <w:pPr>
              <w:spacing w:after="0"/>
              <w:rPr>
                <w:sz w:val="12"/>
                <w:szCs w:val="12"/>
                <w:color w:val="auto"/>
              </w:rPr>
            </w:pPr>
          </w:p>
        </w:tc>
        <w:tc>
          <w:tcPr>
            <w:tcW w:w="13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580" w:type="dxa"/>
            <w:vAlign w:val="bottom"/>
            <w:gridSpan w:val="2"/>
            <w:vMerge w:val="continue"/>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-1224915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-916305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-607695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720" w:space="720"/>
            <w:col w:w="580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5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Balance as of December 31, 2022</w:t>
            </w:r>
          </w:p>
        </w:tc>
        <w:tc>
          <w:tcPr>
            <w:tcW w:w="400" w:type="dxa"/>
            <w:vAlign w:val="bottom"/>
            <w:shd w:val="clear" w:color="auto" w:fill="CCEEFF"/>
          </w:tcPr>
          <w:p>
            <w:pPr>
              <w:jc w:val="right"/>
              <w:ind w:right="238"/>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1,348.3</w:t>
            </w:r>
          </w:p>
        </w:tc>
        <w:tc>
          <w:tcPr>
            <w:tcW w:w="1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(251.0)</w:t>
            </w: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(0.2)</w:t>
            </w:r>
          </w:p>
        </w:tc>
        <w:tc>
          <w:tcPr>
            <w:tcW w:w="36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1,244.4</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4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4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5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1,627.9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1,249.7</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4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40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4"/>
        </w:trPr>
        <w:tc>
          <w:tcPr>
            <w:tcW w:w="76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loss, net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working capital, net of amounts acquired:</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receivable, including amounts in settlement assets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378.3</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 including amounts in settlement assets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 including amounts in settlement obligations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(287.3)</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 including amounts in settlement obligations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noncurrent assets and liabilities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0"/>
        </w:trPr>
        <w:tc>
          <w:tcPr>
            <w:tcW w:w="7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and proceeds of property and equipment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other long-term assets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shares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0"/>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from credit agreements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1,768.3</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credit agreements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(1,744.0)</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long-term debt obligations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capital lease obligations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9"/>
        </w:trPr>
        <w:tc>
          <w:tcPr>
            <w:tcW w:w="768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7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Decrease in cash and cash equivalents and restricted cash</w:t>
            </w:r>
          </w:p>
        </w:tc>
        <w:tc>
          <w:tcPr>
            <w:tcW w:w="7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7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2,214.3</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1,937.8</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76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10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4"/>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Euronet Worldwide, Inc. (the "Company" or "Euronet") was established as a Delaware corporation on December 13, 1996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ATM, point-of-sale ("POS"), card outsourcing, card issuing and merchant acquiring services, electronic distribution of prepaid mobile airtime and other electronic payment products, and international payment services.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Company's audited consolidated financial statements for the year ended December 31, 2023, including the notes thereto, set forth in the Company's 2023 Annual Report on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Euronet’s EFT Processing Segment normally experiences its heaviest demand for dynamic currency conversion ("DCC") services during the third quarter of the fiscal year, normally coinciding with the tourism season. The epay Segment is normally impacted by seasonality during the fourth quarter and first quarter of each year due to higher transaction levels during the holiday season and lower levels following the holiday season. Also, epay sells large loyalty rewards campaigns to retailers, which could be deployed in any given quarter and will impact the activity in that quarter accordingly.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(2) RECENTLY ISSUED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 new accounting pronouncement regarding segment reporting. The standard requires that public entities expand reportable segment disclosures, primarily through enhanced disclosures about significant segment expenses. The Company is required to adopt the new standard for its 2024 annual reporting and effective January 1, 2025 for its interim reporting, using a retrospective approach. Management is currently evaluating the potential impact that the adoption of this standard will have on the Company’s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 new accounting pronouncement regarding income tax disclosures. The standard requires that public entities disclose more consistent and detailed categories in their statutory to effective income tax rate reconciliations and further disaggregate income taxes paid by jurisdiction. The Company is required to adopt the new standard for its 2025 annual reporting, using a prospective approach. Management is currently evaluating the potential impact that the adoption of this standard will have on the Company’s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2024</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 2024, Euronet acquired Infinitium Group, a leading regional solutions provider with Payments Authentication services, for a purchase consideration of $70.0 million cash and $5.0 million of the Company’s common stock to be paid over two installments on February 1, 2026 and 2027. The Company preliminary allocated $51.0 million of the purchase consideration to customer relationships, $5.6 million to acquired net assets, and the remaining $18.4 million to goodwill.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SETTLEMENT ASSETS AND OBLIGATIONS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 currency purchased and the related fees charged to purchase the currency. The Company uses its cash and cash equivalents to pay the face value of the payment service product upon presentation by the recipient. Cash received by Company agents and merchants generally becomes available to us within two weeks after initial receipt by the business partner. Receivables from business partners represent funds collected by such business partners that are in transit to 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Settlement obligations consist of accrued expenses for money transfers, content providers, and EFT customer deposits and accounts payable to agents and content providers. Money transfer accrued expenses represent amounts to be paid to transferees when they request funds. Most agents typically settle with transferees first then obtain reimbursement from us. Money order accrued expenses represent amounts not yet presented for payment. Due to the agent funding and settlement process, accrued expenses to agents represent amounts due to agents for money transfers that have not been settled with transferees.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1"/>
                <w:szCs w:val="11"/>
                <w:color w:val="auto"/>
              </w:rPr>
            </w:pPr>
          </w:p>
        </w:tc>
        <w:tc>
          <w:tcPr>
            <w:tcW w:w="1260" w:type="dxa"/>
            <w:vAlign w:val="bottom"/>
            <w:gridSpan w:val="2"/>
          </w:tcPr>
          <w:p>
            <w:pPr>
              <w:jc w:val="right"/>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1"/>
                <w:szCs w:val="11"/>
                <w:color w:val="auto"/>
              </w:rPr>
            </w:pPr>
          </w:p>
        </w:tc>
        <w:tc>
          <w:tcPr>
            <w:tcW w:w="1100" w:type="dxa"/>
            <w:vAlign w:val="bottom"/>
          </w:tcPr>
          <w:p>
            <w:pPr>
              <w:jc w:val="right"/>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assets: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credit losses of $32.2 and $35.7</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868.5</w:t>
            </w: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182.4</w:t>
            </w: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settlement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obligations: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 payables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708.6</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853.0</w:t>
            </w: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972.9</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settlement obligations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1"/>
                <w:szCs w:val="11"/>
                <w:color w:val="auto"/>
              </w:rPr>
            </w:pPr>
          </w:p>
        </w:tc>
        <w:tc>
          <w:tcPr>
            <w:tcW w:w="130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240" w:type="dxa"/>
            <w:vAlign w:val="bottom"/>
            <w:gridSpan w:val="2"/>
          </w:tcPr>
          <w:p>
            <w:pPr>
              <w:jc w:val="right"/>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4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ATM cash</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599.7</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525.2</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250.8</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327.4</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(loss) per share has been computed by dividing earnings (loss) available to common stockholders by the weighted average number of common shares outstanding during the respective period. Diluted earnings (loss) per share has been computed by dividing earnings (loss) available to common stockholders by the weighted average shares outstanding during the respective period, after adjusting for the potential dilution of options to purchase the Company’s common stock, assumed vesting of restricted stock units and the assumed conversion of the Company’s convertible debt, if such conversion would be dilutive.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table provides the computation of diluted earnings and diluted weighted average number of common shares outstanding: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Pr>
          <w:p>
            <w:pPr>
              <w:spacing w:after="0"/>
              <w:rPr>
                <w:sz w:val="13"/>
                <w:szCs w:val="13"/>
                <w:color w:val="auto"/>
              </w:rPr>
            </w:pPr>
          </w:p>
        </w:tc>
        <w:tc>
          <w:tcPr>
            <w:tcW w:w="254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Computation of diluted earnings: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Interest expense from assumed conversion of convertible notes, net of tax</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for diluted earnings per share calculation</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Computation of diluted weighted average shares outstanding:</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45,816,943</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49,811,368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Incremental shares from assumed exercise of stock options and vesting of restricted stock units</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363,822</w:t>
            </w: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381,614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shares from assumed conversion of convertible debt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2,781,818</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2,781,818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48,962,583</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52,974,800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includes all stock options and restricted stock units that are dilutive to the Company's weighted average common shares outstanding during the period. The calculation of diluted earnings per share excludes stock options or shares of restricted stock units that are anti-dilutive to the Company's weighted average common shares outstanding of approximately 3.3 million and 2.3 million for the three months ended March 31, 2024 and 2023.</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Euronet issued Convertible Senior Notes ("Convertible Notes") due March 2049 on March 18, 2019. The Convertible Notes currently have a settlement feature requiring us upon conversion to settle the principal amount of the debt and any conversion value in excess of the principal value ("conversion premium"), for cash or shares of Euronet's common stock or a combination thereof, at the Company's option. The Company has stated its intent to settle any conversion of these notes by paying cash for the principal value and issuing common stock for any conversion premium; however, after adopting ASU 2020-06, 2.8 million incremental shares assumed for conversion of convertible notes is required to be included in the dilutive earnings per share calculation, if dilutive, regardless of whether the market price trigger has been met. Therefore, the Convertible Notes were included in the calculation of diluted earnings per share if their inclusion was dilutive. The dilutive effect increases the more the market price exceeds the conversion price of $188.73 per share. See Note 10, Debt Obligations, to the consolidated financial statements for more information about the Convertible Notes.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13, 2022, the Company put a repurchase program in place to repurchase up to $350 million in value, but not more than 7.0 million shares of common stock through September 13, 2024. As of March 31, 2024, approximately $96.6 million in value of additional shares were available to be repurchased under this repurchase program. On September 13, 2023, the Company put a repurchase program in place to repurchase up to $350 million in value, but not more than 7.0 million shares of common stock through September 13, 2025. As of March 31, 2024, all shares were available to be repurchased under this repurchase program. Repurchases under the programs may take place in the open market or in privately negotiated transactions, including derivative transactions, and may be made under a Rule 10b5-1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Accumulated other comprehensive loss consists entirely of foreign currency translation adjustments. The Company recorded foreign currency translation adjustments of ($45.0) million for the three months ended March 31, 2024 and $20.8 million for the three months ended March 31, 2023, respectively. There were no reclassifications of foreign currency translation adjustments into the consolidated statements of income for the three months ended March 31, 2024 and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(6) GOODWILL AND ACQUIRED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acquired intangible assets and goodwill activity for the three months ended March 31, 2024 is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220" w:type="dxa"/>
            <w:vAlign w:val="bottom"/>
          </w:tcPr>
          <w:p>
            <w:pPr>
              <w:spacing w:after="0"/>
              <w:rPr>
                <w:sz w:val="12"/>
                <w:szCs w:val="12"/>
                <w:color w:val="auto"/>
              </w:rPr>
            </w:pPr>
          </w:p>
        </w:tc>
        <w:tc>
          <w:tcPr>
            <w:tcW w:w="12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73"/>
        </w:trPr>
        <w:tc>
          <w:tcPr>
            <w:tcW w:w="6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9"/>
        </w:trPr>
        <w:tc>
          <w:tcPr>
            <w:tcW w:w="68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(decreases):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0"/>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total goodwill balance of $848.8 million as of March 31, 2024, $382.4 million relates to the Money Transfer Segment, $342.9 million relates to the EFT Processing Segment and the remaining $123.5 million relates to the epay Segment. Estimated amortization expense on acquired intangible assets with finite lives as of March 31, 2024, is expected to total $12.4 million for the remainder of 2024, $14.3 million for 2025, $14.0 million for 2026, $12.7 million for 2027, $12.3 million for 2028 and $12.3 million for 2029.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NOTES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loaned a total of $60.0 million to Koin Mobile, LLC and Marker Trax, LLC under two promissory notes (the "Notes"), which were fully executed on October 19, 2023. Under the terms of the Notes, interest will accrue on the Notes at 2% per annum and all unpaid principal and interest will be due and payable on October 18, 2028 if not converted earlier as discussed below. The Company has a security interest in all of the assets of Koin Mobile, LLC and Marker Trax, LLC. The outstanding principal and accrued interest were $60.0 million and $0.5 million at March 31, 2024,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are convertible into preferred equity of Koin Mobile, LLC and Marker Trax, LLC at the option of the Company upon the occurrence of certain events including a qualified equity financing, change in control, achievement of profitability or at the option of the Company at maturity, as defined in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0"/>
                <w:szCs w:val="10"/>
                <w:color w:val="auto"/>
              </w:rPr>
            </w:pPr>
          </w:p>
        </w:tc>
        <w:tc>
          <w:tcPr>
            <w:tcW w:w="1260" w:type="dxa"/>
            <w:vAlign w:val="bottom"/>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3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8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tax payables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payroll expenses</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w:t>
            </w: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REVENUES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or due in advance of the Company's performance. The increase in the deferred revenue balance for the three months ended March 31, 2024 is the result of $71.4 million of revenues recognized, offset by $70.6 million of cash payments received in the current year for which the Company has not yet satisfied the performance obligations.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(10) DEBT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obligations consist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0"/>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21"/>
                <w:szCs w:val="21"/>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8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Revolving credit agreement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619.5</w:t>
            </w:r>
          </w:p>
        </w:tc>
        <w:tc>
          <w:tcPr>
            <w:tcW w:w="10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536.9</w:t>
            </w:r>
          </w:p>
        </w:tc>
      </w:tr>
      <w:tr>
        <w:trPr>
          <w:trHeight w:val="216"/>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0.75% Convertible Notes, unsecured, due 2049</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525.0</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662.2</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Uncommitted credit agreements</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obligations</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8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 debt obligations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gridSpan w:val="2"/>
            <w:shd w:val="clear" w:color="auto" w:fill="CCEEFF"/>
          </w:tcPr>
          <w:p>
            <w:pPr>
              <w:spacing w:after="0"/>
              <w:rPr>
                <w:sz w:val="18"/>
                <w:szCs w:val="18"/>
                <w:color w:val="auto"/>
              </w:rPr>
            </w:pPr>
          </w:p>
        </w:tc>
      </w:tr>
      <w:tr>
        <w:trPr>
          <w:trHeight w:val="209"/>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Carrying value of debt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(150.3)</w:t>
            </w:r>
          </w:p>
        </w:tc>
      </w:tr>
      <w:tr>
        <w:trPr>
          <w:trHeight w:val="210"/>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24, 2022, the Company amended its revolving credit agreement (the “Credit Facility”) to increase the facility from $1.03 billion to $1.25 billion and to extend the expiration to October 24, 2027.</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revolving credit facility contains a sublimit of up to $250 million, with $150 million committed, for the issuance of letters of credit and a $75 million sublimit for U.S. dollar swingline loans and a $75 million sublimit for swingline loans in euros or British pounds sterling.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1.25% including the facility fee.</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contains customary affirmative and negative covenants, events of default and financial covenants, including (all as defined in the Credit Facility): (i) a Consolidated Total Leverage Ratio, depending on certain circumstances defined in the Credit Facility, not to exceed a range between 3.5 to 1.0 and 4.5 to 1.0; and (ii) a Consolidated Interest Coverage Ratio of not less than 3.0 to 1.0. Subject to meeting certain customary covenants (as defined in the Credit Facility), the Company is permitted to repurchase common stock and debt. The Company was in compliance with all debt covenants as of March 31, 2024.</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 In connection with the issuance of the Convertible Notes, the Company recorded $12.8 million in debt issuance costs, which are being amortized through March 1, 2025.</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redeem for cash all or any portion of the Convertible Notes, at its option, (i) if the closing sale price of the Company's Common Stock has been at least 130 %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on or after March 20, 2025 and prior to the maturity date, regardless of the foregoing sale price condition, in each case at a redemption price equal to 100% of the principal amount of the Convertible Notes to be redeemed, plus accrued and unpaid interest to, but excluding, the redemption date. No sinking fund is provided for the Convertible Notes. In addition, if a fundamental change, as defined in the Indenture, occurs prior to the maturity date, holders may require the Company to repurchase for cash all or part of their Convertible Notes at a repurchase price equal to 100% of the principal amount of the Convertible Notes to be repurchased, plus accrued and unpaid interest to, but excluding, the fundamental change repurchase date. As of March 31, 2024, the conversion threshold was not met. Contractual interest expense for the Convertible Notes was $1.0 million for the three months ended March 31, 2024 and 2023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1.375% Senior Notes due 2026</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22, 2019, the Company completed the sale of €600.0 million ($669.9 million) aggregate principal amount of Senior Notes that are due in May 2026 (the “Senior Notes”). The Senior Notes accrue interest at a rate of 1.375% per year, payable annually in arrears commencing May 22, 2020, until maturity or earlier redemption. As of March 31, 2024, the Company has outstanding €600.0 million ($646.9 million) principal amount of the Senior Notes. In addition, the Company may redeem some or all of these notes on or after February 22, 2026 at their principal amount plus any accrued and unpaid interest.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Uncommitted Credit Agreements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26, 2023, the Company entered into an Uncommitted Loan Agreement for $150 million, fully drawn and outstanding at March 31, 2024, for the sole purpose of providing vault cash for ATMs, that expires no later than June 21, 2024. The loan is a Prime rate loan, a Bloomberg Short-term Bank Yield ("BSBY") rate loan plus 0.95% or bears interest at the rate agreed to by the Bank and the Company at the time such loan is made. The weighted-average interest rate from the loan inception date to March 31, 2024 was 6.31%.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Company's subsidiaries have available lines of credit and overdraft credit facilities that generally provide for short-term borrowings that are used from time to time for working capital purposes. As of March 31, 2024 and December 31, 2023, borrowings under these arrangements were $0.2 million and $0.3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unamortized debt issuance costs of $2.9 million for the Credit Facility, $2.1 million for the Convertible Notes and $2.6 million for the Senior Notes that will be amortized through October 2027, March 2025 and May 2026,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INSTRUMENTS AND HEDGING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Ria Operations and Corporate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 foreign currency forward contracts outstanding in the U.S. with a notional value of $400.8 million and $393.3 million as of March 31, 2024 and December 31, 2023, respectively. The foreign currency forward contracts consist primarily in Australian dollars, Canadian dollars, British pounds sterling, euros and Mexican pesos.</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uses forward contracts, typically with maturities from a few days to less than one year, to offset foreign exchange rate fluctuations on certain short-term borrowings that are payable in currencies other than the U.S dollar. The Company had foreign currency forward contracts outstanding with a notional value of $490.1 million and $563.1 million as of March 31, 2024 and December 31, 2023, respectively, primarily in euro.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xe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$20.9 million for the three months ended March 31, 2024, respectively, and $20.1 million for the same period in 2023, respectively. All of the derivative contracts used in the Company's xe operations are economic hedges and are not designated as hedges under ASC 815. The duration of these derivative contracts is generally less than one year.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equivalent U.S. dollar notional amount of foreign currency derivative customer contracts held by the Company in its xe operations as of March 31, 2024 and December 31, 2023 was $1.1 billion and $1.1 billion, respectively. The significant majority of customer contracts are written in major currencies such as the euro, U.S. dollar, British pounds sterling, Australian dollar and New Zealand dollar.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derivative instruments as recorded in the Consolidated Balance Sheets as of the dates below: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2800" w:type="dxa"/>
            <w:vAlign w:val="bottom"/>
            <w:tcBorders>
              <w:bottom w:val="single" w:sz="8" w:color="auto"/>
            </w:tcBorders>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0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360" w:type="dxa"/>
            <w:vAlign w:val="bottom"/>
            <w:tcBorders>
              <w:bottom w:val="single" w:sz="8" w:color="auto"/>
            </w:tcBorders>
            <w:gridSpan w:val="2"/>
          </w:tcPr>
          <w:p>
            <w:pPr>
              <w:ind w:left="158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16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17"/>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Balance Sheet Location   </w:t>
            </w:r>
            <w:r>
              <w:rPr>
                <w:rFonts w:ascii="Times New Roman" w:cs="Times New Roman" w:eastAsia="Times New Roman" w:hAnsi="Times New Roman"/>
                <w:sz w:val="14"/>
                <w:szCs w:val="14"/>
                <w:b w:val="1"/>
                <w:bCs w:val="1"/>
                <w:u w:val="single" w:color="auto"/>
                <w:color w:val="auto"/>
              </w:rPr>
              <w:t>March 31, 2024</w:t>
            </w: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22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u w:val="single" w:color="auto"/>
                <w:color w:val="auto"/>
              </w:rPr>
              <w:t>March 31, 2024</w:t>
            </w:r>
          </w:p>
        </w:tc>
        <w:tc>
          <w:tcPr>
            <w:tcW w:w="10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88"/>
        </w:trPr>
        <w:tc>
          <w:tcPr>
            <w:tcW w:w="2920" w:type="dxa"/>
            <w:vAlign w:val="bottom"/>
            <w:vMerge w:val="continue"/>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10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22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hedging instruments</w:t>
      </w:r>
    </w:p>
    <w:p>
      <w:pPr>
        <w:spacing w:after="0" w:line="9" w:lineRule="exact"/>
        <w:rPr>
          <w:sz w:val="20"/>
          <w:szCs w:val="20"/>
          <w:color w:val="auto"/>
        </w:rPr>
      </w:pPr>
    </w:p>
    <w:p>
      <w:pPr>
        <w:ind w:firstLine="162"/>
        <w:spacing w:after="0" w:line="589" w:lineRule="auto"/>
        <w:rPr>
          <w:sz w:val="20"/>
          <w:szCs w:val="20"/>
          <w:color w:val="auto"/>
        </w:rPr>
      </w:pPr>
      <w:r>
        <w:rPr>
          <w:rFonts w:ascii="Times New Roman" w:cs="Times New Roman" w:eastAsia="Times New Roman" w:hAnsi="Times New Roman"/>
          <w:sz w:val="18"/>
          <w:szCs w:val="18"/>
          <w:color w:val="auto"/>
        </w:rPr>
        <w:t xml:space="preserve">Foreign currency exchange contracts Other current assets $ 27.5 $ 50.0 Other current liabilities $ (26.3) $ (39.1) The following tables summarize the gross and net fair value of derivative assets and liabilities as of March 31, 2024 and December 31, 2023 (in millions): </w:t>
      </w:r>
      <w:r>
        <w:rPr>
          <w:rFonts w:ascii="Times New Roman" w:cs="Times New Roman" w:eastAsia="Times New Roman" w:hAnsi="Times New Roman"/>
          <w:sz w:val="18"/>
          <w:szCs w:val="18"/>
          <w:i w:val="1"/>
          <w:iCs w:val="1"/>
          <w:color w:val="auto"/>
        </w:rPr>
        <w:t>Offsetting of Derivative Assets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4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 Offset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4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3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14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80" w:type="dxa"/>
            <w:vAlign w:val="bottom"/>
          </w:tcPr>
          <w:p>
            <w:pPr>
              <w:spacing w:after="0"/>
              <w:rPr>
                <w:sz w:val="12"/>
                <w:szCs w:val="12"/>
                <w:color w:val="auto"/>
              </w:rPr>
            </w:pPr>
          </w:p>
        </w:tc>
        <w:tc>
          <w:tcPr>
            <w:tcW w:w="1300" w:type="dxa"/>
            <w:vAlign w:val="bottom"/>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 the Consolidated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73"/>
        </w:trPr>
        <w:tc>
          <w:tcPr>
            <w:tcW w:w="4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4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80" w:type="dxa"/>
            <w:vAlign w:val="bottom"/>
          </w:tcPr>
          <w:p>
            <w:pPr>
              <w:spacing w:after="0"/>
              <w:rPr>
                <w:sz w:val="15"/>
                <w:szCs w:val="15"/>
                <w:color w:val="auto"/>
              </w:rPr>
            </w:pP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2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351"/>
        </w:trPr>
        <w:tc>
          <w:tcPr>
            <w:tcW w:w="4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2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Offsetting of Derivative Liabilities</w:t>
      </w:r>
    </w:p>
    <w:tbl>
      <w:tblPr>
        <w:tblLayout w:type="fixed"/>
        <w:tblInd w:w="0" w:type="dxa"/>
        <w:tblCellMar>
          <w:top w:w="0" w:type="dxa"/>
          <w:left w:w="0" w:type="dxa"/>
          <w:bottom w:w="0" w:type="dxa"/>
          <w:right w:w="0" w:type="dxa"/>
        </w:tblCellMar>
      </w:tblPr>
      <w:tr>
        <w:trPr>
          <w:trHeight w:val="153"/>
        </w:trPr>
        <w:tc>
          <w:tcPr>
            <w:tcW w:w="4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61"/>
              <w:spacing w:after="0" w:line="153"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81"/>
              <w:spacing w:after="0" w:line="153" w:lineRule="exact"/>
              <w:rPr>
                <w:sz w:val="20"/>
                <w:szCs w:val="20"/>
                <w:color w:val="auto"/>
              </w:rPr>
            </w:pPr>
            <w:r>
              <w:rPr>
                <w:rFonts w:ascii="Times New Roman" w:cs="Times New Roman" w:eastAsia="Times New Roman" w:hAnsi="Times New Roman"/>
                <w:sz w:val="14"/>
                <w:szCs w:val="14"/>
                <w:b w:val="1"/>
                <w:bCs w:val="1"/>
                <w:color w:val="auto"/>
              </w:rPr>
              <w:t>Net Amounts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Derivatives Not</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4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40" w:type="dxa"/>
            <w:vAlign w:val="bottom"/>
          </w:tcPr>
          <w:p>
            <w:pPr>
              <w:spacing w:after="0"/>
              <w:rPr>
                <w:sz w:val="12"/>
                <w:szCs w:val="12"/>
                <w:color w:val="auto"/>
              </w:rPr>
            </w:pPr>
          </w:p>
        </w:tc>
        <w:tc>
          <w:tcPr>
            <w:tcW w:w="14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180" w:type="dxa"/>
            <w:vAlign w:val="bottom"/>
          </w:tcPr>
          <w:p>
            <w:pPr>
              <w:spacing w:after="0"/>
              <w:rPr>
                <w:sz w:val="12"/>
                <w:szCs w:val="12"/>
                <w:color w:val="auto"/>
              </w:rPr>
            </w:pPr>
          </w:p>
        </w:tc>
        <w:tc>
          <w:tcPr>
            <w:tcW w:w="12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73"/>
        </w:trPr>
        <w:tc>
          <w:tcPr>
            <w:tcW w:w="4160" w:type="dxa"/>
            <w:vAlign w:val="bottom"/>
            <w:gridSpan w:val="2"/>
            <w:vMerge w:val="continue"/>
          </w:tcPr>
          <w:p>
            <w:pPr>
              <w:spacing w:after="0"/>
              <w:rPr>
                <w:sz w:val="15"/>
                <w:szCs w:val="15"/>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Recognized Liabilities</w:t>
            </w:r>
          </w:p>
        </w:tc>
        <w:tc>
          <w:tcPr>
            <w:tcW w:w="140" w:type="dxa"/>
            <w:vAlign w:val="bottom"/>
          </w:tcPr>
          <w:p>
            <w:pPr>
              <w:spacing w:after="0"/>
              <w:rPr>
                <w:sz w:val="15"/>
                <w:szCs w:val="15"/>
                <w:color w:val="auto"/>
              </w:rPr>
            </w:pPr>
          </w:p>
        </w:tc>
        <w:tc>
          <w:tcPr>
            <w:tcW w:w="12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Sheet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2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500"/>
        </w:trPr>
        <w:tc>
          <w:tcPr>
            <w:tcW w:w="4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2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Fair Value Measurements, for the determination of the fair values of derivatives.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Presentation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amount of losses on derivatives in the Consolidated Statements of Income for the three months ended March 31, 2024 and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 of (Loss) Recognized in Income on</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Derivative Contracts (a)</w:t>
            </w: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40" w:type="dxa"/>
            <w:vAlign w:val="bottom"/>
            <w:gridSpan w:val="5"/>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Gain (Loss) Recognized in Income on</w:t>
            </w: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left="80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3"/>
                <w:szCs w:val="3"/>
                <w:color w:val="auto"/>
              </w:rPr>
            </w:pPr>
          </w:p>
        </w:tc>
        <w:tc>
          <w:tcPr>
            <w:tcW w:w="35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restart"/>
          </w:tcPr>
          <w:p>
            <w:pPr>
              <w:jc w:val="right"/>
              <w:ind w:right="52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44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 - Ria Operations</w:t>
            </w:r>
          </w:p>
        </w:tc>
        <w:tc>
          <w:tcPr>
            <w:tcW w:w="1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Foreign currency exchange (loss), net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8"/>
        <w:spacing w:after="0" w:line="266" w:lineRule="auto"/>
        <w:tabs>
          <w:tab w:leader="none" w:pos="2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right="20"/>
        <w:spacing w:after="0" w:line="250" w:lineRule="auto"/>
        <w:rPr>
          <w:sz w:val="20"/>
          <w:szCs w:val="20"/>
          <w:color w:val="auto"/>
        </w:rPr>
      </w:pPr>
      <w:r>
        <w:rPr>
          <w:rFonts w:ascii="Times New Roman" w:cs="Times New Roman" w:eastAsia="Times New Roman" w:hAnsi="Times New Roman"/>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60" w:lineRule="auto"/>
        <w:rPr>
          <w:sz w:val="20"/>
          <w:szCs w:val="20"/>
          <w:color w:val="auto"/>
        </w:rPr>
      </w:pPr>
      <w:r>
        <w:rPr>
          <w:rFonts w:ascii="Times New Roman" w:cs="Times New Roman" w:eastAsia="Times New Roman" w:hAnsi="Times New Roman"/>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 details financial assets and liabilities measured and recorded at fair value on a recurring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vMerge w:val="restart"/>
          </w:tcPr>
          <w:p>
            <w:pPr>
              <w:spacing w:after="0"/>
              <w:rPr>
                <w:sz w:val="11"/>
                <w:szCs w:val="11"/>
                <w:color w:val="auto"/>
              </w:rPr>
            </w:pPr>
          </w:p>
        </w:tc>
        <w:tc>
          <w:tcPr>
            <w:tcW w:w="134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80" w:type="dxa"/>
            <w:vAlign w:val="bottom"/>
          </w:tcPr>
          <w:p>
            <w:pPr>
              <w:spacing w:after="0"/>
              <w:rPr>
                <w:sz w:val="11"/>
                <w:szCs w:val="11"/>
                <w:color w:val="auto"/>
              </w:rPr>
            </w:pPr>
          </w:p>
        </w:tc>
        <w:tc>
          <w:tcPr>
            <w:tcW w:w="10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vMerge w:val="restart"/>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43"/>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479"/>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vMerge w:val="restart"/>
          </w:tcPr>
          <w:p>
            <w:pPr>
              <w:spacing w:after="0"/>
              <w:rPr>
                <w:sz w:val="11"/>
                <w:szCs w:val="11"/>
                <w:color w:val="auto"/>
              </w:rPr>
            </w:pPr>
          </w:p>
        </w:tc>
        <w:tc>
          <w:tcPr>
            <w:tcW w:w="134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80" w:type="dxa"/>
            <w:vAlign w:val="bottom"/>
          </w:tcPr>
          <w:p>
            <w:pPr>
              <w:spacing w:after="0"/>
              <w:rPr>
                <w:sz w:val="11"/>
                <w:szCs w:val="11"/>
                <w:color w:val="auto"/>
              </w:rPr>
            </w:pP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vMerge w:val="restart"/>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liabilities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Disclosures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as of March 31, 2024 was based on the Secured Overnight Financing Rate ("SOFR") that resets at various intervals of less than one year. The Company estimates the fair value of the Convertible Notes and Senior Notes using quoted prices in inactive markets for identical liabilities (Level 2). </w:t>
      </w:r>
      <w:r>
        <w:rPr>
          <w:rFonts w:ascii="Times New Roman" w:cs="Times New Roman" w:eastAsia="Times New Roman" w:hAnsi="Times New Roman"/>
          <w:sz w:val="18"/>
          <w:szCs w:val="18"/>
          <w:color w:val="252525"/>
        </w:rPr>
        <w:t>As of March 31, 2024,</w:t>
      </w:r>
      <w:r>
        <w:rPr>
          <w:rFonts w:ascii="Times New Roman" w:cs="Times New Roman" w:eastAsia="Times New Roman" w:hAnsi="Times New Roman"/>
          <w:sz w:val="18"/>
          <w:szCs w:val="18"/>
          <w:color w:val="auto"/>
        </w:rPr>
        <w:t xml:space="preserve"> the fair values of the Convertible Notes and Senior Notes were $538.0 million and $609.0 million, respectively, with carrying values of $525.0 million and $646.9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Our reportable operating segments have been determined in accordance with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currently operates in the following three reportable operating segments:</w:t>
      </w:r>
    </w:p>
    <w:p>
      <w:pPr>
        <w:spacing w:after="0" w:line="160" w:lineRule="exact"/>
        <w:rPr>
          <w:sz w:val="20"/>
          <w:szCs w:val="20"/>
          <w:color w:val="auto"/>
        </w:rPr>
      </w:pPr>
    </w:p>
    <w:p>
      <w:pPr>
        <w:jc w:val="both"/>
        <w:ind w:firstLine="278"/>
        <w:spacing w:after="0" w:line="258" w:lineRule="auto"/>
        <w:tabs>
          <w:tab w:leader="none" w:pos="4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EFT Processing Segment, the Company processes transactions for a network of ATMs and POS terminals across Europe, the Middle East, Africa, Asia Pacific and the United States. Euronet provides comprehensive electronic payment solutions consisting of ATM cash withdrawal and deposit services, ATM network participation, outsourced ATM and POS management solutions, credit, debit and prepaid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8" w:name="page19"/>
    <w:bookmarkEnd w:id="18"/>
    <w:p>
      <w:pPr>
        <w:jc w:val="both"/>
        <w:ind w:firstLine="278"/>
        <w:spacing w:after="0" w:line="266" w:lineRule="auto"/>
        <w:tabs>
          <w:tab w:leader="none" w:pos="4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epay Segment, Euronet provides distribution, processing and collection services for electronic payment products, and prepaid mobile airtime through a network of POS terminals in Europe, the Middle East, Asia Pacific, South America and North America. The epay Segment also provides vouchers and physical gift fulfillment services in Europe.</w:t>
      </w:r>
    </w:p>
    <w:p>
      <w:pPr>
        <w:spacing w:after="0" w:line="175" w:lineRule="exact"/>
        <w:rPr>
          <w:rFonts w:ascii="Times New Roman" w:cs="Times New Roman" w:eastAsia="Times New Roman" w:hAnsi="Times New Roman"/>
          <w:sz w:val="18"/>
          <w:szCs w:val="18"/>
          <w:color w:val="auto"/>
        </w:rPr>
      </w:pPr>
    </w:p>
    <w:p>
      <w:pPr>
        <w:jc w:val="both"/>
        <w:ind w:firstLine="278"/>
        <w:spacing w:after="0" w:line="254" w:lineRule="auto"/>
        <w:tabs>
          <w:tab w:leader="none" w:pos="4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Money Transfer Segment, Euronet provides global consumer-to-consumer money transfer services, primarily under the brand names Ria, IME, AFEX, and xe, and global account-to-account money transfer services under the brand name xe. The Company offers services under the brand names Ria and IME through a network of sending agents, Company-owned stores, Company-owned websites, and mobile applications, disbursing money transfers through a worldwide correspondent network. xe is a provider of foreign currency exchange information and offers money transfer services on its currency data websites. The Company also offers customers bill payment services (primarily in the U.S.), payment alternatives such as money orders and prepaid debit cards, comprehensive check cashing services for a wide variety of issued checks, along with competitive foreign currency exchange services and prepaid mobile top-up. Furthermore, xe provides cash management solutions and foreign currency risk management services to small-to-medium sized businesses.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accounts for non-operating activity, share-based compensation expense, certain intersegment eliminations and the costs of providing corporate and other administrative services in the administrative division, "Corporate Services, Eliminations and Other." These services are not directly identifiable with the Company’s reportable operating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reportable segment results for the three months ended March 31, 2024 and 2023: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EFT</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Corporate Services,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28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epay</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384.6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857.0</w:t>
            </w:r>
          </w:p>
        </w:tc>
        <w:tc>
          <w:tcPr>
            <w:tcW w:w="0" w:type="dxa"/>
            <w:vAlign w:val="bottom"/>
          </w:tcPr>
          <w:p>
            <w:pPr>
              <w:spacing w:after="0"/>
              <w:rPr>
                <w:sz w:val="1"/>
                <w:szCs w:val="1"/>
                <w:color w:val="auto"/>
              </w:rPr>
            </w:pPr>
          </w:p>
        </w:tc>
      </w:tr>
      <w:tr>
        <w:trPr>
          <w:trHeight w:val="209"/>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533.7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347.4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793.0</w:t>
            </w:r>
          </w:p>
        </w:tc>
        <w:tc>
          <w:tcPr>
            <w:tcW w:w="0" w:type="dxa"/>
            <w:vAlign w:val="bottom"/>
          </w:tcPr>
          <w:p>
            <w:pPr>
              <w:spacing w:after="0"/>
              <w:rPr>
                <w:sz w:val="1"/>
                <w:szCs w:val="1"/>
                <w:color w:val="auto"/>
              </w:rPr>
            </w:pPr>
          </w:p>
        </w:tc>
      </w:tr>
      <w:tr>
        <w:trPr>
          <w:trHeight w:val="210"/>
        </w:trPr>
        <w:tc>
          <w:tcPr>
            <w:tcW w:w="46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2023</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EFT</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Corporate Services,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28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epay</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237.4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359.4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787.2</w:t>
            </w:r>
          </w:p>
        </w:tc>
        <w:tc>
          <w:tcPr>
            <w:tcW w:w="0" w:type="dxa"/>
            <w:vAlign w:val="bottom"/>
          </w:tcPr>
          <w:p>
            <w:pPr>
              <w:spacing w:after="0"/>
              <w:rPr>
                <w:sz w:val="1"/>
                <w:szCs w:val="1"/>
                <w:color w:val="auto"/>
              </w:rPr>
            </w:pPr>
          </w:p>
        </w:tc>
      </w:tr>
      <w:tr>
        <w:trPr>
          <w:trHeight w:val="210"/>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491.6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326.8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741.6</w:t>
            </w:r>
          </w:p>
        </w:tc>
        <w:tc>
          <w:tcPr>
            <w:tcW w:w="0" w:type="dxa"/>
            <w:vAlign w:val="bottom"/>
          </w:tcPr>
          <w:p>
            <w:pPr>
              <w:spacing w:after="0"/>
              <w:rPr>
                <w:sz w:val="1"/>
                <w:szCs w:val="1"/>
                <w:color w:val="auto"/>
              </w:rPr>
            </w:pPr>
          </w:p>
        </w:tc>
      </w:tr>
      <w:tr>
        <w:trPr>
          <w:trHeight w:val="210"/>
        </w:trPr>
        <w:tc>
          <w:tcPr>
            <w:tcW w:w="46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total assets by reportable segment: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Total Assets as of</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vMerge w:val="continue"/>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43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4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2,554.3</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2,442.0</w:t>
            </w:r>
          </w:p>
        </w:tc>
        <w:tc>
          <w:tcPr>
            <w:tcW w:w="0" w:type="dxa"/>
            <w:vAlign w:val="bottom"/>
          </w:tcPr>
          <w:p>
            <w:pPr>
              <w:spacing w:after="0"/>
              <w:rPr>
                <w:sz w:val="1"/>
                <w:szCs w:val="1"/>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1,008.0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1,204.9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4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1,829.4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1,921.2</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40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326.3</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5,693.6</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5,894.4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08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6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10"/>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Revenues for the Three months ended March 31, 2024</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11"/>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Revenues for the Three months ended March 31, 2023</w:t>
            </w:r>
          </w:p>
        </w:tc>
        <w:tc>
          <w:tcPr>
            <w:tcW w:w="0" w:type="dxa"/>
            <w:vAlign w:val="bottom"/>
          </w:tcPr>
          <w:p>
            <w:pPr>
              <w:spacing w:after="0"/>
              <w:rPr>
                <w:sz w:val="1"/>
                <w:szCs w:val="1"/>
                <w:color w:val="auto"/>
              </w:rPr>
            </w:pPr>
          </w:p>
        </w:tc>
      </w:tr>
      <w:tr>
        <w:trPr>
          <w:trHeight w:val="136"/>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1"/>
                <w:szCs w:val="11"/>
                <w:color w:val="auto"/>
              </w:rPr>
            </w:pPr>
          </w:p>
        </w:tc>
        <w:tc>
          <w:tcPr>
            <w:tcW w:w="94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4"/>
                <w:szCs w:val="14"/>
                <w:b w:val="1"/>
                <w:bCs w:val="1"/>
                <w:color w:val="auto"/>
              </w:rPr>
              <w:t>EFT</w:t>
            </w:r>
          </w:p>
        </w:tc>
        <w:tc>
          <w:tcPr>
            <w:tcW w:w="240" w:type="dxa"/>
            <w:vAlign w:val="bottom"/>
          </w:tcPr>
          <w:p>
            <w:pPr>
              <w:spacing w:after="0"/>
              <w:rPr>
                <w:sz w:val="11"/>
                <w:szCs w:val="11"/>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epay</w:t>
            </w:r>
          </w:p>
        </w:tc>
        <w:tc>
          <w:tcPr>
            <w:tcW w:w="160" w:type="dxa"/>
            <w:vAlign w:val="bottom"/>
          </w:tcPr>
          <w:p>
            <w:pPr>
              <w:spacing w:after="0"/>
              <w:rPr>
                <w:sz w:val="11"/>
                <w:szCs w:val="11"/>
                <w:color w:val="auto"/>
              </w:rPr>
            </w:pPr>
          </w:p>
        </w:tc>
        <w:tc>
          <w:tcPr>
            <w:tcW w:w="92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4"/>
                <w:szCs w:val="14"/>
                <w:b w:val="1"/>
                <w:bCs w:val="1"/>
                <w:color w:val="auto"/>
              </w:rPr>
              <w:t>Money</w:t>
            </w:r>
          </w:p>
        </w:tc>
        <w:tc>
          <w:tcPr>
            <w:tcW w:w="22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94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4"/>
                <w:szCs w:val="14"/>
                <w:b w:val="1"/>
                <w:bCs w:val="1"/>
                <w:color w:val="auto"/>
              </w:rPr>
              <w:t>EFT</w:t>
            </w:r>
          </w:p>
        </w:tc>
        <w:tc>
          <w:tcPr>
            <w:tcW w:w="240" w:type="dxa"/>
            <w:vAlign w:val="bottom"/>
          </w:tcPr>
          <w:p>
            <w:pPr>
              <w:spacing w:after="0"/>
              <w:rPr>
                <w:sz w:val="11"/>
                <w:szCs w:val="11"/>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epay</w:t>
            </w:r>
          </w:p>
        </w:tc>
        <w:tc>
          <w:tcPr>
            <w:tcW w:w="180" w:type="dxa"/>
            <w:vAlign w:val="bottom"/>
          </w:tcPr>
          <w:p>
            <w:pPr>
              <w:spacing w:after="0"/>
              <w:rPr>
                <w:sz w:val="11"/>
                <w:szCs w:val="11"/>
                <w:color w:val="auto"/>
              </w:rPr>
            </w:pPr>
          </w:p>
        </w:tc>
        <w:tc>
          <w:tcPr>
            <w:tcW w:w="900" w:type="dxa"/>
            <w:vAlign w:val="bottom"/>
            <w:gridSpan w:val="2"/>
          </w:tcPr>
          <w:p>
            <w:pPr>
              <w:jc w:val="center"/>
              <w:ind w:right="200"/>
              <w:spacing w:after="0" w:line="136" w:lineRule="exact"/>
              <w:rPr>
                <w:sz w:val="20"/>
                <w:szCs w:val="20"/>
                <w:color w:val="auto"/>
              </w:rPr>
            </w:pPr>
            <w:r>
              <w:rPr>
                <w:rFonts w:ascii="Times New Roman" w:cs="Times New Roman" w:eastAsia="Times New Roman" w:hAnsi="Times New Roman"/>
                <w:sz w:val="14"/>
                <w:szCs w:val="14"/>
                <w:b w:val="1"/>
                <w:bCs w:val="1"/>
                <w:color w:val="auto"/>
              </w:rPr>
              <w:t>Money</w:t>
            </w:r>
          </w:p>
        </w:tc>
        <w:tc>
          <w:tcPr>
            <w:tcW w:w="240" w:type="dxa"/>
            <w:vAlign w:val="bottom"/>
          </w:tcPr>
          <w:p>
            <w:pPr>
              <w:spacing w:after="0"/>
              <w:rPr>
                <w:sz w:val="11"/>
                <w:szCs w:val="11"/>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2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2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2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2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2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60" w:type="dxa"/>
            <w:vAlign w:val="bottom"/>
            <w:tcBorders>
              <w:top w:val="single" w:sz="8" w:color="auto"/>
            </w:tcBorders>
            <w:shd w:val="clear" w:color="auto" w:fill="CCEEFF"/>
          </w:tcPr>
          <w:p>
            <w:pPr>
              <w:ind w:left="40"/>
              <w:spacing w:after="0" w:line="186" w:lineRule="exact"/>
              <w:rPr>
                <w:sz w:val="20"/>
                <w:szCs w:val="20"/>
                <w:color w:val="auto"/>
              </w:rPr>
            </w:pPr>
            <w:r>
              <w:rPr>
                <w:rFonts w:ascii="Times New Roman" w:cs="Times New Roman" w:eastAsia="Times New Roman" w:hAnsi="Times New Roman"/>
                <w:sz w:val="18"/>
                <w:szCs w:val="18"/>
                <w:color w:val="auto"/>
              </w:rPr>
              <w:t>Europe</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147.1</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166.6</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161.2</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6"/>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474.9</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134.8</w:t>
            </w: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6"/>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154.9</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149.3</w:t>
            </w: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shd w:val="clear" w:color="auto" w:fill="CCEEFF"/>
          </w:tcPr>
          <w:p>
            <w:pPr>
              <w:jc w:val="right"/>
              <w:ind w:right="60"/>
              <w:spacing w:after="0" w:line="186" w:lineRule="exact"/>
              <w:rPr>
                <w:sz w:val="20"/>
                <w:szCs w:val="20"/>
                <w:color w:val="auto"/>
              </w:rPr>
            </w:pPr>
            <w:r>
              <w:rPr>
                <w:rFonts w:ascii="Times New Roman" w:cs="Times New Roman" w:eastAsia="Times New Roman" w:hAnsi="Times New Roman"/>
                <w:sz w:val="18"/>
                <w:szCs w:val="18"/>
                <w:color w:val="auto"/>
              </w:rPr>
              <w:t>439.0</w:t>
            </w:r>
          </w:p>
        </w:tc>
        <w:tc>
          <w:tcPr>
            <w:tcW w:w="0" w:type="dxa"/>
            <w:vAlign w:val="bottom"/>
          </w:tcPr>
          <w:p>
            <w:pPr>
              <w:spacing w:after="0"/>
              <w:rPr>
                <w:sz w:val="1"/>
                <w:szCs w:val="1"/>
                <w:color w:val="auto"/>
              </w:rPr>
            </w:pPr>
          </w:p>
        </w:tc>
      </w:tr>
      <w:tr>
        <w:trPr>
          <w:trHeight w:val="179"/>
        </w:trPr>
        <w:tc>
          <w:tcPr>
            <w:tcW w:w="2660" w:type="dxa"/>
            <w:vAlign w:val="bottom"/>
            <w:tcBorders>
              <w:top w:val="single" w:sz="8" w:color="CCEEFF"/>
            </w:tcBorders>
            <w:gridSpan w:val="2"/>
          </w:tcPr>
          <w:p>
            <w:pPr>
              <w:ind w:left="40"/>
              <w:spacing w:after="0" w:line="179" w:lineRule="exact"/>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17.8</w:t>
            </w: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44.3</w:t>
            </w: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175.7</w:t>
            </w: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237.8</w:t>
            </w:r>
          </w:p>
        </w:tc>
        <w:tc>
          <w:tcPr>
            <w:tcW w:w="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18.0</w:t>
            </w:r>
          </w:p>
        </w:tc>
        <w:tc>
          <w:tcPr>
            <w:tcW w:w="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35.8</w:t>
            </w: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165.5</w:t>
            </w:r>
          </w:p>
        </w:tc>
        <w:tc>
          <w:tcPr>
            <w:tcW w:w="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219.3</w:t>
            </w:r>
          </w:p>
        </w:tc>
        <w:tc>
          <w:tcPr>
            <w:tcW w:w="60" w:type="dxa"/>
            <w:vAlign w:val="bottom"/>
            <w:tcBorders>
              <w:top w:val="single" w:sz="8" w:color="BBBBBB"/>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2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2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787.2</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-320675</wp:posOffset>
            </wp:positionV>
            <wp:extent cx="85725" cy="33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336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-867410</wp:posOffset>
            </wp:positionV>
            <wp:extent cx="34290"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1270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-867410</wp:posOffset>
            </wp:positionV>
            <wp:extent cx="34290"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1270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-867410</wp:posOffset>
            </wp:positionV>
            <wp:extent cx="34290" cy="12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1270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 was 37.9% and 46.5% for the three months ended March 31, 2024 and 2023 respectively. The Company's effective income tax rate for the three months ended March 31, 2024 was higher than the applicable statutory income tax rate of 21% mainly as a result of our U.S. deferred tax activity and certain foreign earnings being subject to higher local statutory tax rates and our U.S. deferred tax activity. Our effective income tax rate for the three months ended March 31, 2023 was higher than the applicable statutory income tax rate of 21% as a result of our U.S. deferred tax activity on foreign exchange positions and certain of our foreign earnings being subject to higher local statutory tax rates.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Pillar 2 guidelines published to date include transition and safe harbor rules around the implementation of the Pillar 2 global minimum tax of 15%. Based on current enacted legislation effective in 2024, the Company does not expect a material impact in 2024. We are monitoring developments and evaluating the impacts these new rules will have on our future income tax provision and effective income tax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$80.0 million of stand-by letters of credit/bank guarantees issued on the Company's behalf, of which $3.9 million are collateralized by cash deposits held by the respective issuing banks.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circumstances, the Company grants guarantees in support of obligations of subsidiaries. As of March 31, 2024, the Company had granted off balance sheet guarantees for cash in various ATM networks amounting to $10.7 million over the terms of the cash supply agreements and performance guarantees amounting to approximately $73.3 million over the terms of agreements with the Company's customers.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The Company's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139" w:lineRule="exact"/>
        <w:rPr>
          <w:sz w:val="20"/>
          <w:szCs w:val="20"/>
          <w:color w:val="auto"/>
        </w:rPr>
      </w:pPr>
    </w:p>
    <w:p>
      <w:pPr>
        <w:jc w:val="both"/>
        <w:ind w:left="540"/>
        <w:spacing w:after="0" w:line="257" w:lineRule="auto"/>
        <w:rPr>
          <w:sz w:val="20"/>
          <w:szCs w:val="20"/>
          <w:color w:val="auto"/>
        </w:rPr>
      </w:pPr>
      <w:r>
        <w:rPr>
          <w:rFonts w:ascii="Times New Roman" w:cs="Times New Roman" w:eastAsia="Times New Roman" w:hAnsi="Times New Roman"/>
          <w:sz w:val="18"/>
          <w:szCs w:val="18"/>
          <w:color w:val="auto"/>
        </w:rPr>
        <w:t>In connection with contracts with financial institutions in the EFT Processing Segment, the Company is responsible for damage to ATMs and theft of ATM network cash. As of March 31, 2024, the balance of such cash used in the Company's ATM networks for which the Company was responsible was approximately $378.7 million. The Company maintains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In connection with contracts with financial institutions in the EFT Processing Segment, the Company is responsible for losses suffered by the Company's customers and other parties as a result of the breach of the Company's computer systems, including in particular, losses arising from fraudulent transactions made using information stolen through the Company's processing systems. The Company maintains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-508000</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The Company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the Company, the Company has agreed to indemnify the seller against third party claims made against the seller relating to the operating unit or asset and arising after the closing of the transaction, and (ii) in connection with dispositions made by the Company, the Company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-782320</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5" w:lineRule="auto"/>
        <w:rPr>
          <w:sz w:val="20"/>
          <w:szCs w:val="20"/>
          <w:color w:val="auto"/>
        </w:rPr>
      </w:pPr>
      <w:r>
        <w:rPr>
          <w:rFonts w:ascii="Times New Roman" w:cs="Times New Roman" w:eastAsia="Times New Roman" w:hAnsi="Times New Roman"/>
          <w:sz w:val="18"/>
          <w:szCs w:val="18"/>
          <w:color w:val="auto"/>
        </w:rPr>
        <w:t>The Company has entered into agreements with certain third parties, including banks that provide fiduciary and other services to the Company or the Company's benefit plans. Under such agreements, the Company has agreed to indemnify such service providers for third-party claims relating to carrying out their respective duties under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-379730</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required to meet minimum capitalization and cash requirements of various regulatory authorities in the jurisdictions in which the Company has operations. The Company has obtained surety bonds in compliance with money transfer licensing requirements of the applicable governmental authorities.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the Company is not aware of any significant claims made by the indemnified parties or third parties to guarantee agreements with the Company and, accordingly, no liabilities were recorded as of March 31, 2024 or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LITIGATION AND CONTINGENCIES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From time to time, the Company is a party to legal or regulatory proceedings arising in the ordinary course of the Company's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 value of lease payments is determined using the incremental borrowing rate based on information available at the lease commencement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lease expense for these leases on a straight-line basis over the lease term.</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not to exercise termination options, payments for ATM site leases with termination options subject to the short-term lease exemption are expensed in the period incurred and corresponding leases are excluded from the right of use lease asset and lease liability balances.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lease 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lease terms in excess of one year) as of March 31, 2024 are: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94"/>
        </w:trPr>
        <w:tc>
          <w:tcPr>
            <w:tcW w:w="9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52"/>
        </w:trPr>
        <w:tc>
          <w:tcPr>
            <w:tcW w:w="9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Maturity of Lease Liabilities </w:t>
            </w:r>
            <w:r>
              <w:rPr>
                <w:rFonts w:ascii="Times New Roman" w:cs="Times New Roman" w:eastAsia="Times New Roman" w:hAnsi="Times New Roman"/>
                <w:sz w:val="14"/>
                <w:szCs w:val="14"/>
                <w:i w:val="1"/>
                <w:iCs w:val="1"/>
                <w:color w:val="auto"/>
              </w:rPr>
              <w:t>(in millions)</w:t>
            </w: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 Leases (1)</w:t>
            </w:r>
          </w:p>
        </w:tc>
      </w:tr>
      <w:tr>
        <w:trPr>
          <w:trHeight w:val="214"/>
        </w:trPr>
        <w:tc>
          <w:tcPr>
            <w:tcW w:w="9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9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9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9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17.4</w:t>
            </w:r>
          </w:p>
        </w:tc>
      </w:tr>
      <w:tr>
        <w:trPr>
          <w:trHeight w:val="209"/>
        </w:trPr>
        <w:tc>
          <w:tcPr>
            <w:tcW w:w="9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151.8</w:t>
            </w:r>
          </w:p>
        </w:tc>
      </w:tr>
      <w:tr>
        <w:trPr>
          <w:trHeight w:val="216"/>
        </w:trPr>
        <w:tc>
          <w:tcPr>
            <w:tcW w:w="9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9"/>
        </w:trPr>
        <w:tc>
          <w:tcPr>
            <w:tcW w:w="9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143.4</w:t>
            </w:r>
          </w:p>
        </w:tc>
      </w:tr>
    </w:tbl>
    <w:p>
      <w:pPr>
        <w:spacing w:after="0" w:line="292" w:lineRule="exact"/>
        <w:rPr>
          <w:sz w:val="20"/>
          <w:szCs w:val="20"/>
          <w:color w:val="auto"/>
        </w:rPr>
      </w:pPr>
    </w:p>
    <w:p>
      <w:pPr>
        <w:ind w:left="5540" w:right="2580" w:hanging="5208"/>
        <w:spacing w:after="0" w:line="548" w:lineRule="auto"/>
        <w:tabs>
          <w:tab w:leader="none" w:pos="6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payments reflect the Company's current fixed obligations under the operating lease agreements.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Lease expense recognized in the Consolidated Statements of Income is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Lease Expense</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53"/>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100" w:type="dxa"/>
            <w:vAlign w:val="bottom"/>
            <w:vMerge w:val="restart"/>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14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240" w:type="dxa"/>
            <w:vAlign w:val="bottom"/>
            <w:tcBorders>
              <w:bottom w:val="single" w:sz="8" w:color="auto"/>
            </w:tcBorders>
            <w:vMerge w:val="continue"/>
          </w:tcPr>
          <w:p>
            <w:pPr>
              <w:spacing w:after="0"/>
              <w:rPr>
                <w:sz w:val="15"/>
                <w:szCs w:val="15"/>
                <w:color w:val="auto"/>
              </w:rPr>
            </w:pPr>
          </w:p>
        </w:tc>
        <w:tc>
          <w:tcPr>
            <w:tcW w:w="41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Selling, general and administrative and Direct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expense</w:t>
            </w:r>
          </w:p>
        </w:tc>
        <w:tc>
          <w:tcPr>
            <w:tcW w:w="4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operating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240" w:type="dxa"/>
            <w:vAlign w:val="bottom"/>
          </w:tcPr>
          <w:p>
            <w:pPr>
              <w:spacing w:after="0"/>
              <w:rPr>
                <w:sz w:val="19"/>
                <w:szCs w:val="19"/>
                <w:color w:val="auto"/>
              </w:rPr>
            </w:pPr>
          </w:p>
        </w:tc>
        <w:tc>
          <w:tcPr>
            <w:tcW w:w="4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Selling, general and administrative and Direct</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and variable lease expense</w:t>
            </w:r>
          </w:p>
        </w:tc>
        <w:tc>
          <w:tcPr>
            <w:tcW w:w="4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operating costs</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expense</w:t>
            </w:r>
          </w:p>
        </w:tc>
        <w:tc>
          <w:tcPr>
            <w:tcW w:w="4100" w:type="dxa"/>
            <w:vAlign w:val="bottom"/>
            <w:tcBorders>
              <w:top w:val="single" w:sz="8" w:color="auto"/>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auto"/>
            </w:tcBorders>
          </w:tcPr>
          <w:p>
            <w:pPr>
              <w:spacing w:after="0" w:line="20" w:lineRule="exact"/>
              <w:rPr>
                <w:sz w:val="1"/>
                <w:szCs w:val="1"/>
                <w:color w:val="auto"/>
              </w:rPr>
            </w:pPr>
          </w:p>
        </w:tc>
        <w:tc>
          <w:tcPr>
            <w:tcW w:w="4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information about lease amounts recognized in the consolidated financial statements is summarized as follows:</w:t>
      </w:r>
    </w:p>
    <w:p>
      <w:pPr>
        <w:spacing w:after="0" w:line="3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Lease Term and Discount Rate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(years)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non-cash information related to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4.4</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2.7%</w:t>
      </w:r>
    </w:p>
    <w:p>
      <w:pPr>
        <w:spacing w:after="0" w:line="834" w:lineRule="exact"/>
        <w:rPr>
          <w:sz w:val="20"/>
          <w:szCs w:val="20"/>
          <w:color w:val="auto"/>
        </w:rPr>
      </w:pPr>
    </w:p>
    <w:p>
      <w:pPr>
        <w:sectPr>
          <w:pgSz w:w="11900" w:h="16838" w:orient="portrait"/>
          <w:cols w:equalWidth="0" w:num="2">
            <w:col w:w="9380" w:space="720"/>
            <w:col w:w="1140"/>
          </w:cols>
          <w:pgMar w:left="320" w:top="553" w:right="339" w:bottom="1440" w:gutter="0" w:footer="0" w:header="0"/>
          <w:type w:val="continuous"/>
        </w:sectPr>
      </w:pP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Other Information </w:t>
      </w: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Cash paid for amounts included in the measurement of lease liabilities </w:t>
      </w:r>
      <w:r>
        <w:rPr>
          <w:rFonts w:ascii="Times New Roman" w:cs="Times New Roman" w:eastAsia="Times New Roman" w:hAnsi="Times New Roman"/>
          <w:sz w:val="18"/>
          <w:szCs w:val="18"/>
          <w:i w:val="1"/>
          <w:iCs w:val="1"/>
          <w:color w:val="auto"/>
        </w:rPr>
        <w:t>(a)</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Supplemental non-cash information on lease liabilities arising from obtaining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2806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2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8"/>
        </w:trPr>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22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5"/>
        </w:trPr>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2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68"/>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12.7</w:t>
            </w:r>
          </w:p>
        </w:tc>
      </w:tr>
      <w:tr>
        <w:trPr>
          <w:trHeight w:val="54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30.5</w:t>
            </w:r>
          </w:p>
        </w:tc>
      </w:tr>
    </w:tbl>
    <w:p>
      <w:pPr>
        <w:spacing w:after="0" w:line="169" w:lineRule="exact"/>
        <w:rPr>
          <w:sz w:val="20"/>
          <w:szCs w:val="20"/>
          <w:color w:val="auto"/>
        </w:rPr>
      </w:pPr>
    </w:p>
    <w:p>
      <w:pPr>
        <w:sectPr>
          <w:pgSz w:w="11900" w:h="16838" w:orient="portrait"/>
          <w:cols w:equalWidth="0" w:num="2">
            <w:col w:w="7720" w:space="720"/>
            <w:col w:w="2800"/>
          </w:cols>
          <w:pgMar w:left="320" w:top="553" w:right="339" w:bottom="1440" w:gutter="0" w:footer="0" w:header="0"/>
          <w:type w:val="continuous"/>
        </w:sectPr>
      </w:pPr>
    </w:p>
    <w:p>
      <w:pPr>
        <w:ind w:left="5540" w:right="2460" w:hanging="5127"/>
        <w:spacing w:after="0" w:line="550" w:lineRule="auto"/>
        <w:tabs>
          <w:tab w:leader="none" w:pos="674"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Included in Net cash provided by operating activities on the Company's Consolidated Statements of Cash Flows. </w:t>
      </w: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trends affecting 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adequacy of capital to meet our capital requirements and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assumptions underlying our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ability to repay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estimated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potential outcome of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expectations regarding the closing of any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government regulatory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expected effects of changes in laws or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technological advances;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projected costs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reflected in these forward-looking statements are reasonable, we can give no assurance that these expectations will prove to be correct.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COVID-19 or other pandemics; inflation; the war in the Ukraine, and related economic sanctions; military conflicts in the Middle East; our ability to successfully integrate any acquired operations;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privacy and the European Union's General Data Protection Regulation, and Second Revised Payment Service Directive requirements; changes in laws and regulations affecting our business, including tax and immigration laws and any laws regulating payments, including DCC transactions</w:t>
      </w:r>
      <w:r>
        <w:rPr>
          <w:rFonts w:ascii="Times New Roman" w:cs="Times New Roman" w:eastAsia="Times New Roman" w:hAnsi="Times New Roman"/>
          <w:sz w:val="18"/>
          <w:szCs w:val="18"/>
          <w:u w:val="single" w:color="auto"/>
          <w:color w:val="008080"/>
        </w:rPr>
        <w:t>;</w:t>
      </w:r>
      <w:r>
        <w:rPr>
          <w:rFonts w:ascii="Times New Roman" w:cs="Times New Roman" w:eastAsia="Times New Roman" w:hAnsi="Times New Roman"/>
          <w:sz w:val="18"/>
          <w:szCs w:val="18"/>
          <w:color w:val="auto"/>
        </w:rPr>
        <w:t xml:space="preserve">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and those factors referred to above and as set forth and more fully described in Part I, Item 1A — Risk Factors of our Annual Report on Form 10-K for the year ended December 31, 2023. Our Annual Report on Form 10-K is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GEOGRAPHIC LOCATIONS AND PRINCIPAL PRODUCTS AND 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Euronet is a leading global financial technology solutions and payments provider. We offer payment and transaction processing and distribution solutions to financial institutions, retailers, service providers and individual consumers. Our primary product offerings include comprehensive ATM, point-of-sale ("POS"), card outsourcing, card issuing and merchant acquiring services, software solutions, electronic distribution of prepaid mobile airtime, managed services and other electronic payment products, foreign currency exchange services and global money transfer services. We operate in the following three segments:</w:t>
      </w:r>
    </w:p>
    <w:p>
      <w:pPr>
        <w:spacing w:after="0" w:line="183" w:lineRule="exact"/>
        <w:rPr>
          <w:sz w:val="20"/>
          <w:szCs w:val="20"/>
          <w:color w:val="auto"/>
        </w:rPr>
      </w:pPr>
    </w:p>
    <w:p>
      <w:pPr>
        <w:jc w:val="both"/>
        <w:ind w:firstLine="8"/>
        <w:spacing w:after="0" w:line="261" w:lineRule="auto"/>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meets the needs of financial institutions and consumers through Euronet-owned and outsourced ATMs and POS terminals combined with value added and transaction processing services. We deploy and operate our own ATMs, providing ATM services for financial institutions and providing electronic payment processing solutions. EFT offers a suite of integrated electronic financial transaction software solutions for electronic payment and transaction delivery systems. Transactions processed span a network of 49,290 active ATMs and approximately 713,000 POS terminals.</w:t>
      </w:r>
    </w:p>
    <w:p>
      <w:pPr>
        <w:spacing w:after="0" w:line="179" w:lineRule="exact"/>
        <w:rPr>
          <w:rFonts w:ascii="Times New Roman" w:cs="Times New Roman" w:eastAsia="Times New Roman" w:hAnsi="Times New Roman"/>
          <w:sz w:val="18"/>
          <w:szCs w:val="18"/>
          <w:color w:val="auto"/>
        </w:rPr>
      </w:pPr>
    </w:p>
    <w:p>
      <w:pPr>
        <w:jc w:val="both"/>
        <w:ind w:firstLine="8"/>
        <w:spacing w:after="0" w:line="255" w:lineRule="auto"/>
        <w:tabs>
          <w:tab w:leader="none" w:pos="2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provides retail payment solutions and delivers innovative connections between the digital content of the world’s leading brands and consumers. epay has one of the largest retail networks across Europe and Asia for the distribution of physical and digital third-party content, including branded payments, mobile, and alternative payments, partnering with 1,000+ of the world’s leading brands. In addition, through our own products, we have leveraged our technology to solve business challenges, delivering scalable solutions to drive efficiency and effectiveness. Our comprehensive range of consumer products simplifies transactions and provides financial convenience across a wide range of branded payments. epay operates in 60+ countries. We operate a network that includes approximately 808,000 POS terminals that enable electronic processing of prepaid mobile airtime "top-up" services and other digital media content.</w:t>
      </w:r>
    </w:p>
    <w:p>
      <w:pPr>
        <w:spacing w:after="0" w:line="188" w:lineRule="exact"/>
        <w:rPr>
          <w:rFonts w:ascii="Times New Roman" w:cs="Times New Roman" w:eastAsia="Times New Roman" w:hAnsi="Times New Roman"/>
          <w:sz w:val="18"/>
          <w:szCs w:val="18"/>
          <w:color w:val="auto"/>
        </w:rPr>
      </w:pPr>
    </w:p>
    <w:p>
      <w:pPr>
        <w:jc w:val="both"/>
        <w:ind w:firstLine="8"/>
        <w:spacing w:after="0" w:line="254"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Transfer Segment provides global money transfers and currency exchange information in retail stores, apps, and websites through Ria Money Transfer, Xe and the Dandelion cross-border real-time payments network. Euronet’s Money Transfer segment offers real-time, cross-border payments to consumers and businesses across 198 countries and territories, enabling banks, fintechs and big tech platforms to integrate an international payments solution into their own platforms. Ria Money Transfer offers real-time international money transfers with a special focus on emerging markets. In addition, Ria offers safe and affordable money transfers through a global network of cash locations and online, serving over 20 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six processing centers in Europe,seven in Asia Pacific and two in North America. We have 36 principal offices in Europe, 14 in Asia Pacific, 10 in North America, three in the Middle East, two in South America and one in Africa. Our executive offices are located in Leawood, Kansas, USA. With approximately 74%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 AND CASH FLOW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EFT Processing Segment </w:t>
      </w:r>
      <w:r>
        <w:rPr>
          <w:rFonts w:ascii="Times New Roman" w:cs="Times New Roman" w:eastAsia="Times New Roman" w:hAnsi="Times New Roman"/>
          <w:sz w:val="18"/>
          <w:szCs w:val="18"/>
          <w:color w:val="auto"/>
        </w:rPr>
        <w:t>— Revenues in the EFT Processing Segment, which represented approximately 25% of total consolidated revenues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2024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epay Segment </w:t>
      </w:r>
      <w:r>
        <w:rPr>
          <w:rFonts w:ascii="Times New Roman" w:cs="Times New Roman" w:eastAsia="Times New Roman" w:hAnsi="Times New Roman"/>
          <w:sz w:val="18"/>
          <w:szCs w:val="18"/>
          <w:color w:val="auto"/>
        </w:rPr>
        <w:t>— Revenues in the epay Segment, which represented approximately 30% of total consolidated revenues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as compared with other electronic products has decreased over time, and digital media content now produces approximately 67% of epay Segment revenues. Other electronic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Money Transfer Segment </w:t>
      </w:r>
      <w:r>
        <w:rPr>
          <w:rFonts w:ascii="Times New Roman" w:cs="Times New Roman" w:eastAsia="Times New Roman" w:hAnsi="Times New Roman"/>
          <w:sz w:val="18"/>
          <w:szCs w:val="18"/>
          <w:color w:val="auto"/>
        </w:rPr>
        <w:t>— Revenues in the Money Transfer Segment, which represented approximately 45% of total consolidated revenues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2024, respectively,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Ria, and xe branded websites, along with a worldwide network of correspondent agents, consisting primarily of financial institutions in the transfer destination countries. Under the brand "Dandelion", Ria offers payment processing services to third party partners. The Dandelion cross-border payments platform provides financial institutions, fintechs such as digital wallets and banks, and enterprise software companies access to Euronet's money transfer network through an API connection. Sending and correspondent agents each earn fees for cash collection and distribution services, which are recognized as direct operating costs at the time of sale. .</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Services, Eliminations and Other </w:t>
      </w:r>
      <w:r>
        <w:rPr>
          <w:rFonts w:ascii="Times New Roman" w:cs="Times New Roman" w:eastAsia="Times New Roman" w:hAnsi="Times New Roman"/>
          <w:sz w:val="18"/>
          <w:szCs w:val="18"/>
          <w:color w:val="auto"/>
        </w:rPr>
        <w:t>— In addition to operating in our principal operating segments described above, our “Corporate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Opportunities and Challenges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spacing w:after="0" w:line="174" w:lineRule="exact"/>
        <w:rPr>
          <w:sz w:val="20"/>
          <w:szCs w:val="20"/>
          <w:color w:val="auto"/>
        </w:rPr>
      </w:pPr>
    </w:p>
    <w:p>
      <w:pPr>
        <w:jc w:val="both"/>
        <w:ind w:firstLine="8"/>
        <w:spacing w:after="0" w:line="255" w:lineRule="auto"/>
        <w:tabs>
          <w:tab w:leader="none" w:pos="1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opportunities include physical expansion into target markets, developing value-added products or services, increasing high value DCC and surcharge transactions and efficiently leveraging our portfolio of software solutions. Our opportunities are dependent on renewing and expanding our card acceptance, ATM, POS and merchant acquiring services, cash supply and other commercial agreements with customers and financial institutions. Operational challenges in the EFT Processing Segment include obtaining and maintaining the required licenses and sponsorship agreements in</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markets in which we operate and navigating frequently changing rules imposed by international card organizations, such as Visa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Mastercard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that govern ATM interchange fees, direct access fees and other restrictions. Our profitability is dependent on the laws and regulations that govern DCC transactions, specifically in the E.U., as well as the laws and regulations of each country in which we operate. These laws and regulations may impact our cross-border and cross-currency transactions. The timing and amount of revenues in the EFT Processing Segment is uncertain and unpredictable due to inherent limitations in managing our estate of ATMs. Our ATM estate is dependent on contracts that cover large numbers of ATMs, and management is complicated by legal and regulatory considerations of local countries, as well as customers' decisions whether to outsource ATMs. Inflationary pressure may impact our business as travelers have less cash available to spend on vacations.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6" w:name="page27"/>
    <w:bookmarkEnd w:id="26"/>
    <w:p>
      <w:pPr>
        <w:jc w:val="both"/>
        <w:ind w:firstLine="8"/>
        <w:spacing w:after="0" w:line="254" w:lineRule="auto"/>
        <w:tabs>
          <w:tab w:leader="none" w:pos="1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opportunities include renewing existing and negotiating new agreements in target markets in which we operate, primarily with digital content providers, mobile operators, financial institutions and retailers. The overall growth rate in the digital media content and prepaid mobile phone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spacing w:after="0" w:line="188" w:lineRule="exact"/>
        <w:rPr>
          <w:rFonts w:ascii="Times New Roman" w:cs="Times New Roman" w:eastAsia="Times New Roman" w:hAnsi="Times New Roman"/>
          <w:sz w:val="18"/>
          <w:szCs w:val="18"/>
          <w:color w:val="auto"/>
        </w:rPr>
      </w:pPr>
    </w:p>
    <w:p>
      <w:pPr>
        <w:jc w:val="both"/>
        <w:ind w:firstLine="8"/>
        <w:spacing w:after="0" w:line="254" w:lineRule="auto"/>
        <w:tabs>
          <w:tab w:leader="none" w:pos="2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inherent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 Recently, inflation has been increasing our cost structure in many parts of the world in which we operate.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SEGMENT SUMMARY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operating income by segment for the three months ended March 31, 2024 and 2023 are summarized in the tables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 for the Three Months Ended</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200" w:type="dxa"/>
            <w:vAlign w:val="bottom"/>
          </w:tcPr>
          <w:p>
            <w:pPr>
              <w:spacing w:after="0"/>
              <w:rPr>
                <w:sz w:val="12"/>
                <w:szCs w:val="12"/>
                <w:color w:val="auto"/>
              </w:rPr>
            </w:pPr>
          </w:p>
        </w:tc>
        <w:tc>
          <w:tcPr>
            <w:tcW w:w="114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3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2"/>
                <w:szCs w:val="12"/>
                <w:color w:val="auto"/>
              </w:rPr>
            </w:pPr>
          </w:p>
        </w:tc>
        <w:tc>
          <w:tcPr>
            <w:tcW w:w="140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55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1"/>
        </w:trPr>
        <w:tc>
          <w:tcPr>
            <w:tcW w:w="5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20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359.4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858.9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69.9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857.0</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787.2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69.8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Operating Income (Loss) for the Three</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Months Ended March 31,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5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5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200" w:type="dxa"/>
            <w:vAlign w:val="bottom"/>
          </w:tcPr>
          <w:p>
            <w:pPr>
              <w:spacing w:after="0"/>
              <w:rPr>
                <w:sz w:val="23"/>
                <w:szCs w:val="23"/>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18.4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26</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Impact of changes in foreign currency exchange rates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Translation Rate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9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Currency (dollars per foreign currency)</w:t>
            </w:r>
          </w:p>
        </w:tc>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140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3920" w:type="dxa"/>
            <w:vAlign w:val="bottom"/>
            <w:vMerge w:val="continue"/>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2"/>
        </w:trPr>
        <w:tc>
          <w:tcPr>
            <w:tcW w:w="39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Australian dollar</w:t>
            </w:r>
          </w:p>
        </w:tc>
        <w:tc>
          <w:tcPr>
            <w:tcW w:w="2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0.6521</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0.6837</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British pounds sterling</w:t>
            </w:r>
          </w:p>
        </w:tc>
        <w:tc>
          <w:tcPr>
            <w:tcW w:w="3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1.2638</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1.2146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Canadian dollar</w:t>
            </w:r>
          </w:p>
        </w:tc>
        <w:tc>
          <w:tcPr>
            <w:tcW w:w="32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0.7400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0.7399</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3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1.0800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1.0725</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Hungarian forint</w:t>
            </w:r>
          </w:p>
        </w:tc>
        <w:tc>
          <w:tcPr>
            <w:tcW w:w="32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0.0028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0.0028</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Indian rupee</w:t>
            </w:r>
          </w:p>
        </w:tc>
        <w:tc>
          <w:tcPr>
            <w:tcW w:w="3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0.0120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0.0122</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Malaysian ringgit</w:t>
            </w:r>
          </w:p>
        </w:tc>
        <w:tc>
          <w:tcPr>
            <w:tcW w:w="32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0.2114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0.2281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Zealand dollar</w:t>
            </w:r>
          </w:p>
        </w:tc>
        <w:tc>
          <w:tcPr>
            <w:tcW w:w="3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0.6056</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0.6296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Polish zloty</w:t>
            </w:r>
          </w:p>
        </w:tc>
        <w:tc>
          <w:tcPr>
            <w:tcW w:w="32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0.2509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0.2279</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29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92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THREE MONTHS ENDED MARCH 31,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EFT PROCESSING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our EFT Processing Segment for the three months ended March 31,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148"/>
        </w:trPr>
        <w:tc>
          <w:tcPr>
            <w:tcW w:w="5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240" w:type="dxa"/>
            <w:vAlign w:val="bottom"/>
          </w:tcPr>
          <w:p>
            <w:pPr>
              <w:spacing w:after="0"/>
              <w:rPr>
                <w:sz w:val="12"/>
                <w:szCs w:val="12"/>
                <w:color w:val="auto"/>
              </w:rPr>
            </w:pPr>
          </w:p>
        </w:tc>
        <w:tc>
          <w:tcPr>
            <w:tcW w:w="110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 Percent</w:t>
            </w:r>
          </w:p>
        </w:tc>
        <w:tc>
          <w:tcPr>
            <w:tcW w:w="0" w:type="dxa"/>
            <w:vAlign w:val="bottom"/>
          </w:tcPr>
          <w:p>
            <w:pPr>
              <w:spacing w:after="0"/>
              <w:rPr>
                <w:sz w:val="1"/>
                <w:szCs w:val="1"/>
                <w:color w:val="auto"/>
              </w:rPr>
            </w:pPr>
          </w:p>
        </w:tc>
      </w:tr>
      <w:tr>
        <w:trPr>
          <w:trHeight w:val="242"/>
        </w:trPr>
        <w:tc>
          <w:tcPr>
            <w:tcW w:w="5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0.9</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52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14.6</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666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Active ATMs as of March 31,</w:t>
            </w:r>
          </w:p>
        </w:tc>
        <w:tc>
          <w:tcPr>
            <w:tcW w:w="2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49,290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47,430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1,860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Active ATMs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47,944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46,275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1,669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EFT Processing Segment total revenues were $217.2 million for the three months ended March 31, 2024, an increase of $25.0 million or 13% compared to the same period in 2023. The increase in revenues was primarily due to the increase in domestic and international cash withdrawal transactions resulting from the increase in travel bringing more tourists, the increase in low-value point-of-sale transactions in Europe and low-value payment processing transactions in Asia Pacific. Fluctuations in foreign currency exchange rates increased revenues by approximately $1.3 million for the three months ended March 31, 2024 compared to the same period in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EFT Processing Segment direct operating costs were $131.1 million for the three months ended March 31, 2024, an increase of $12.1 million or 10% compared to the same period in 2023.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direct costs was primarily due to the increase in number of ATMs, and an increase in high volume low value cash transactions in Asia Pacific. Fluctuations in foreign currency exchange rates increased direct operating costs by approximately $1.7 million for the three months ended March 31, 2024 compared to the same period in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which is calculated as revenues less direct operating costs, was $86.1 million for the three months ended March 31, 2024, an increase of $12.9 million or 18% compared to $73.2 million for the same period in 2023. Gross profit as a percentage of revenues (“gross margin”) increased to 39.6% for the three months ended March 31, 2024, compared to 38.1% for the same period in 2023. The increase in gross profit was primarily due to the increase in domestic and international cash withdrawal transactions resulting from the increase in travel bringing more tourists, the increase in low-value point-of-sale transactions in Europe and low-value payment processing transactions in Asia Pacific.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Salaries and benefits expenses were $31.8 million for the three months ended March 31, 2024, an increase of $4.3 million or 16% compared to the same period in 2023. The increase is primarily due to an increase in headcount to support the growth of the business and salary increases due to inflationary pressures. Fluctuations in foreign currency exchange rates in the countries in which we employ our workforce increased salaries by approximately $0.3 million for the three months ended March 31, 2024 As a percentage of revenues, salary expense increased to 14.6% for the three months ended March 31, 2024, compared to 14.3% for the same period in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$9.2 million for the three months ended March 31, 2024, a decrease of $6.9 million or 43% compared to the same period in 2023. The decrease was primarily due to a decrease in professional fees and the refund of a duty fee. As a percentage of revenues, these expenses decreased to 4.2% for the three months ended March 31, 2024, compared to 8.4% for the same period in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were $23.6 million for the three months ended March 31, 2024, an increase of $0.9 million or 4% compared to the same period in 2023. As a percentage of revenues, these expenses decreased to 10.9% for the three months ended March 31, 2024, compared to 11.8% for the same period in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EFT Processing Segment had operating income of $21.5 million for the three months ended March 31, 2024, an increase of $14.6 million or 212% compared to the same period in 2023. Operating income as a percentage of revenues (“operating margin”) increased to 9.9% for the three months ended March 31, 2024, compared to 3.6% for the same period in 2023. The increase in operating income was primarily due to a decrease in professional fees and the refund of a duty fee paid and expensed during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months ended March 31, 2024 and 2023 for our epay Segment: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260" w:type="dxa"/>
            <w:vAlign w:val="bottom"/>
          </w:tcPr>
          <w:p>
            <w:pPr>
              <w:spacing w:after="0"/>
              <w:rPr>
                <w:sz w:val="12"/>
                <w:szCs w:val="12"/>
                <w:color w:val="auto"/>
              </w:rPr>
            </w:pPr>
          </w:p>
        </w:tc>
        <w:tc>
          <w:tcPr>
            <w:tcW w:w="108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5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 Percent</w:t>
            </w:r>
          </w:p>
        </w:tc>
        <w:tc>
          <w:tcPr>
            <w:tcW w:w="0" w:type="dxa"/>
            <w:vAlign w:val="bottom"/>
          </w:tcPr>
          <w:p>
            <w:pPr>
              <w:spacing w:after="0"/>
              <w:rPr>
                <w:sz w:val="1"/>
                <w:szCs w:val="1"/>
                <w:color w:val="auto"/>
              </w:rPr>
            </w:pPr>
          </w:p>
        </w:tc>
      </w:tr>
      <w:tr>
        <w:trPr>
          <w:trHeight w:val="241"/>
        </w:trPr>
        <w:tc>
          <w:tcPr>
            <w:tcW w:w="5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552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epay Segment total revenues were $257.1 million for the three months ended March 31, 2024, an increase of $19.7 million or 8% compared to the same period in 2023. The increase in revenue for the three months ended March 31, 2024 was driven by continued expansion in mobile and digital branded payments. Fluctuations in foreign currency exchange rates increased revenue by approximately $1.2 million for the three months ended March 31, 2024, compared to the same period in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per transaction increased to $0.27 for the three months ended March 31, 2024, compared to $0.24 for the same period in 2023. The increase in revenue per transaction was primarily due to the rise in account activations, coupled with improved margins, reduced costs, and a boost in sales volume, offset by declines in promotional campaigns delivered on behalf of our retail partners that were recognized in the prior year that did not repeat in the first quarter this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epay Segment direct operating costs were $195.1 million for the three months ended March 31, 2024, an increase of $17.0 million or 10% compared to the same period in 2023. Direct operating costs primarily consist of the commissions paid to retail merchants for the distribution and sale of prepaid mobile airtime and other prepaid products, expenses incurred to operate POS terminals and the cost of vouchers sold and physical gifts fulfilled. Foreign currency exchange rates increased direct operating costs by $1.2 million for the three months ended March 31, 2024 compared to the same period in 2023. The increase in direct operating costs was the result of increase in business activity and inflationary pressure.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$62.0 million for the three months ended March 31, 2024, an increase of $2.7 million or 5% compared to $59.3 million for the same period in 2023. Gross margin decreased to 24.1% for the three months ended March 31, 2024, compared to 25.0% for the same period in 2023. The changes in gross profit and gross margin were primarily due to the shift in the mix of transactions processed.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Salaries and benefits expenses were $24.1 million for the three months ended March 31, 2024, an increase of $2.7 million or 13% compared to the same period in 2023. The fluctuations in salaries and benefits were driven by an increase in headcount to support the growth of the business and salary increases due to inflationary pressures. As a percentage of revenues, these expenses increased to 9.4% for the three months ended March 31, 2024, compared to 9.0% for the same period in 2023. Fluctuations in foreign currency exchange rates in the countries in which we employ our workforce increased salaries by approximately $0.2 million for the three months ended March 31, 2024 as compared to the same period in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$9.6 million for the three months ended March 31, 2024, an increase of $0.8 million or 9% compared to the same period in 2023. As a percentage of revenues, these expenses were 3.7% for both the three months ended March 31, 2024, compared to the same period in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were $1.7 million for the three months ended March 31, 2024, an increase of $0.1 million or 6% compared to the same period in 2023. Depreciation and amortization expense primarily represents depreciation of POS terminals we install in retail stores and amortization of acquired intangible assets. As a percentage of revenues, these expenses were 0.7% for both the three months ended March 31, 2024, and for the same period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epay Segment operating income was $26.6 million for the three months ended March 31, 2024, a decrease of $0.9 million or 3% compared to the same period in 2023. Operating margin decreased to 10.3% for the three months ended March 31, 2024, compared to 11.6% for the same period in 2023. Operating income per transaction was $0.03 for both the three months ended March 31, 2024 and the same period in 2023. Changes in operating income and operating margin for the three months ended March 31, 2024 compared to the same period in 2023 were primarily due to the shift in the mix of transactions processed and a decline in the promotional campaign activity this quarter compared to the same period last year.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months ended March 31, 2024 and 2023 for the Money Transfer Segment: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148"/>
        </w:trPr>
        <w:tc>
          <w:tcPr>
            <w:tcW w:w="5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240" w:type="dxa"/>
            <w:vAlign w:val="bottom"/>
          </w:tcPr>
          <w:p>
            <w:pPr>
              <w:spacing w:after="0"/>
              <w:rPr>
                <w:sz w:val="12"/>
                <w:szCs w:val="12"/>
                <w:color w:val="auto"/>
              </w:rPr>
            </w:pPr>
          </w:p>
        </w:tc>
        <w:tc>
          <w:tcPr>
            <w:tcW w:w="11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2"/>
        </w:trPr>
        <w:tc>
          <w:tcPr>
            <w:tcW w:w="53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359.4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52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4.6</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Money Transfer Segment total revenues were $384.6 million for the three months ended March 31, 2024, an increase of $25.2 million or 7% compared to the same period in 2023. The increase in revenues was primarily due to an increase in international-originated money transfers, U.S. outbound transactions, and direct-to-consumer digital transactions, partially offset by a decrease in U.S. domestic transactions. Revenues per transaction decreased to $9.47 for the three months ended March 31, 2024, compared to $9.57 for the same period in 2023 due to a shift in the mix of transactions processed.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Money Transfer Segment direct operating costs were $209.4 million for the three months ended March 31, 2024, an increase of 13.1 million or 7% compared to the same period in 2023.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international-originated and U.S. outbound money transfer transactions.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was $175.2 million for the three months ended March 31, 2024, an increase of $12.1 million or 7% compared to $163.1 million for the same period in 2023. Gross margin increased to 45.6% for the three months ended March 31, 2024, compared to 45.4% for the same period in 2023. The increase in gross profit and gross margin was primarily due to increases in international-originated money transfers, U.S. outbound transactions and direct-to-consumer digital transactions.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Salaries and benefits expenses were $80.7 million for the three months ended March 31, 2024, an increase of $6.4 million or 9% compared to the same period in 2023. The increase in salaries and benefits was primarily driven by an increase in headcount to support the growth of the business and salary increases due to inflationary pressures. As a percentage of revenues, these expenses increased to 21.0% for the three months ended March 31, 2024, compared to 20.7%, for the same period in 2023. Fluctuations in foreign currency exchange rates in the countries in which we employ our workforce increased salaries by approximately $0.3 million for the three months ended March 31, 2024, as compared to the same period in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$50.0 million for the three months ended March 31, 2024, an increase of $2.3 million or 5% compared to the same period in 2023. As a percentage of revenues, these expenses decreased to 13.0% for the three months ended March 31, 2024, compared to 13.3% for the same period in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were $7.3 million for the three months ended March 31, 2024, a decrease of $1.2 million or 14% compared to the same period in 2023. Depreciation and amortization expense primarily represents amortization of acquired intangible assets and depreciation of money transfer terminals, computers and software, leasehold improvements and office equipment. As a percentage of revenues, these expenses decreased to 1.9% for the three months ended March 31, 2024, compared to 2.4% for the same period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Money Transfer Segment operating income was $37.2 million for the three months ended March 31, 2024, an increase of $4.6 million or 14% compared to the same period in 2023. Operating margin increased to 9.7% for the three months ended March 31, 2024, compared to 9.1% for the same period in 2023. Operating income per transaction increased to $0.92, for the three months ended March 31, 2024, compared to $0.87 for the same period in 2023. We improved our operating income and operating margin due to effective cost management.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operating expenses for the three months ended March 31, 2024 and 2023 for Corporate Services: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2"/>
                <w:szCs w:val="12"/>
                <w:color w:val="auto"/>
              </w:rPr>
            </w:pPr>
          </w:p>
        </w:tc>
        <w:tc>
          <w:tcPr>
            <w:tcW w:w="10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552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1"/>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18.7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21.4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Corporate operating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Corporate operating expenses were $21.3 million for the three months ended March 31, 2024, a decrease of $0.1 million compared to the same period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764"/>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2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5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loss, net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gains (losses)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was $5.7 million for the three months ended March 31, 2024, an increase of $3.1 million or 119% compared to the same period in 2023. This increase was driven by an increase in interest rates on our interest bearing bank accounts.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was $14.9 million for the three months ended March 31, 2024, an increase of $4.8 million or 48% compared to the same period in 2023. This increase was driven by an increase in interest rates on our Credit Facility and uncommitted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loss,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net foreign currency exchange losses of $12.5 million for the three months ended March 31, 2024, compared to net foreign currency exchange losses of $1.1 million for the same period in 2023. These realized and unrealized foreign currency exchange losses reflect the fluctuation in the value of the U.S. dollar against the currencies of the countries in which we operated during the respective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37.9% for the three months ended March 31, 2024, compared to 46.5% for the same period ended March 31, 2023. The Company's effective income tax rate for the three months ended March 31, 2024 was higher than the applicable statutory income tax rate of 21% as a result of certain foreign earnings being subject to higher local statutory tax rates and the Company’s U.S. deferred tax activity.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Noncontrolling interests represent the elimination of net income or loss attributable to the minority shareholders’ portion of the following consolidated subsidiaries that are not wholly owned: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Owned</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 - Country</w:t>
            </w:r>
          </w:p>
        </w:tc>
      </w:tr>
      <w:tr>
        <w:trPr>
          <w:trHeight w:val="248"/>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Movilcarga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epay - Spain</w:t>
            </w:r>
          </w:p>
        </w:tc>
      </w:tr>
      <w:tr>
        <w:trPr>
          <w:trHeight w:val="243"/>
        </w:trPr>
        <w:tc>
          <w:tcPr>
            <w:tcW w:w="8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Euronet China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EFT - China</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Euronet Pakistan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EFT - Pakistan</w:t>
            </w:r>
          </w:p>
        </w:tc>
      </w:tr>
      <w:tr>
        <w:trPr>
          <w:trHeight w:val="243"/>
        </w:trPr>
        <w:tc>
          <w:tcPr>
            <w:tcW w:w="8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Euronet Infinitium Solutions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EFT - India</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EURONET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attributable to Euronet was $26.2 million for the three months ended March 31, 2024, an increase of $6.1 million or 30% compared to the same period in 2023. The increase in net income was primarily attributable to the $69.8 million increase in revenues, largely driven by successful business operations. The increased revenues led to a $27.7 million increase in gross profit. The increase in gross profit was partially offset by a $12.8 million increase in salaries and benefits expense and increase in foreign exchange currency loss of $11.4.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we had working capital of $970.7 million, which is calculated as the difference between total current assets and total current liabilities, compared to working capital of $1,462.1 million as of December 31, 2023. The decrease in working capital was primarily due to the net effect of the classification of the convertible debt to current liabilities, positive operational results, the Infinitium acquisition completed during the quarter and working capital changes. Our ratio of current assets to current liabilities was 1.33 and 1.54 at March 31, 2024 and December 31, 2023, respectively.</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in order to cover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uncommitted credit agreements and cash flows from operations. As of March 31, 2024, we had $599.7 million of our own cash in use or designated for use in our ATM network, which is recorded in ATM cash on Euronet's Consolidated Balance Sheet. ATM cash increased $74.5 million from $525.2 million as of December 31, 2023 to $599.7 million as of March 31, 2024 as a result of the increase in number of active ATMs as of March 31, 2024 compared to December 31, 2023. The Company has $1,236.2 million of unrestricted cash as of March 31, 2024 compared to $1,254.2 million as of December 31, 2023. Including the $599.7 million of cash in ATMs at March 31, 2024, we have access to $2,214.3 million in available cash, and $579.0 million available under the Credit Facility with no significant long-term debt principal payments until March 2025.</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The following table identifies cash and cash equivalents provided by/(used in) our operating, investing and financing activities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2023 (in millions):</w:t>
      </w:r>
    </w:p>
    <w:p>
      <w:pPr>
        <w:spacing w:after="0" w:line="29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24765</wp:posOffset>
            </wp:positionV>
            <wp:extent cx="17741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Liquidity</w:t>
            </w:r>
          </w:p>
        </w:tc>
        <w:tc>
          <w:tcPr>
            <w:tcW w:w="6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8"/>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provided by (used in):</w:t>
            </w: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7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63"/>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7"/>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 and restricted cash</w:t>
            </w:r>
          </w:p>
        </w:tc>
        <w:tc>
          <w:tcPr>
            <w:tcW w:w="6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57"/>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cash and cash equivalents and restricted cash</w:t>
            </w:r>
          </w:p>
        </w:tc>
        <w:tc>
          <w:tcPr>
            <w:tcW w:w="6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activity cash flow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were $30.0 million for the three months ended March 31, 2024 compared to cash flows provided by operating activities of $3.3 million for the same period in 2023. The net increase in operating cash flows was primarily due to an increase in net income, the effect of exchange rates on balance sheet positions in foreign currencies and other working capital fluctuations.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activity cash flow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used in investing activities were $96.8 million for the three months ended March 31, 2024 compared to $18.1 million for the same period in 2023. The increase in cash used in investing activities is primarily due to the $70.0 million of cash paid for the acquisition of Infinitium. Additionally, we used $23.8 million for purchases of property and equipment for the three months ended March 31, 2024 compared to $18.6 million for the same period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activity cash flow</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flows used by financing activities were $81.3 million for the three months ended March 31, 2024 compared to cash flows provided by financing activities of $4.4 million for the same period in 2023. Our borrowing activities on the Credit Facility for the three months ended March 31, 2024 consisted of net borrowings of $82.6 million compared to net borrowings of $24.3 million for the same period in 2023. The increase in net borrowings on the Credit Facility, during the three months ended March 31, 2024, is primarily the result of cash placed in ATMs reactivated in anticipation of the travel season and cash used to complete the acquisition of Infinitium. We received proceeds of $1.4 million and $1.0 million during the three months ended March 31, 2024 and 2023, respectively, for the issuance of stock in connection with our Stock Incentive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exchange rates on cash, cash equivalents and restricted cash</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42424"/>
        </w:rPr>
        <w:t>Fluctuations in f</w:t>
      </w:r>
      <w:r>
        <w:rPr>
          <w:rFonts w:ascii="Times New Roman" w:cs="Times New Roman" w:eastAsia="Times New Roman" w:hAnsi="Times New Roman"/>
          <w:sz w:val="18"/>
          <w:szCs w:val="18"/>
          <w:color w:val="000000"/>
        </w:rPr>
        <w:t>oreign currency exchange rates for the three months ended March 31, 2024 and 2023 had a negative impact of $47.2 million and $33.9</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million, respectively, on cash, cash equivalents, and restricted cash. The negative impact on cash, cash equivalents, and restricted cash for the three months ended March 31, 2024 and 2023 was due primarily to the negative impact in the exchange rate of the U.S. dollar to the euro.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sources of capital</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xml:space="preserve"> - On October 24, 2022, the Company amended its revolving credit agreement (the “Credit Facility”) to increase the facility from $1.03 billion to $1.25 billion and to extend the expiration to October 24, 2027. The revolving credit facility contains a sublimit of up to $250 million, with $150 million committed, for the issuance of letters of credit, a $75 million sublimit both for U.S. dollar swingline loans and for swingline loans in euros or British pounds sterling.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1.25% including the facility fee.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we had $619.5 million of borrowings and $51.5 million of stand-by letters of credit outstanding under the Credit Facility. The remaining $579.0 million under the Credit Facility was available for borrowing.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Convertible debt</w:t>
      </w:r>
      <w:r>
        <w:rPr>
          <w:rFonts w:ascii="Times New Roman" w:cs="Times New Roman" w:eastAsia="Times New Roman" w:hAnsi="Times New Roman"/>
          <w:sz w:val="18"/>
          <w:szCs w:val="18"/>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us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us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200" w:lineRule="exact"/>
        <w:rPr>
          <w:sz w:val="20"/>
          <w:szCs w:val="20"/>
          <w:color w:val="auto"/>
        </w:rPr>
      </w:pP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xml:space="preserve"> - On May 22, 2019, we completed the sale of €600 million ($669.9 million) aggregate principal amount of Senior Notes that expire on May 2026 (the “Senior Notes”). The Senior Notes accrue interest at a rate of 1.375% per year, payable annually in arrears on May 22 of each year, until maturity or earlier redemption. As of March 31, 2024, we have outstanding €600.0 million ($646.9 million) principal amount of the Senior Notes. In addition, we may redeem some or all of these notes on or after February 22, 2026 at their principal amount plus any accrued and unpaid interest.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Uncommitted Credit Agreements</w:t>
      </w:r>
      <w:r>
        <w:rPr>
          <w:rFonts w:ascii="Times New Roman" w:cs="Times New Roman" w:eastAsia="Times New Roman" w:hAnsi="Times New Roman"/>
          <w:sz w:val="18"/>
          <w:szCs w:val="18"/>
          <w:color w:val="auto"/>
        </w:rPr>
        <w:t xml:space="preserve"> - On June 26, 2023, the Company entered into an Uncommitted Loan Agreement for $150 million, fully drawn and outstanding at March 31, 2024, for the sole purpose of providing vault cash for ATMs, that expires no later than June 21, 2024. The loan is a Prime rate loan, Bloomberg Short-term Bank Yield ("BSBY") rate loan plus 0.95% or bears interest at the rate agreed to by the Bank and the Company at the time such loan is made. The weighted-average interest rate from the loan inception date to March 31, 2024 was 6.31%.</w:t>
      </w:r>
    </w:p>
    <w:p>
      <w:pPr>
        <w:spacing w:after="0" w:line="2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Other debt obligations</w:t>
      </w:r>
      <w:r>
        <w:rPr>
          <w:rFonts w:ascii="Times New Roman" w:cs="Times New Roman" w:eastAsia="Times New Roman" w:hAnsi="Times New Roman"/>
          <w:sz w:val="18"/>
          <w:szCs w:val="18"/>
          <w:color w:val="auto"/>
        </w:rPr>
        <w:t xml:space="preserve"> — Certain of our subsidiaries have available credit lines and overdraft facilities to generally supplement short-term working capital requirements, when necessary. There was $0.2 million outstanding under these other obligation arrangements as of March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uses of capital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Capital expenditures and needs</w:t>
      </w:r>
      <w:r>
        <w:rPr>
          <w:rFonts w:ascii="Times New Roman" w:cs="Times New Roman" w:eastAsia="Times New Roman" w:hAnsi="Times New Roman"/>
          <w:sz w:val="18"/>
          <w:szCs w:val="18"/>
          <w:color w:val="auto"/>
        </w:rPr>
        <w:t xml:space="preserve"> - Total capital expenditures for the three months ended March 31, 2024 were $23.8 million. These capital expenditures were primarily for the purchase and installation of ATMs in key under-penetrated markets, the purchase of POS terminals for the epay and Money Transfer Segments, and office, data center and company store computer equipment and software. Total capital expenditures for 2024 are currently estimated to range from approximately 90 million to $100 million. At current and projected cash flow levels, we anticipate that cash generated from operations, together with cash on hand and amounts available under our Credit Facility and other existing and potential future financing will be sufficient to meet our debt (including our uncommitted credit facilities),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functional currencies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the countries in which we operate have experienced low and stable inflation. Therefore, the local currency in each of these markets is the functional currency. We have seen indications that the current inflationary period will put pressure on our results of operations and our financial position. We have seen some signs of inflation impacting discretionary spend items, such as gaming products, in our epay business, discretionary travel expenditures in EFT, as well as some pressure on send amounts in money transfer. As a consequence of this inflationary period, we expect to see increasing expenses forthcoming. We continually review inflation and the functional currency in each of the countries where we operate.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2024, there were no material changes from the disclosure in our Annual Report on Form 10-K for the year ended December 31, 2023. To date, we are not aware of any significant claims made by the indemnified parties or parties to whom we have provided guarantees on behalf of our subsidiaries and, accordingly, no liabilities have been recorded as of March 31, 2024. See also Note 15, Commitments, to the unaudited consolidated financial statements included elsewhere in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there have been no material changes outside the ordinary course of business in our future contractual obligations from the amounts reported within our Annual Report on Form 10-K for the year ended December 31, 2023.</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March 31, 2024, our total debt outstanding, excluding unamortized debt issuance costs, was $1,941.6 million. Of this amount, $525.0 million, net of debt discounts, or 27% of our total debt obligations, relates to our contingent Convertible Notes that have a fixed coupon rate. Our $525.0 million outstanding principal amount of Convertible Notes accrue cash interest at a rate of 0.75% of the principal amount per annum. Based on quoted market prices, as of March 31, 2024, the fair value of our fixed rate Convertible Notes was $538.0 million, compared to a carrying value of $525.0 million. Further, as of March 31, 2024 we had $619.5 million of borrowings under our Credit Facility, or 32% of our total debt obligations. If we were to maintain these borrowings for one year and maximize the potential borrowings available under the revolving credit facility for one year, a 1% (100 basis points) increase in the applicable interest rate would result in additional interest expense to the Company of approximately $12.5 million. The carrying values of the Credit Facility approximates fair value because interest as of March 31, 2024, was based on SOFR that resets at various intervals of less than one year. Additionally, $646.9 million, or 33%of our total debt obligations, relates to Senior Notes having a fixed coupon rate. Our $646.9 million outstanding principal amount of Senior Notes accrue cash interest at a rate of 1.375% of the principal amount per annum. Based on quoted market prices, as of March 31, 2024, the fair value of our fixed rate Senior Notes was $609.0 million, compared to a carrying value of $646.9 million. An additional $150.0 million, or 8% of our total debt, is related to a short-term uncommitted credit agreement. The credit agreement is due within one year and accrues interest at variable rates. The remaining $0.2 million is related to borrowings by certain subsidiaries to fund, from time to time, working capital requirements. These arrangements generally are due within one year and accrue interest at variable rates.</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of March 31, 2024, we had approximately $4.1 million of finance leases with fixed payment and interest terms that expire between the years of 2024 and 2028.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approximately 74% of our revenues were generated in non-U.S. dollar countries and we expect to continue generating a significant portion of our revenues in countries with currencies other than the U.S. dollar.</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March 31, 2024, we estimate that a 10% fluctuation in these foreign currency exchange rates would have the combined annualized effect on reported net income and working capital of approximately $120 million to $130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We estimate that a 10% fluctuation in foreign currency exchange rates would have a non-cash impact on total comprehensive income of approximately $90 million to $100 million as a result of the change in value of these items during translation to the U.S. dollar. For the fluctuations described above, a strengthening U.S. dollar produces a financial loss, while a weakening U.S. dollar produces a financial gain.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March 31, 2024, we had foreign currency derivative contracts outstanding with a notional value of $400.8 million, primarily in Australian dollars, British pounds, Canadian dollars, euros and Mexican pesos, that were not designated as hedges and mature within a few days.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March 31, 2024, we held foreign currency derivative contracts outstanding with a notional value of $1.1 billion, primarily in U.S. dollars, euros, British pounds, Australian dollars and New Zealand dollars, that were not designated as hedges and for which the majority mature within the next twelve months.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longer-term foreign currency forward contracts to mitigate risks associated with changes in foreign currency exchange rates on certain foreign currency denominated other asset and liability positions. As of March 31, 2024, the Company had foreign currency forward contracts outstanding with a notional value of $563.1 million, primarily in euros.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Derivative Instruments and Hedging Activities, to our unaudited consolidated financial statements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March 31, 2024.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Internal Controls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period ended March 31, 2024 that has materially affected, or is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discussion regarding contingencies in Part I, Item 1 — Financial Statements (unaudited), Note 16, Litigation and Contingencies, to the unaudited consolidated financial statements in this report is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otherwise described herein, there were no material changes to the risk factors previously disclosed in our Annual Report on Form 10-K for the year ended 31 December 2023, as filed with the SEC.</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shares of the Company's common stock that were purchased by the Company during the three months ended March 31, 2024.</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00" w:type="dxa"/>
            <w:vAlign w:val="bottom"/>
          </w:tcPr>
          <w:p>
            <w:pPr>
              <w:spacing w:after="0"/>
              <w:rPr>
                <w:sz w:val="12"/>
                <w:szCs w:val="12"/>
                <w:color w:val="auto"/>
              </w:rPr>
            </w:pPr>
          </w:p>
        </w:tc>
        <w:tc>
          <w:tcPr>
            <w:tcW w:w="13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580" w:type="dxa"/>
            <w:vAlign w:val="bottom"/>
            <w:gridSpan w:val="2"/>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5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6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Programs</w:t>
            </w:r>
          </w:p>
        </w:tc>
        <w:tc>
          <w:tcPr>
            <w:tcW w:w="0" w:type="dxa"/>
            <w:vAlign w:val="bottom"/>
          </w:tcPr>
          <w:p>
            <w:pPr>
              <w:spacing w:after="0"/>
              <w:rPr>
                <w:sz w:val="1"/>
                <w:szCs w:val="1"/>
                <w:color w:val="auto"/>
              </w:rPr>
            </w:pPr>
          </w:p>
        </w:tc>
      </w:tr>
      <w:tr>
        <w:trPr>
          <w:trHeight w:val="195"/>
        </w:trPr>
        <w:tc>
          <w:tcPr>
            <w:tcW w:w="5660" w:type="dxa"/>
            <w:vAlign w:val="bottom"/>
            <w:vMerge w:val="continue"/>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(1)</w:t>
            </w:r>
          </w:p>
        </w:tc>
        <w:tc>
          <w:tcPr>
            <w:tcW w:w="0" w:type="dxa"/>
            <w:vAlign w:val="bottom"/>
          </w:tcPr>
          <w:p>
            <w:pPr>
              <w:spacing w:after="0"/>
              <w:rPr>
                <w:sz w:val="1"/>
                <w:szCs w:val="1"/>
                <w:color w:val="auto"/>
              </w:rPr>
            </w:pPr>
          </w:p>
        </w:tc>
      </w:tr>
      <w:tr>
        <w:trPr>
          <w:trHeight w:val="255"/>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 March 31, 2024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1 - February 29,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1 - March 31, 2024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57"/>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both"/>
        <w:ind w:firstLine="8"/>
        <w:spacing w:after="0" w:line="256"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13, 2022, the Company put a repurchase program in place to repurchase up to $350 million in value, but not more than 7.0 million shares of common stock through September 13, 2024. As of March 31, 2024, approximately 96.6 million in value of additional shares were available to be repurchased under this repurchase program. On September 13, 2023, the Company put a repurchase program in place to repurchase up to $350 million in value, but not more than 7.0 million shares of common stock through September 13, 2025. As of March 31, 2024, all shares were available to be repurchased under this repurchase program. Repurchases under the programs may take place in the open market or in privately negotiated transactions, including derivative transactions, and may be made under a Rule 10b5-1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2024, none of the Company’s directors or "officers," as defined in Rule 16a-1(f) of the Securities Exchange Act of 1934, as amended (the "Exchange Act"), adopted or terminated a "Rule 10b5-1 trading arrangement" or a "non-Rule 10b5-1 trading arrangement," as each term is defined in Item 408 of Regulation S-K.</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31"/>
        </w:trPr>
        <w:tc>
          <w:tcPr>
            <w:tcW w:w="1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Section 302 — Certification of Chief Executive Officer</w:t>
            </w:r>
          </w:p>
        </w:tc>
        <w:tc>
          <w:tcPr>
            <w:tcW w:w="6080" w:type="dxa"/>
            <w:vAlign w:val="bottom"/>
            <w:tcBorders>
              <w:top w:val="single" w:sz="8" w:color="auto"/>
            </w:tcBorders>
          </w:tcPr>
          <w:p>
            <w:pPr>
              <w:spacing w:after="0"/>
              <w:rPr>
                <w:sz w:val="24"/>
                <w:szCs w:val="24"/>
                <w:color w:val="auto"/>
              </w:rPr>
            </w:pPr>
          </w:p>
        </w:tc>
      </w:tr>
      <w:tr>
        <w:trPr>
          <w:trHeight w:val="25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302 — Certification of Chief Financial Officer</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5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Section 906 — Certification of Chief Executive Officer</w:t>
            </w:r>
          </w:p>
        </w:tc>
        <w:tc>
          <w:tcPr>
            <w:tcW w:w="6080" w:type="dxa"/>
            <w:vAlign w:val="bottom"/>
          </w:tcPr>
          <w:p>
            <w:pPr>
              <w:spacing w:after="0"/>
              <w:rPr>
                <w:sz w:val="21"/>
                <w:szCs w:val="21"/>
                <w:color w:val="auto"/>
              </w:rPr>
            </w:pPr>
          </w:p>
        </w:tc>
      </w:tr>
      <w:tr>
        <w:trPr>
          <w:trHeight w:val="25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906 — Certification of Chief Financial Officer</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7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materials from Euronet Worldwide, Inc.’s Quarterly Report on Form 10-Q for the quarter ended March 31, 2024, formatted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XBRL (eXtensible Business Reporting Language): (i) Consolidated Balance Sheets at March 31, 2024 (unaudited) and December 31,</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2023, (ii) Consolidated Statements of Operations (unaudited) for the three months ended March 31, 2024 and 2023, (iii) Consolidated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Statements of Comprehensive Income (Loss) (unaudited) for the three months ended March 31, 2024 and 2023, (iv) Consolidated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Statements of Changes in Equity (unaudited) for the three months ended March 31, 2024 and 2023 (v) Consolidated Statements of Cash</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Flows (unaudited) for the three months ended March 31, 2024 and 2023, and (vi) Notes to the Unaudited Consolidated Financial</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Statements.</w:t>
            </w: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Pursuant to Item 601(b)(32) of Regulation S-K, this Exhibit is furnished rather than filed with this Form 10-Q.</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252" w:lineRule="exact"/>
        <w:rPr>
          <w:sz w:val="20"/>
          <w:szCs w:val="20"/>
          <w:color w:val="auto"/>
        </w:rPr>
      </w:pPr>
    </w:p>
    <w:p>
      <w:pPr>
        <w:ind w:left="40"/>
        <w:spacing w:after="0"/>
        <w:tabs>
          <w:tab w:leader="none" w:pos="2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34290</wp:posOffset>
            </wp:positionV>
            <wp:extent cx="3437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Michael J. Brown</w:t>
      </w:r>
    </w:p>
    <w:p>
      <w:pPr>
        <w:spacing w:after="0" w:line="63"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2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34290</wp:posOffset>
            </wp:positionV>
            <wp:extent cx="3437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Rick L. Weller</w:t>
      </w:r>
    </w:p>
    <w:p>
      <w:pPr>
        <w:spacing w:after="0" w:line="63"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280"/>
          </w:cols>
          <w:pgMar w:left="320" w:top="549" w:right="12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Brown, certify that:</w:t>
      </w:r>
    </w:p>
    <w:p>
      <w:pPr>
        <w:spacing w:after="0" w:line="225" w:lineRule="exact"/>
        <w:rPr>
          <w:sz w:val="20"/>
          <w:szCs w:val="20"/>
          <w:color w:val="auto"/>
        </w:rPr>
      </w:pPr>
    </w:p>
    <w:p>
      <w:pPr>
        <w:ind w:left="200" w:hanging="192"/>
        <w:spacing w:after="0"/>
        <w:tabs>
          <w:tab w:leader="none" w:pos="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2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420" w:hanging="7"/>
        <w:spacing w:after="0" w:line="282" w:lineRule="auto"/>
        <w:tabs>
          <w:tab w:leader="none" w:pos="60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firstLine="8"/>
        <w:spacing w:after="0" w:line="282" w:lineRule="auto"/>
        <w:tabs>
          <w:tab w:leader="none" w:pos="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420" w:hanging="7"/>
        <w:spacing w:after="0" w:line="282" w:lineRule="auto"/>
        <w:tabs>
          <w:tab w:leader="none" w:pos="62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420" w:hanging="7"/>
        <w:spacing w:after="0" w:line="282" w:lineRule="auto"/>
        <w:tabs>
          <w:tab w:leader="none" w:pos="63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2024</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Rick L. Weller, certify that:</w:t>
      </w:r>
    </w:p>
    <w:p>
      <w:pPr>
        <w:spacing w:after="0" w:line="207"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20" w:hanging="7"/>
        <w:spacing w:after="0" w:line="282" w:lineRule="auto"/>
        <w:tabs>
          <w:tab w:leader="none" w:pos="60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420" w:hanging="7"/>
        <w:spacing w:after="0" w:line="282" w:lineRule="auto"/>
        <w:tabs>
          <w:tab w:leader="none" w:pos="6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20" w:hanging="7"/>
        <w:spacing w:after="0" w:line="282" w:lineRule="auto"/>
        <w:tabs>
          <w:tab w:leader="none" w:pos="63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2024</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March 31, 2024 as filed with the Securities and Exchange Commission on the date hereof (the “Report”), the undersigned hereby certifies, pursuant to 18 U.S.C. Section 1350, as adopted pursuant to Section 906 of the Sarbanes-Oxley Act of 2002, that:</w:t>
      </w:r>
    </w:p>
    <w:p>
      <w:pPr>
        <w:spacing w:after="0" w:line="176" w:lineRule="exact"/>
        <w:rPr>
          <w:sz w:val="20"/>
          <w:szCs w:val="20"/>
          <w:color w:val="auto"/>
        </w:rPr>
      </w:pPr>
    </w:p>
    <w:p>
      <w:pPr>
        <w:ind w:left="480" w:hanging="20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80" w:hanging="20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2024</w:t>
      </w:r>
    </w:p>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March 31, 2024 as filed with the Securities and Exchange Commission on the date hereof (the “Report”), the undersigned hereby certifies, pursuant to 18 U.S.C. Section 1350, as adopted pursuant to Section 906 of the Sarbanes-Oxley Act of 2002, that:</w:t>
      </w:r>
    </w:p>
    <w:p>
      <w:pPr>
        <w:spacing w:after="0" w:line="176" w:lineRule="exact"/>
        <w:rPr>
          <w:sz w:val="20"/>
          <w:szCs w:val="20"/>
          <w:color w:val="auto"/>
        </w:rPr>
      </w:pPr>
    </w:p>
    <w:p>
      <w:pPr>
        <w:ind w:left="480" w:hanging="202"/>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80" w:hanging="202"/>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2"/>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2024-05-06T05:28:09Z</dcterms:created>
  <dcterms:modified xsi:type="dcterms:W3CDTF">2024-05-06T05:28:09Z</dcterms:modified>
</cp:coreProperties>
</file>