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2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16"/>
        </w:trPr>
        <w:tc>
          <w:tcPr>
            <w:tcW w:w="522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(State or other jurisdiction</w:t>
            </w:r>
          </w:p>
        </w:tc>
        <w:tc>
          <w:tcPr>
            <w:tcW w:w="320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2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of incorporation or organization)</w:t>
            </w:r>
          </w:p>
        </w:tc>
        <w:tc>
          <w:tcPr>
            <w:tcW w:w="320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2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7"/>
              </w:rPr>
              <w:t>4601 COLLEGE BOULEVARD, SUITE 300</w:t>
            </w:r>
          </w:p>
        </w:tc>
        <w:tc>
          <w:tcPr>
            <w:tcW w:w="3200" w:type="dxa"/>
            <w:vAlign w:val="bottom"/>
          </w:tcPr>
          <w:p>
            <w:pPr>
              <w:spacing w:after="0"/>
              <w:rPr>
                <w:sz w:val="24"/>
                <w:szCs w:val="24"/>
                <w:color w:val="auto"/>
              </w:rPr>
            </w:pPr>
          </w:p>
        </w:tc>
      </w:tr>
      <w:tr>
        <w:trPr>
          <w:trHeight w:val="216"/>
        </w:trPr>
        <w:tc>
          <w:tcPr>
            <w:tcW w:w="52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7"/>
              </w:rPr>
              <w:t>LEAWOOD, KANSAS</w:t>
            </w:r>
          </w:p>
        </w:tc>
        <w:tc>
          <w:tcPr>
            <w:tcW w:w="3200" w:type="dxa"/>
            <w:vAlign w:val="bottom"/>
          </w:tcPr>
          <w:p>
            <w:pPr>
              <w:jc w:val="right"/>
              <w:ind w:right="410"/>
              <w:spacing w:after="0"/>
              <w:rPr>
                <w:sz w:val="20"/>
                <w:szCs w:val="20"/>
                <w:color w:val="auto"/>
              </w:rPr>
            </w:pPr>
            <w:r>
              <w:rPr>
                <w:rFonts w:ascii="Arial" w:cs="Arial" w:eastAsia="Arial" w:hAnsi="Arial"/>
                <w:sz w:val="18"/>
                <w:szCs w:val="18"/>
                <w:b w:val="1"/>
                <w:bCs w:val="1"/>
                <w:color w:val="auto"/>
              </w:rPr>
              <w:t>66211</w:t>
            </w:r>
          </w:p>
        </w:tc>
      </w:tr>
      <w:tr>
        <w:trPr>
          <w:trHeight w:val="234"/>
        </w:trPr>
        <w:tc>
          <w:tcPr>
            <w:tcW w:w="5220" w:type="dxa"/>
            <w:vAlign w:val="bottom"/>
          </w:tcPr>
          <w:p>
            <w:pPr>
              <w:jc w:val="center"/>
              <w:ind w:right="17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0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14"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20" w:space="720"/>
            <w:col w:w="3340" w:space="460"/>
            <w:col w:w="2240"/>
          </w:cols>
          <w:pgMar w:left="240" w:top="122" w:right="27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issuer’s common stock, $0.02 par value, outstanding as of April 30, 2010 was 50,913,136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20"/>
                <w:szCs w:val="20"/>
                <w:color w:val="auto"/>
              </w:rPr>
            </w:pPr>
          </w:p>
        </w:tc>
      </w:tr>
      <w:tr>
        <w:trPr>
          <w:trHeight w:val="392"/>
        </w:trPr>
        <w:tc>
          <w:tcPr>
            <w:tcW w:w="100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12"/>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2. MANAGEMENT’S DISCUSSION AND ANALYSIS OF FINANCIAL CONDITION AND RESULTS OF</w:t>
              </w:r>
            </w:hyperlink>
          </w:p>
        </w:tc>
        <w:tc>
          <w:tcPr>
            <w:tcW w:w="12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6">
              <w:r>
                <w:rPr>
                  <w:rFonts w:ascii="Arial" w:cs="Arial" w:eastAsia="Arial" w:hAnsi="Arial"/>
                  <w:sz w:val="18"/>
                  <w:szCs w:val="18"/>
                  <w:b w:val="1"/>
                  <w:bCs w:val="1"/>
                  <w:color w:val="0000EE"/>
                  <w:w w:val="97"/>
                </w:rPr>
                <w:t>OPERATIONS</w:t>
              </w:r>
            </w:hyperlink>
          </w:p>
        </w:tc>
        <w:tc>
          <w:tcPr>
            <w:tcW w:w="6940" w:type="dxa"/>
            <w:vAlign w:val="bottom"/>
            <w:tcBorders>
              <w:top w:val="single" w:sz="8" w:color="0000EE"/>
            </w:tcBorders>
            <w:gridSpan w:val="8"/>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3. QUANTITATIVE AND QUALITATIVE DISCLOSURES ABOUT MARKET RISK</w:t>
              </w:r>
            </w:hyperlink>
          </w:p>
        </w:tc>
        <w:tc>
          <w:tcPr>
            <w:tcW w:w="268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12"/>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4. CONTROLS AND PROCEDURES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220" w:type="dxa"/>
            <w:vAlign w:val="bottom"/>
            <w:gridSpan w:val="2"/>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PART II—OTHER INFORMATION</w:t>
              </w:r>
            </w:hyperlink>
          </w:p>
        </w:tc>
        <w:tc>
          <w:tcPr>
            <w:tcW w:w="7380" w:type="dxa"/>
            <w:vAlign w:val="bottom"/>
            <w:gridSpan w:val="7"/>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1. LEGAL PROCEEDINGS</w:t>
              </w:r>
            </w:hyperlink>
          </w:p>
        </w:tc>
        <w:tc>
          <w:tcPr>
            <w:tcW w:w="7080" w:type="dxa"/>
            <w:vAlign w:val="bottom"/>
            <w:gridSpan w:val="6"/>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ITEM 1A. RISK FACTORS</w:t>
              </w:r>
            </w:hyperlink>
          </w:p>
        </w:tc>
        <w:tc>
          <w:tcPr>
            <w:tcW w:w="7680" w:type="dxa"/>
            <w:vAlign w:val="bottom"/>
            <w:gridSpan w:val="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12"/>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2. UNREGISTERED SALES OF EQUITY SECURITIES AND USE OF PROCEEDS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8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6. EXHIBITS</w:t>
              </w:r>
            </w:hyperlink>
          </w:p>
        </w:tc>
        <w:tc>
          <w:tcPr>
            <w:tcW w:w="276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45"/>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1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31, 2010</w:t>
            </w: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1"/>
              </w:rPr>
              <w:t>(unaudited)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185,279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82,470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67,657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ind w:left="400"/>
              <w:spacing w:after="0" w:line="201" w:lineRule="exact"/>
              <w:rPr>
                <w:sz w:val="20"/>
                <w:szCs w:val="20"/>
                <w:color w:val="auto"/>
              </w:rPr>
            </w:pPr>
            <w:r>
              <w:rPr>
                <w:rFonts w:ascii="Arial" w:cs="Arial" w:eastAsia="Arial" w:hAnsi="Arial"/>
                <w:sz w:val="18"/>
                <w:szCs w:val="18"/>
                <w:color w:val="auto"/>
              </w:rPr>
              <w:t>Trade accounts receivable, net of allowances for doubtful accounts of $14,027 at March 31, 2010 and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$13,909 at December 31, 2009</w:t>
            </w: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244,756</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612,242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$156,588 at March 31, 2010 and $153,255 at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91,731</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485,763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504,650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$91,507 at March 31, 2010 and $88,924 at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103,093</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spacing w:after="0" w:line="201" w:lineRule="exact"/>
              <w:rPr>
                <w:sz w:val="20"/>
                <w:szCs w:val="20"/>
                <w:color w:val="auto"/>
              </w:rPr>
            </w:pPr>
            <w:r>
              <w:rPr>
                <w:rFonts w:ascii="Arial" w:cs="Arial" w:eastAsia="Arial" w:hAnsi="Arial"/>
                <w:sz w:val="18"/>
                <w:szCs w:val="18"/>
                <w:color w:val="auto"/>
              </w:rPr>
              <w:t>Other assets, net of accumulated amortization of $17,759 at March 31, 2010 and $16,866 at December 31,</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39,736</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1,332,565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1,412,679</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217,490</w:t>
            </w:r>
          </w:p>
        </w:tc>
        <w:tc>
          <w:tcPr>
            <w:tcW w:w="140" w:type="dxa"/>
            <w:vAlign w:val="bottom"/>
          </w:tcPr>
          <w:p>
            <w:pPr>
              <w:spacing w:after="0"/>
              <w:rPr>
                <w:sz w:val="18"/>
                <w:szCs w:val="18"/>
                <w:color w:val="auto"/>
              </w:rPr>
            </w:pPr>
          </w:p>
        </w:tc>
        <w:tc>
          <w:tcPr>
            <w:tcW w:w="7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215,799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2,264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17,007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466,804</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491,578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 of current portion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283,084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21,761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781,782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846,176</w:t>
            </w:r>
          </w:p>
        </w:tc>
        <w:tc>
          <w:tcPr>
            <w:tcW w:w="0" w:type="dxa"/>
            <w:vAlign w:val="bottom"/>
          </w:tcPr>
          <w:p>
            <w:pPr>
              <w:spacing w:after="0"/>
              <w:rPr>
                <w:sz w:val="1"/>
                <w:szCs w:val="1"/>
                <w:color w:val="auto"/>
              </w:rPr>
            </w:pPr>
          </w:p>
        </w:tc>
      </w:tr>
      <w:tr>
        <w:trPr>
          <w:trHeight w:val="439"/>
        </w:trPr>
        <w:tc>
          <w:tcPr>
            <w:tcW w:w="85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Euronet Worldwide, Inc.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6"/>
              </w:rPr>
              <w:t>Common Stock, $0.02 par value. 90,000,000 shares authorized; 51,140,582 issued at March 31, 2010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51,101,833 issued at December 31, 2009</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1,023</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743,787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at cost, 239,703 shares at March 31, 2010 and 241,644 shares at December 31, 2009</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(200,313)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reserve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(1,010)</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550,783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1,332,565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8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EFT Processing Segment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48,566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epay Segment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145,380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Money Transfer Segment</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56,057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250,003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233,697</w:t>
            </w: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165,861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32,172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19,193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Goodwill and acquired intagible assets impairment</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231,774</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223,999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18,229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 loss, net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24"/>
                <w:szCs w:val="2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(8,927)</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(11,893)</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10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attributable to Euronet Worldwide,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(12,298)</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attributable to Euronet Worldwide, Inc. stockholders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50,801,170</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50,292,907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attributable to Euronet Worldwide, Inc. stockholders — 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51,923,122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50,292,907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3340"/>
              <w:spacing w:after="0"/>
              <w:rPr>
                <w:sz w:val="20"/>
                <w:szCs w:val="20"/>
                <w:color w:val="auto"/>
              </w:rPr>
            </w:pPr>
            <w:r>
              <w:rPr>
                <w:rFonts w:ascii="Arial" w:cs="Arial" w:eastAsia="Arial" w:hAnsi="Arial"/>
                <w:sz w:val="18"/>
                <w:szCs w:val="18"/>
                <w:color w:val="auto"/>
              </w:rPr>
              <w:t>See accompanying notes to the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151" w:gutter="0" w:footer="0" w:header="0"/>
        </w:sect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151"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(11,954)</w:t>
            </w:r>
          </w:p>
        </w:tc>
        <w:tc>
          <w:tcPr>
            <w:tcW w:w="0" w:type="dxa"/>
            <w:vAlign w:val="bottom"/>
          </w:tcPr>
          <w:p>
            <w:pPr>
              <w:spacing w:after="0"/>
              <w:rPr>
                <w:sz w:val="1"/>
                <w:szCs w:val="1"/>
                <w:color w:val="auto"/>
              </w:rPr>
            </w:pPr>
          </w:p>
        </w:tc>
      </w:tr>
      <w:tr>
        <w:trPr>
          <w:trHeight w:val="432"/>
        </w:trPr>
        <w:tc>
          <w:tcPr>
            <w:tcW w:w="92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(21,979)</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(21,613)</w:t>
            </w: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Unrealized gain on interest rate swaps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9280" w:type="dxa"/>
            <w:vAlign w:val="bottom"/>
            <w:vMerge w:val="restart"/>
          </w:tcPr>
          <w:p>
            <w:pPr>
              <w:ind w:left="420"/>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(18,464)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Comprehensive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Comprehensive loss attributable to Euronet Worldwide, Inc.</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(18,750</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(32,963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(11,954)</w:t>
            </w:r>
          </w:p>
        </w:tc>
        <w:tc>
          <w:tcPr>
            <w:tcW w:w="0" w:type="dxa"/>
            <w:vAlign w:val="bottom"/>
          </w:tcPr>
          <w:p>
            <w:pPr>
              <w:spacing w:after="0"/>
              <w:rPr>
                <w:sz w:val="1"/>
                <w:szCs w:val="1"/>
                <w:color w:val="auto"/>
              </w:rPr>
            </w:pPr>
          </w:p>
        </w:tc>
      </w:tr>
      <w:tr>
        <w:trPr>
          <w:trHeight w:val="432"/>
        </w:trPr>
        <w:tc>
          <w:tcPr>
            <w:tcW w:w="85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1,934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loss,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Non-cash impairment of goodwill and acquired intangible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(11,279)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00"/>
              <w:spacing w:after="0"/>
              <w:rPr>
                <w:sz w:val="20"/>
                <w:szCs w:val="20"/>
                <w:color w:val="auto"/>
              </w:rPr>
            </w:pPr>
            <w:r>
              <w:rPr>
                <w:rFonts w:ascii="Arial" w:cs="Arial" w:eastAsia="Arial" w:hAnsi="Arial"/>
                <w:sz w:val="18"/>
                <w:szCs w:val="18"/>
                <w:color w:val="auto"/>
              </w:rPr>
              <w:t>Trade accounts receivable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32,779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(2,522)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(37,569)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(7,663)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noncurrent assets and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4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52,773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4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(6,146)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(10,551)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Proceeds from issuance of shares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108,000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(146,439)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 to noncontrolling interests stockholders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(22,747)</w:t>
            </w:r>
          </w:p>
        </w:tc>
        <w:tc>
          <w:tcPr>
            <w:tcW w:w="0" w:type="dxa"/>
            <w:vAlign w:val="bottom"/>
          </w:tcPr>
          <w:p>
            <w:pPr>
              <w:spacing w:after="0"/>
              <w:rPr>
                <w:sz w:val="1"/>
                <w:szCs w:val="1"/>
                <w:color w:val="auto"/>
              </w:rPr>
            </w:pPr>
          </w:p>
        </w:tc>
      </w:tr>
      <w:tr>
        <w:trPr>
          <w:trHeight w:val="20"/>
        </w:trPr>
        <w:tc>
          <w:tcPr>
            <w:tcW w:w="8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5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(5,112)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w w:val="97"/>
              </w:rPr>
              <w:t>Cash and cash equivalents at beginning of period (includes cash of discontinued operations of $552 in 2009)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183,528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181,893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 (includes cash of discontinued operations of $1,392 in 2009)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185,279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160,067</w:t>
            </w:r>
          </w:p>
        </w:tc>
        <w:tc>
          <w:tcPr>
            <w:tcW w:w="0" w:type="dxa"/>
            <w:vAlign w:val="bottom"/>
          </w:tcPr>
          <w:p>
            <w:pPr>
              <w:spacing w:after="0"/>
              <w:rPr>
                <w:sz w:val="1"/>
                <w:szCs w:val="1"/>
                <w:color w:val="auto"/>
              </w:rPr>
            </w:pPr>
          </w:p>
        </w:tc>
      </w:tr>
      <w:tr>
        <w:trPr>
          <w:trHeight w:val="20"/>
        </w:trPr>
        <w:tc>
          <w:tcPr>
            <w:tcW w:w="8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0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1,259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Euronet Worldwide, Inc. and its subsidiaries (the “Company” or “Euronet”) is an industry leader in processing secure electronic financial transactions in three principal business segments. Euronet’s epay Segment is one of the world’s largest providers of “top-up” services for prepaid products, primarily prepaid mobile airtime, distributing these products in Europe, the Middle East, Asia Pacific and the Americas. The EFT Processing Segment provides end-to-end solutions relating to operations of automated teller machine (“ATM”) and point-of-sale (“POS”) networks, and debit and credit card processing in Europe, the Middle East and Asia Pacific. The Money Transfer Segment is comprised primarily of the Company’s RIA Envia, Inc. (“RIA”) subsidiary and its operating subsidiaries, which is the third-largest global money transfer company based upon revenues and volumes. The Money Transfer Segment provides services through a sending network of agents and Company-owned stores primarily in North America and Europe, disbursing money transfers through a worldwide payer network. See Note 8, Segment Information, for additional information about the Company’s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March 31, 2010, and the results of its operations and cash flows for the three-month periods ended March 31, 2010 and 2009.</w:t>
      </w:r>
    </w:p>
    <w:p>
      <w:pPr>
        <w:spacing w:after="0" w:line="8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unaudited consolidated financial statements should be read in conjunction with the audited consolidated financial statements of Euronet for the year ended December 31, 2009, including the notes thereto, set forth in the Company’s 2009 Annual Report on Form 10-K.</w:t>
      </w:r>
    </w:p>
    <w:p>
      <w:pPr>
        <w:spacing w:after="0" w:line="3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 The results of operations for the three-month period ended March 31, 2010 are not necessarily indicative of the results to be expected for the full year ending December 31, 2010. Certain amounts in the prior year have been reclassified to conform to current period presentation.</w:t>
      </w:r>
    </w:p>
    <w:p>
      <w:pPr>
        <w:spacing w:after="0" w:line="167" w:lineRule="exact"/>
        <w:rPr>
          <w:sz w:val="20"/>
          <w:szCs w:val="20"/>
          <w:color w:val="auto"/>
        </w:rPr>
      </w:pPr>
    </w:p>
    <w:p>
      <w:pPr>
        <w:ind w:right="490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Multiple-deliverable revenue arrangements</w:t>
      </w:r>
    </w:p>
    <w:p>
      <w:pPr>
        <w:ind w:right="100"/>
        <w:spacing w:after="0" w:line="255" w:lineRule="auto"/>
        <w:rPr>
          <w:sz w:val="20"/>
          <w:szCs w:val="20"/>
          <w:color w:val="auto"/>
        </w:rPr>
      </w:pPr>
      <w:r>
        <w:rPr>
          <w:rFonts w:ascii="Arial" w:cs="Arial" w:eastAsia="Arial" w:hAnsi="Arial"/>
          <w:sz w:val="18"/>
          <w:szCs w:val="18"/>
          <w:color w:val="auto"/>
        </w:rPr>
        <w:t xml:space="preserve">Effective January 1, 2010, the Company adopted the provisions of Financial Accounting Standards Board (“FASB”) Accounting Standards Update (“ASU”) 2009-13, </w:t>
      </w:r>
      <w:r>
        <w:rPr>
          <w:rFonts w:ascii="Arial" w:cs="Arial" w:eastAsia="Arial" w:hAnsi="Arial"/>
          <w:sz w:val="18"/>
          <w:szCs w:val="18"/>
          <w:i w:val="1"/>
          <w:iCs w:val="1"/>
          <w:color w:val="auto"/>
        </w:rPr>
        <w:t>Revenue Recognition (Topic 605): Multiple-Deliverable Revenue Arrangements — a consensus of the FASB Emerging Issues Task Force.</w:t>
      </w:r>
      <w:r>
        <w:rPr>
          <w:rFonts w:ascii="Arial" w:cs="Arial" w:eastAsia="Arial" w:hAnsi="Arial"/>
          <w:sz w:val="18"/>
          <w:szCs w:val="18"/>
          <w:color w:val="auto"/>
        </w:rPr>
        <w:t xml:space="preserve"> ASU 2009-13 adds estimated selling price as acceptable evidence of fair value of undelivered products and services in revenue arrangements with multiple deliverables. Estimated selling price can be used if there is no vendor specific objective evidence or third-party evidence of fair value. Additionally, ASU 2009-13 eliminates the use of the residual method of allocating revenue and establishes the relative selling price method as the appropriate means to allocate revenue to each deliverable of an arrangement. The adoption of ASU 2009-13 did not materially affect the Company’s unaudited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Sheets and consist of amounts owed by Euronet to money transfer recipients. As of March 31, 2010, the Company’s money transfer settlement obligations were $12.7 million.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weighted-average shares outstanding during the respective period, after adjusting for the potential dilution of the assumed conversion of the Company’s convertible debentures, shares issuable in connection with acquisition obligations, restricted stock and options to purchase the Company’s common stock. The following table provides the computation of diluted weighted average number of common shares outstanding: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r>
      <w:tr>
        <w:trPr>
          <w:trHeight w:val="149"/>
        </w:trPr>
        <w:tc>
          <w:tcPr>
            <w:tcW w:w="102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Ended March 31,</w:t>
            </w:r>
          </w:p>
        </w:tc>
      </w:tr>
      <w:tr>
        <w:trPr>
          <w:trHeight w:val="171"/>
        </w:trPr>
        <w:tc>
          <w:tcPr>
            <w:tcW w:w="102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210"/>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50,801,170</w:t>
            </w:r>
          </w:p>
        </w:tc>
        <w:tc>
          <w:tcPr>
            <w:tcW w:w="100" w:type="dxa"/>
            <w:vAlign w:val="bottom"/>
          </w:tcPr>
          <w:p>
            <w:pPr>
              <w:spacing w:after="0"/>
              <w:rPr>
                <w:sz w:val="18"/>
                <w:szCs w:val="18"/>
                <w:color w:val="auto"/>
              </w:rPr>
            </w:pP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Incremental shares from assumed conversion of stock options and restricted stock</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1,121,952</w:t>
            </w:r>
          </w:p>
        </w:tc>
        <w:tc>
          <w:tcPr>
            <w:tcW w:w="100" w:type="dxa"/>
            <w:vAlign w:val="bottom"/>
            <w:shd w:val="clear" w:color="auto" w:fill="CCEEFF"/>
          </w:tcPr>
          <w:p>
            <w:pPr>
              <w:spacing w:after="0"/>
              <w:rPr>
                <w:sz w:val="18"/>
                <w:szCs w:val="18"/>
                <w:color w:val="auto"/>
              </w:rPr>
            </w:pPr>
          </w:p>
        </w:tc>
      </w:tr>
      <w:tr>
        <w:trPr>
          <w:trHeight w:val="439"/>
        </w:trPr>
        <w:tc>
          <w:tcPr>
            <w:tcW w:w="1026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51,923,122</w:t>
            </w:r>
          </w:p>
        </w:tc>
        <w:tc>
          <w:tcPr>
            <w:tcW w:w="100" w:type="dxa"/>
            <w:vAlign w:val="bottom"/>
          </w:tcPr>
          <w:p>
            <w:pPr>
              <w:spacing w:after="0"/>
              <w:rPr>
                <w:sz w:val="24"/>
                <w:szCs w:val="24"/>
                <w:color w:val="auto"/>
              </w:rPr>
            </w:pPr>
          </w:p>
        </w:tc>
      </w:tr>
      <w:tr>
        <w:trPr>
          <w:trHeight w:val="20"/>
        </w:trPr>
        <w:tc>
          <w:tcPr>
            <w:tcW w:w="10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table includes all stock options and restricted stock that are dilutive to Euronet’s weighted average common shares outstanding during the period. For the three-month period ended March 31, 2009, the Company incurred a net loss; therefore, diluted loss per share is the same as basic loss per share. For the three-month periods ended March 31, 2010 and 2009, the calculation of diluted earnings (loss) per share excludes approximately 2,204,000 and 4,928,000, respectively, stock options or shares of restricted stock that are anti-dilutive to the Company’s weighted average common shares outstanding.</w:t>
      </w:r>
    </w:p>
    <w:p>
      <w:pPr>
        <w:spacing w:after="0" w:line="4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 Company has convertible debentures that, if converted, would have a potentially dilutive effect on the Company’s stock. The 3.50% debentures are convertible into 4.3 million shares of common stock only upon the occurrence of certain conditions. The 1.625% debentures outstanding as of December 31, 2009 were repurchased in January 2010, but the associated shares, if dilutive, would be included in diluted weighted average shares outstanding for the periods the debentures were outstanding. The weighted average shares associated with the 1.625% convertible debentures were 11 thousand and 2.1 million for the three-months periods ended March 31, 2010 and 2009, respectively. As required by Accounting Standards Codification (“ASC”) Topic 260, </w:t>
      </w:r>
      <w:r>
        <w:rPr>
          <w:rFonts w:ascii="Arial" w:cs="Arial" w:eastAsia="Arial" w:hAnsi="Arial"/>
          <w:sz w:val="17"/>
          <w:szCs w:val="17"/>
          <w:i w:val="1"/>
          <w:iCs w:val="1"/>
          <w:color w:val="auto"/>
        </w:rPr>
        <w:t>Earnings</w:t>
      </w:r>
      <w:r>
        <w:rPr>
          <w:rFonts w:ascii="Arial" w:cs="Arial" w:eastAsia="Arial" w:hAnsi="Arial"/>
          <w:sz w:val="17"/>
          <w:szCs w:val="17"/>
          <w:color w:val="auto"/>
        </w:rPr>
        <w:t xml:space="preserve"> </w:t>
      </w:r>
      <w:r>
        <w:rPr>
          <w:rFonts w:ascii="Arial" w:cs="Arial" w:eastAsia="Arial" w:hAnsi="Arial"/>
          <w:sz w:val="17"/>
          <w:szCs w:val="17"/>
          <w:i w:val="1"/>
          <w:iCs w:val="1"/>
          <w:color w:val="auto"/>
        </w:rPr>
        <w:t>per Share</w:t>
      </w:r>
      <w:r>
        <w:rPr>
          <w:rFonts w:ascii="Arial" w:cs="Arial" w:eastAsia="Arial" w:hAnsi="Arial"/>
          <w:sz w:val="17"/>
          <w:szCs w:val="17"/>
          <w:color w:val="auto"/>
        </w:rPr>
        <w:t>, if dilutive, the impact of the contingently issuable shares must be included in the calculation of diluted earnings per share under the “if-converted”</w:t>
      </w:r>
      <w:r>
        <w:rPr>
          <w:rFonts w:ascii="Arial" w:cs="Arial" w:eastAsia="Arial" w:hAnsi="Arial"/>
          <w:sz w:val="17"/>
          <w:szCs w:val="17"/>
          <w:i w:val="1"/>
          <w:iCs w:val="1"/>
          <w:color w:val="auto"/>
        </w:rPr>
        <w:t xml:space="preserve"> </w:t>
      </w:r>
      <w:r>
        <w:rPr>
          <w:rFonts w:ascii="Arial" w:cs="Arial" w:eastAsia="Arial" w:hAnsi="Arial"/>
          <w:sz w:val="17"/>
          <w:szCs w:val="17"/>
          <w:color w:val="auto"/>
        </w:rPr>
        <w:t>method, regardless of whether the conditions upon which the debentures would be convertible into shares of the Company’s common stock have been met. Under the if-converted method, the assumed conversion of the 1.625% and 3.50% convertible debentures was anti-dilutive for each three-month period ended March 31, 2010 and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fourth quarter of 2009, the Company sold Euronet Essentis Limited (“Essentis”), a U.K. software entity, in order to focus its investments and resources on its transaction processing business. Accordingly, Essentis’s results of operations are shown as discontinued operations in the Unaudited Consolidated Statements of Operations. Previously, Essentis’s results were reported in the EFT Processing Segment. The segment results in Note 8, Segment Information, also reflect the classification of Essentis’s results in discontinued operations. The following amounts related to Essentis have been segregated from continuing operations and reported as discontinued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940" w:type="dxa"/>
            <w:vAlign w:val="bottom"/>
            <w:gridSpan w:val="4"/>
          </w:tcPr>
          <w:p>
            <w:pPr>
              <w:ind w:left="54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37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380" w:type="dxa"/>
            <w:vAlign w:val="bottom"/>
            <w:gridSpan w:val="3"/>
          </w:tcPr>
          <w:p>
            <w:pPr>
              <w:ind w:left="62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380" w:type="dxa"/>
            <w:vAlign w:val="bottom"/>
            <w:gridSpan w:val="3"/>
            <w:shd w:val="clear" w:color="auto" w:fill="CCEEFF"/>
          </w:tcPr>
          <w:p>
            <w:pPr>
              <w:ind w:left="62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720" w:type="dxa"/>
            <w:vAlign w:val="bottom"/>
          </w:tcPr>
          <w:p>
            <w:pPr>
              <w:jc w:val="right"/>
              <w:ind w:right="363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57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three-month period ended March 31, 2010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Acquired Intangible</w:t>
            </w:r>
          </w:p>
        </w:tc>
        <w:tc>
          <w:tcPr>
            <w:tcW w:w="13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Goodwill</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Total Intangible</w:t>
            </w:r>
          </w:p>
        </w:tc>
        <w:tc>
          <w:tcPr>
            <w:tcW w:w="0" w:type="dxa"/>
            <w:vAlign w:val="bottom"/>
          </w:tcPr>
          <w:p>
            <w:pPr>
              <w:spacing w:after="0"/>
              <w:rPr>
                <w:sz w:val="1"/>
                <w:szCs w:val="1"/>
                <w:color w:val="auto"/>
              </w:rPr>
            </w:pPr>
          </w:p>
        </w:tc>
      </w:tr>
      <w:tr>
        <w:trPr>
          <w:trHeight w:val="171"/>
        </w:trPr>
        <w:tc>
          <w:tcPr>
            <w:tcW w:w="66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Assets</w:t>
            </w: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112,948</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4"/>
              </w:rPr>
              <w:t>$ 504,650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Decreases: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(5,757)</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(4,098)</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(18,887)</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(22,985)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2010</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103,093</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4"/>
              </w:rPr>
              <w:t>$ 485,763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March 31, 2010, is expected to total $22.9 million for 2010, $19.1 million for 2011, $16.8 million for 2012, $12.4 million for 2013, $9.7 million for 2014 and $4.6 million for 2015.</w:t>
      </w:r>
    </w:p>
    <w:p>
      <w:pPr>
        <w:spacing w:after="0" w:line="62"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The Company’s annual goodwill impairment test is performed during the fourth quarter. The Company’s annual impairment test for the year ended December 31, 2008 resulted in the Company recording an estimated non-cash goodwill impairment charge of $219.8 million in the fourth quarter of 2008 related to its RIA money transfer business and its Spanish prepaid business. Additionally, the Company recorded a non-cash impairment charge of</w:t>
      </w:r>
    </w:p>
    <w:p>
      <w:pPr>
        <w:ind w:right="580"/>
        <w:spacing w:after="0" w:line="254" w:lineRule="auto"/>
        <w:rPr>
          <w:sz w:val="20"/>
          <w:szCs w:val="20"/>
          <w:color w:val="auto"/>
        </w:rPr>
      </w:pPr>
      <w:r>
        <w:rPr>
          <w:rFonts w:ascii="Arial" w:cs="Arial" w:eastAsia="Arial" w:hAnsi="Arial"/>
          <w:sz w:val="18"/>
          <w:szCs w:val="18"/>
          <w:color w:val="auto"/>
        </w:rPr>
        <w:t>$0.3 million in the fourth quarter of 2008 related to certain trade names and customer relationships of the RIA money transfer business. The Company completed the impairment testing in the first quarter of 2009 and recorded an additional non-cash goodwill impairment charge of $8.8 million and a $1.1 million non-cash impairment charge related to a money transfer intangible asset in the first quarter of 2009. The annual goodwill impairment test completed in the fourth quarter of 2009 resulted in no impairment charges.</w:t>
      </w:r>
    </w:p>
    <w:p>
      <w:pPr>
        <w:spacing w:after="0" w:line="8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changes take place.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three-month period ended March 31, 2010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Revolving Credit</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Other Debt</w:t>
            </w:r>
          </w:p>
        </w:tc>
        <w:tc>
          <w:tcPr>
            <w:tcW w:w="14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Capital Leases</w:t>
            </w:r>
          </w:p>
        </w:tc>
        <w:tc>
          <w:tcPr>
            <w:tcW w:w="15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1.625% Convertible</w:t>
            </w:r>
          </w:p>
        </w:tc>
        <w:tc>
          <w:tcPr>
            <w:tcW w:w="16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3.50% Convertible</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Term Loan</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Facilities</w:t>
            </w:r>
          </w:p>
        </w:tc>
        <w:tc>
          <w:tcPr>
            <w:tcW w:w="1080" w:type="dxa"/>
            <w:vAlign w:val="bottom"/>
            <w:gridSpan w:val="4"/>
          </w:tcPr>
          <w:p>
            <w:pPr>
              <w:ind w:left="160"/>
              <w:spacing w:after="0"/>
              <w:rPr>
                <w:sz w:val="20"/>
                <w:szCs w:val="20"/>
                <w:color w:val="auto"/>
              </w:rPr>
            </w:pPr>
            <w:r>
              <w:rPr>
                <w:rFonts w:ascii="Arial" w:cs="Arial" w:eastAsia="Arial" w:hAnsi="Arial"/>
                <w:sz w:val="14"/>
                <w:szCs w:val="14"/>
                <w:b w:val="1"/>
                <w:bCs w:val="1"/>
                <w:color w:val="auto"/>
              </w:rPr>
              <w:t>Obligations</w:t>
            </w:r>
          </w:p>
        </w:tc>
        <w:tc>
          <w:tcPr>
            <w:tcW w:w="1440" w:type="dxa"/>
            <w:vAlign w:val="bottom"/>
            <w:gridSpan w:val="4"/>
            <w:vMerge w:val="continue"/>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Debentures Due 2024</w:t>
            </w:r>
          </w:p>
        </w:tc>
        <w:tc>
          <w:tcPr>
            <w:tcW w:w="1660" w:type="dxa"/>
            <w:vAlign w:val="bottom"/>
            <w:gridSpan w:val="4"/>
          </w:tcPr>
          <w:p>
            <w:pPr>
              <w:ind w:left="160"/>
              <w:spacing w:after="0"/>
              <w:rPr>
                <w:sz w:val="20"/>
                <w:szCs w:val="20"/>
                <w:color w:val="auto"/>
              </w:rPr>
            </w:pPr>
            <w:r>
              <w:rPr>
                <w:rFonts w:ascii="Arial" w:cs="Arial" w:eastAsia="Arial" w:hAnsi="Arial"/>
                <w:sz w:val="14"/>
                <w:szCs w:val="14"/>
                <w:b w:val="1"/>
                <w:bCs w:val="1"/>
                <w:color w:val="auto"/>
              </w:rPr>
              <w:t>Debentures Due 2025</w:t>
            </w: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Balance at December 31,</w:t>
            </w:r>
          </w:p>
        </w:tc>
        <w:tc>
          <w:tcPr>
            <w:tcW w:w="3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39,164</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4,507</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153,927</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$ 129,000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$ 327,917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Increases (decreases):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borrowings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(repayments)</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(38,439)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w:t>
            </w:r>
          </w:p>
        </w:tc>
        <w:tc>
          <w:tcPr>
            <w:tcW w:w="4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(1,227)</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Accretion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1,711</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ind w:left="200"/>
              <w:spacing w:after="0" w:line="201" w:lineRule="exact"/>
              <w:rPr>
                <w:sz w:val="20"/>
                <w:szCs w:val="20"/>
                <w:color w:val="auto"/>
              </w:rPr>
            </w:pPr>
            <w:r>
              <w:rPr>
                <w:rFonts w:ascii="Arial" w:cs="Arial" w:eastAsia="Arial" w:hAnsi="Arial"/>
                <w:sz w:val="18"/>
                <w:szCs w:val="18"/>
                <w:color w:val="auto"/>
              </w:rPr>
              <w:t>Foreign exchange</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ind w:left="400"/>
              <w:spacing w:after="0"/>
              <w:rPr>
                <w:sz w:val="20"/>
                <w:szCs w:val="20"/>
                <w:color w:val="auto"/>
              </w:rPr>
            </w:pPr>
            <w:r>
              <w:rPr>
                <w:rFonts w:ascii="Arial" w:cs="Arial" w:eastAsia="Arial" w:hAnsi="Arial"/>
                <w:sz w:val="18"/>
                <w:szCs w:val="18"/>
                <w:color w:val="auto"/>
              </w:rPr>
              <w:t>(gain)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at March 31, 2010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3,782</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155,638</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128,500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8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(2,264)</w:t>
            </w:r>
          </w:p>
        </w:tc>
        <w:tc>
          <w:tcPr>
            <w:tcW w:w="46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(1,900)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obligations at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31, 2010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1,518</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155,638</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$ 126,600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$ 284,602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January 2010, the Company elected to redeem the remaining $1.2 million of outstanding 1.625% debentures at par. Contractual interest expense was $1 thousand and $0.3 million for the three months ended March 31, 2010 and 2009, respectively, and discount accretion was $0.9 million for the three months ended March 31, 2009. The effective interest rate was 1.625% and 7.1% for the three months ended March 31, 2010 and 2009, respectively. The carrying amount of the equity portion was $32.3 million as of December 31, 2009.</w:t>
      </w:r>
    </w:p>
    <w:p>
      <w:pPr>
        <w:spacing w:after="0" w:line="7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3.50% convertible debentures had principal amounts outstanding of $175.0 million and unamortized discounts outstanding of $19.4 million and $21.1 million as of March 31, 2010 and December 31, 2009, respectively. The discount will be amortized through October 15,</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2012. Contractual interest expense was $1.5 million and discount accretion was $1.7 million and $1.6 million for the three months ended March 31, 2010 and 2009, respectively. The effective interest rate was 8.4% for the three months ended March 31, 2010 and 2009. The carrying amount of the equity portion was $45.1 million as of March 31, 2010 and December 31,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March 31, 2010, the Company had foreign currency forward contracts outstanding with a notional value of $76.0 million, primarily in euros and U.S. dollars, which had a weighted average remaining maturity of 4.0 days. Although the Company enters into foreign currency forward contracts to offset foreign currency exposure related to the notional value of money transfer transactions collected in currencies other than the U.S. dollar, they are not designated as hedges under ASC Topic 815. This is mainly due to the relatively short duration of the contracts, typically 1 to 14 days, and the frequency with which the Company enters into them.</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and its fair value is recorded in the Unaudited Consolidated Balance Sheets.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2007, the Company entered into interest rate swap agreements for a total notional amount of $50 million to manage interest rate exposure related to a portion of its term loan. The interest rate swap agreements were determined to be cash flow hedges and effectively converted $50 million of the term loan to a fixed interest rate of 7.3% through the May 2009 maturity date of the swap agreements. The swap agreements required no payment by either party at their maturities.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tabular disclosures required for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4"/>
              </w:rPr>
              <w:t>Fair Values of Derivative Instruments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2"/>
          </w:tcPr>
          <w:p>
            <w:pPr>
              <w:jc w:val="center"/>
              <w:ind w:right="880"/>
              <w:spacing w:after="0" w:line="142" w:lineRule="exact"/>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2"/>
                <w:szCs w:val="12"/>
                <w:color w:val="auto"/>
              </w:rPr>
            </w:pPr>
          </w:p>
        </w:tc>
        <w:tc>
          <w:tcPr>
            <w:tcW w:w="96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4"/>
              </w:rPr>
              <w:t>March 31, 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December 31, 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2500" w:type="dxa"/>
            <w:vAlign w:val="bottom"/>
            <w:gridSpan w:val="2"/>
          </w:tcPr>
          <w:p>
            <w:pPr>
              <w:jc w:val="center"/>
              <w:ind w:right="860"/>
              <w:spacing w:after="0" w:line="142" w:lineRule="exact"/>
              <w:rPr>
                <w:sz w:val="20"/>
                <w:szCs w:val="20"/>
                <w:color w:val="auto"/>
              </w:rPr>
            </w:pPr>
            <w:r>
              <w:rPr>
                <w:rFonts w:ascii="Arial" w:cs="Arial" w:eastAsia="Arial" w:hAnsi="Arial"/>
                <w:sz w:val="14"/>
                <w:szCs w:val="14"/>
                <w:b w:val="1"/>
                <w:bCs w:val="1"/>
                <w:color w:val="auto"/>
                <w:w w:val="95"/>
              </w:rPr>
              <w:t>Location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5"/>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Asset Derivatives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7"/>
              </w:rPr>
              <w:t>Derivatives not designated as hedging instruments under ASC</w:t>
            </w:r>
          </w:p>
        </w:tc>
        <w:tc>
          <w:tcPr>
            <w:tcW w:w="580" w:type="dxa"/>
            <w:vAlign w:val="bottom"/>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Topic 815</w:t>
            </w:r>
          </w:p>
        </w:tc>
        <w:tc>
          <w:tcPr>
            <w:tcW w:w="5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Foreign currency derivative contracts — gross gains</w:t>
            </w:r>
          </w:p>
        </w:tc>
        <w:tc>
          <w:tcPr>
            <w:tcW w:w="58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3"/>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center"/>
              <w:ind w:right="25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 contracts — gross losses</w:t>
            </w:r>
          </w:p>
        </w:tc>
        <w:tc>
          <w:tcPr>
            <w:tcW w:w="5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ind w:right="253"/>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Embedded derivative in foreign lease</w:t>
            </w:r>
          </w:p>
        </w:tc>
        <w:tc>
          <w:tcPr>
            <w:tcW w:w="580" w:type="dxa"/>
            <w:vAlign w:val="bottom"/>
          </w:tcPr>
          <w:p>
            <w:pPr>
              <w:spacing w:after="0"/>
              <w:rPr>
                <w:sz w:val="24"/>
                <w:szCs w:val="24"/>
                <w:color w:val="auto"/>
              </w:rPr>
            </w:pPr>
          </w:p>
        </w:tc>
        <w:tc>
          <w:tcPr>
            <w:tcW w:w="2500" w:type="dxa"/>
            <w:vAlign w:val="bottom"/>
            <w:gridSpan w:val="2"/>
            <w:vMerge w:val="restart"/>
          </w:tcPr>
          <w:p>
            <w:pPr>
              <w:ind w:left="20"/>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5"/>
              </w:rPr>
              <w:t>Liability Derivatives</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8"/>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center"/>
              <w:ind w:right="25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derivatives</w:t>
            </w: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gridSpan w:val="3"/>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8"/>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jc w:val="center"/>
              <w:ind w:right="25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10"/>
          </w:tcPr>
          <w:p>
            <w:pPr>
              <w:ind w:left="420"/>
              <w:spacing w:after="0"/>
              <w:rPr>
                <w:sz w:val="20"/>
                <w:szCs w:val="20"/>
                <w:color w:val="auto"/>
              </w:rPr>
            </w:pPr>
            <w:r>
              <w:rPr>
                <w:rFonts w:ascii="Arial" w:cs="Arial" w:eastAsia="Arial" w:hAnsi="Arial"/>
                <w:sz w:val="14"/>
                <w:szCs w:val="14"/>
                <w:b w:val="1"/>
                <w:bCs w:val="1"/>
                <w:color w:val="auto"/>
                <w:w w:val="96"/>
              </w:rPr>
              <w:t>Amount of Gain Recognized in OCI 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4"/>
              </w:rPr>
              <w:t>Derivative (Effective Portion)</w:t>
            </w:r>
          </w:p>
        </w:tc>
        <w:tc>
          <w:tcPr>
            <w:tcW w:w="0" w:type="dxa"/>
            <w:vAlign w:val="bottom"/>
          </w:tcPr>
          <w:p>
            <w:pPr>
              <w:spacing w:after="0"/>
              <w:rPr>
                <w:sz w:val="1"/>
                <w:szCs w:val="1"/>
                <w:color w:val="auto"/>
              </w:rPr>
            </w:pPr>
          </w:p>
        </w:tc>
      </w:tr>
      <w:tr>
        <w:trPr>
          <w:trHeight w:val="142"/>
        </w:trPr>
        <w:tc>
          <w:tcPr>
            <w:tcW w:w="52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60" w:type="dxa"/>
            <w:vAlign w:val="bottom"/>
            <w:tcBorders>
              <w:top w:val="single" w:sz="8" w:color="auto"/>
              <w:bottom w:val="single" w:sz="8" w:color="auto"/>
            </w:tcBorders>
            <w:gridSpan w:val="8"/>
          </w:tcPr>
          <w:p>
            <w:pPr>
              <w:jc w:val="center"/>
              <w:spacing w:after="0" w:line="142" w:lineRule="exact"/>
              <w:rPr>
                <w:sz w:val="20"/>
                <w:szCs w:val="20"/>
                <w:color w:val="auto"/>
              </w:rPr>
            </w:pPr>
            <w:r>
              <w:rPr>
                <w:rFonts w:ascii="Arial" w:cs="Arial" w:eastAsia="Arial" w:hAnsi="Arial"/>
                <w:sz w:val="14"/>
                <w:szCs w:val="14"/>
                <w:b w:val="1"/>
                <w:bCs w:val="1"/>
                <w:color w:val="auto"/>
                <w:w w:val="94"/>
              </w:rPr>
              <w:t>Three Months Ended 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5"/>
              </w:rPr>
              <w:t>Derivatives in ASC Topic 815 Cash Flow Hedging Relationships</w:t>
            </w:r>
          </w:p>
        </w:tc>
        <w:tc>
          <w:tcPr>
            <w:tcW w:w="5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Interest rate swaps related to floating rate debt</w:t>
            </w:r>
          </w:p>
        </w:tc>
        <w:tc>
          <w:tcPr>
            <w:tcW w:w="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left="8560"/>
        <w:spacing w:after="0"/>
        <w:rPr>
          <w:sz w:val="20"/>
          <w:szCs w:val="20"/>
          <w:color w:val="auto"/>
        </w:rPr>
      </w:pPr>
      <w:r>
        <w:rPr>
          <w:rFonts w:ascii="Arial" w:cs="Arial" w:eastAsia="Arial" w:hAnsi="Arial"/>
          <w:sz w:val="13"/>
          <w:szCs w:val="13"/>
          <w:b w:val="1"/>
          <w:bCs w:val="1"/>
          <w:color w:val="auto"/>
        </w:rPr>
        <w:t>Amount of Gain (Loss) Recognized in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3"/>
              </w:rPr>
              <w:t>on Derivative</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Location of Gain</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5"/>
          </w:tcPr>
          <w:p>
            <w:pPr>
              <w:jc w:val="right"/>
              <w:ind w:right="314"/>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(Loss) Recognized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 under ASC Topic 815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Foreign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currency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exchange gain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gridSpan w:val="3"/>
          </w:tcPr>
          <w:p>
            <w:pPr>
              <w:spacing w:after="0"/>
              <w:rPr>
                <w:sz w:val="20"/>
                <w:szCs w:val="20"/>
                <w:color w:val="auto"/>
              </w:rPr>
            </w:pPr>
            <w:r>
              <w:rPr>
                <w:rFonts w:ascii="Arial" w:cs="Arial" w:eastAsia="Arial" w:hAnsi="Arial"/>
                <w:sz w:val="18"/>
                <w:szCs w:val="18"/>
                <w:color w:val="auto"/>
              </w:rPr>
              <w:t>Foreign currency derivative contracts</w:t>
            </w:r>
          </w:p>
        </w:tc>
        <w:tc>
          <w:tcPr>
            <w:tcW w:w="8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(loss), net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1"/>
              </w:rPr>
              <w:t>Foreign</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currency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exchange gain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in foreign lease</w:t>
            </w: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(loss), net</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7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Arial" w:cs="Arial" w:eastAsia="Arial" w:hAnsi="Arial"/>
                <w:sz w:val="18"/>
                <w:szCs w:val="18"/>
                <w:color w:val="auto"/>
                <w:w w:val="91"/>
              </w:rPr>
              <w:t>See Note 9, Fair Value Measurements, for the determination of the fair values of derivatives.</w:t>
            </w: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7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Company currently operates in the following three reportable operating segments:</w:t>
      </w:r>
    </w:p>
    <w:p>
      <w:pPr>
        <w:spacing w:after="0" w:line="62" w:lineRule="exact"/>
        <w:rPr>
          <w:sz w:val="20"/>
          <w:szCs w:val="20"/>
          <w:color w:val="auto"/>
        </w:rPr>
      </w:pPr>
    </w:p>
    <w:p>
      <w:pPr>
        <w:ind w:left="660" w:right="280" w:hanging="314"/>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and transaction delivery systems.</w:t>
      </w:r>
    </w:p>
    <w:p>
      <w:pPr>
        <w:spacing w:after="0" w:line="93" w:lineRule="exact"/>
        <w:rPr>
          <w:rFonts w:ascii="Arial" w:cs="Arial" w:eastAsia="Arial" w:hAnsi="Arial"/>
          <w:sz w:val="18"/>
          <w:szCs w:val="18"/>
          <w:color w:val="auto"/>
        </w:rPr>
      </w:pPr>
    </w:p>
    <w:p>
      <w:pPr>
        <w:ind w:left="660" w:right="460" w:hanging="31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of prepaid mobile airtime and other electronic payment products and collection services in Europe, the Middle East, Asia Pacific and the Americas.</w:t>
      </w:r>
    </w:p>
    <w:p>
      <w:pPr>
        <w:spacing w:after="0" w:line="75" w:lineRule="exact"/>
        <w:rPr>
          <w:rFonts w:ascii="Arial" w:cs="Arial" w:eastAsia="Arial" w:hAnsi="Arial"/>
          <w:sz w:val="18"/>
          <w:szCs w:val="18"/>
          <w:color w:val="auto"/>
        </w:rPr>
      </w:pPr>
    </w:p>
    <w:p>
      <w:pPr>
        <w:jc w:val="both"/>
        <w:ind w:left="660" w:right="320" w:hanging="314"/>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consumer-to-consumer money transfer and bill payment services through a sending network of agents and Company-owned stores primarily in North America and Europe, disbursing money transfers through a worldwide payer network. Bill payment services are offered primarily in the U.S.</w:t>
      </w:r>
    </w:p>
    <w:p>
      <w:pPr>
        <w:spacing w:after="0" w:line="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share-based compensation expense, certain intersegment eliminations and the costs of providing corporate and other administrative services to the three segments. These services are not directly identifiable with the Company’s reportable operating segments.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segment results of the Company’s operations for the three-month periods ended March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gridSpan w:val="9"/>
          </w:tcPr>
          <w:p>
            <w:pPr>
              <w:jc w:val="right"/>
              <w:ind w:right="1020"/>
              <w:spacing w:after="0"/>
              <w:rPr>
                <w:sz w:val="20"/>
                <w:szCs w:val="20"/>
                <w:color w:val="auto"/>
              </w:rPr>
            </w:pPr>
            <w:r>
              <w:rPr>
                <w:rFonts w:ascii="Arial" w:cs="Arial" w:eastAsia="Arial" w:hAnsi="Arial"/>
                <w:sz w:val="14"/>
                <w:szCs w:val="14"/>
                <w:b w:val="1"/>
                <w:bCs w:val="1"/>
                <w:color w:val="auto"/>
              </w:rPr>
              <w:t>For the Three Months Ended March 31, 2010</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Corporate Services,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EFT Processing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epay</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Money Transfer</w:t>
            </w:r>
          </w:p>
        </w:tc>
        <w:tc>
          <w:tcPr>
            <w:tcW w:w="240" w:type="dxa"/>
            <w:vAlign w:val="bottom"/>
          </w:tcPr>
          <w:p>
            <w:pPr>
              <w:spacing w:after="0"/>
              <w:rPr>
                <w:sz w:val="12"/>
                <w:szCs w:val="12"/>
                <w:color w:val="auto"/>
              </w:rPr>
            </w:pPr>
          </w:p>
        </w:tc>
        <w:tc>
          <w:tcPr>
            <w:tcW w:w="15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Eliminations and</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145,380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56,057</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250,003</w:t>
            </w:r>
          </w:p>
        </w:tc>
        <w:tc>
          <w:tcPr>
            <w:tcW w:w="0" w:type="dxa"/>
            <w:vAlign w:val="bottom"/>
          </w:tcPr>
          <w:p>
            <w:pPr>
              <w:spacing w:after="0"/>
              <w:rPr>
                <w:sz w:val="1"/>
                <w:szCs w:val="1"/>
                <w:color w:val="auto"/>
              </w:rPr>
            </w:pPr>
          </w:p>
        </w:tc>
      </w:tr>
      <w:tr>
        <w:trPr>
          <w:trHeight w:val="439"/>
        </w:trPr>
        <w:tc>
          <w:tcPr>
            <w:tcW w:w="3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115,599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26,334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165,861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6,241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8,325</w:t>
            </w: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14,197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3,409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5,231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8,944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4,924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4,155</w:t>
            </w: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5,090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133,310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54,565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231,774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4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9,719</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12,070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1,492</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(5,052)</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9"/>
          </w:tcPr>
          <w:p>
            <w:pPr>
              <w:jc w:val="right"/>
              <w:ind w:right="1020"/>
              <w:spacing w:after="0"/>
              <w:rPr>
                <w:sz w:val="20"/>
                <w:szCs w:val="20"/>
                <w:color w:val="auto"/>
              </w:rPr>
            </w:pPr>
            <w:r>
              <w:rPr>
                <w:rFonts w:ascii="Arial" w:cs="Arial" w:eastAsia="Arial" w:hAnsi="Arial"/>
                <w:sz w:val="14"/>
                <w:szCs w:val="14"/>
                <w:b w:val="1"/>
                <w:bCs w:val="1"/>
                <w:color w:val="auto"/>
              </w:rPr>
              <w:t>For the Three Months Ended March 31, 2009</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Corporate Services,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EFT Processing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epay</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Money Transfer</w:t>
            </w:r>
          </w:p>
        </w:tc>
        <w:tc>
          <w:tcPr>
            <w:tcW w:w="240" w:type="dxa"/>
            <w:vAlign w:val="bottom"/>
          </w:tcPr>
          <w:p>
            <w:pPr>
              <w:spacing w:after="0"/>
              <w:rPr>
                <w:sz w:val="12"/>
                <w:szCs w:val="12"/>
                <w:color w:val="auto"/>
              </w:rPr>
            </w:pPr>
          </w:p>
        </w:tc>
        <w:tc>
          <w:tcPr>
            <w:tcW w:w="15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Eliminations and</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134,523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52,968</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233,697</w:t>
            </w:r>
          </w:p>
        </w:tc>
        <w:tc>
          <w:tcPr>
            <w:tcW w:w="0" w:type="dxa"/>
            <w:vAlign w:val="bottom"/>
          </w:tcPr>
          <w:p>
            <w:pPr>
              <w:spacing w:after="0"/>
              <w:rPr>
                <w:sz w:val="1"/>
                <w:szCs w:val="1"/>
                <w:color w:val="auto"/>
              </w:rPr>
            </w:pPr>
          </w:p>
        </w:tc>
      </w:tr>
      <w:tr>
        <w:trPr>
          <w:trHeight w:val="439"/>
        </w:trPr>
        <w:tc>
          <w:tcPr>
            <w:tcW w:w="3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109,035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7,012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6,424</w:t>
            </w: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11,820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3,340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4,542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8,815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200"/>
              <w:spacing w:after="0" w:line="201" w:lineRule="exact"/>
              <w:rPr>
                <w:sz w:val="20"/>
                <w:szCs w:val="20"/>
                <w:color w:val="auto"/>
              </w:rPr>
            </w:pPr>
            <w:r>
              <w:rPr>
                <w:rFonts w:ascii="Arial" w:cs="Arial" w:eastAsia="Arial" w:hAnsi="Arial"/>
                <w:sz w:val="18"/>
                <w:szCs w:val="18"/>
                <w:color w:val="auto"/>
              </w:rPr>
              <w:t>Goodwill and acquired intangible assets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impairment</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9,884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3,646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34,296</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123,647</w:t>
            </w:r>
          </w:p>
        </w:tc>
        <w:tc>
          <w:tcPr>
            <w:tcW w:w="28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60,839</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5,217</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223,999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11,910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10,876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(7,871)</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(5,217)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carrying amount of cash and cash equivalents, trade accounts receivable, trade accounts payable and short-term debt obligations approximates fair values, due to their short maturities. The carrying value of the Company’s term loan due 2014 and revolving credit agreements approximate fair values because interest is based on the London Inter-Bank Offered Rate (“LIBOR”) that resets at various intervals of less than one year. The following table provides the estimated fair values of the Company’s other financial instruments, based on quoted market prices or significant other observable inputs.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460" w:type="dxa"/>
            <w:vAlign w:val="bottom"/>
            <w:gridSpan w:val="7"/>
          </w:tcPr>
          <w:p>
            <w:pPr>
              <w:jc w:val="right"/>
              <w:ind w:right="820"/>
              <w:spacing w:after="0" w:line="142" w:lineRule="exact"/>
              <w:rPr>
                <w:sz w:val="20"/>
                <w:szCs w:val="20"/>
                <w:color w:val="auto"/>
              </w:rPr>
            </w:pPr>
            <w:r>
              <w:rPr>
                <w:rFonts w:ascii="Arial" w:cs="Arial" w:eastAsia="Arial" w:hAnsi="Arial"/>
                <w:sz w:val="14"/>
                <w:szCs w:val="14"/>
                <w:b w:val="1"/>
                <w:bCs w:val="1"/>
                <w:color w:val="auto"/>
              </w:rPr>
              <w:t>March 31, 2010</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tcPr>
          <w:p>
            <w:pPr>
              <w:jc w:val="right"/>
              <w:ind w:right="528"/>
              <w:spacing w:after="0" w:line="142" w:lineRule="exact"/>
              <w:rPr>
                <w:sz w:val="20"/>
                <w:szCs w:val="20"/>
                <w:color w:val="auto"/>
              </w:rPr>
            </w:pPr>
            <w:r>
              <w:rPr>
                <w:rFonts w:ascii="Arial" w:cs="Arial" w:eastAsia="Arial" w:hAnsi="Arial"/>
                <w:sz w:val="14"/>
                <w:szCs w:val="14"/>
                <w:b w:val="1"/>
                <w:bCs w:val="1"/>
                <w:color w:val="auto"/>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gridSpan w:val="3"/>
            <w:vMerge w:val="continue"/>
          </w:tcPr>
          <w:p>
            <w:pPr>
              <w:spacing w:after="0"/>
              <w:rPr>
                <w:sz w:val="12"/>
                <w:szCs w:val="12"/>
                <w:color w:val="auto"/>
              </w:rPr>
            </w:pPr>
          </w:p>
        </w:tc>
        <w:tc>
          <w:tcPr>
            <w:tcW w:w="13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5"/>
              </w:rPr>
              <w:t>Carrying Value</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Carrying Value</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3.50% convertible debentures, unsecured, due 2025</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   (155,638)</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(162,094)</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w w:val="95"/>
              </w:rPr>
              <w:t>(153,927)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 (162,313)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Foreign currency derivative contracts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(185)</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in foreign lease</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(220)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428"/>
              <w:spacing w:after="0"/>
              <w:rPr>
                <w:sz w:val="20"/>
                <w:szCs w:val="20"/>
                <w:color w:val="auto"/>
              </w:rPr>
            </w:pPr>
            <w:r>
              <w:rPr>
                <w:rFonts w:ascii="Arial" w:cs="Arial" w:eastAsia="Arial" w:hAnsi="Arial"/>
                <w:sz w:val="18"/>
                <w:szCs w:val="18"/>
                <w:color w:val="auto"/>
              </w:rPr>
              <w:t>(1,227)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310"/>
        </w:trPr>
        <w:tc>
          <w:tcPr>
            <w:tcW w:w="8460" w:type="dxa"/>
            <w:vAlign w:val="bottom"/>
            <w:gridSpan w:val="10"/>
          </w:tcPr>
          <w:p>
            <w:pPr>
              <w:spacing w:after="0"/>
              <w:rPr>
                <w:sz w:val="20"/>
                <w:szCs w:val="20"/>
                <w:color w:val="auto"/>
              </w:rPr>
            </w:pPr>
            <w:r>
              <w:rPr>
                <w:rFonts w:ascii="Arial" w:cs="Arial" w:eastAsia="Arial" w:hAnsi="Arial"/>
                <w:sz w:val="18"/>
                <w:szCs w:val="18"/>
                <w:color w:val="auto"/>
                <w:w w:val="93"/>
              </w:rPr>
              <w:t>The Company’s assets and liabilities recorded at fair value on a recurring basis are set forth in the following table:</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As of March 31, 2010</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5"/>
          </w:tcPr>
          <w:p>
            <w:pPr>
              <w:jc w:val="center"/>
              <w:ind w:left="437"/>
              <w:spacing w:after="0" w:line="119" w:lineRule="exact"/>
              <w:rPr>
                <w:sz w:val="20"/>
                <w:szCs w:val="20"/>
                <w:color w:val="auto"/>
              </w:rPr>
            </w:pPr>
            <w:r>
              <w:rPr>
                <w:rFonts w:ascii="Arial" w:cs="Arial" w:eastAsia="Arial" w:hAnsi="Arial"/>
                <w:sz w:val="13"/>
                <w:szCs w:val="13"/>
                <w:b w:val="1"/>
                <w:bCs w:val="1"/>
                <w:color w:val="auto"/>
              </w:rPr>
              <w:t>Fair Value Measurements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520" w:type="dxa"/>
            <w:vAlign w:val="bottom"/>
          </w:tcPr>
          <w:p>
            <w:pPr>
              <w:spacing w:after="0"/>
              <w:rPr>
                <w:sz w:val="12"/>
                <w:szCs w:val="12"/>
                <w:color w:val="auto"/>
              </w:rPr>
            </w:pPr>
          </w:p>
        </w:tc>
        <w:tc>
          <w:tcPr>
            <w:tcW w:w="16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Using Significant Other</w:t>
            </w:r>
          </w:p>
        </w:tc>
        <w:tc>
          <w:tcPr>
            <w:tcW w:w="0" w:type="dxa"/>
            <w:vAlign w:val="bottom"/>
          </w:tcPr>
          <w:p>
            <w:pPr>
              <w:spacing w:after="0"/>
              <w:rPr>
                <w:sz w:val="1"/>
                <w:szCs w:val="1"/>
                <w:color w:val="auto"/>
              </w:rPr>
            </w:pPr>
          </w:p>
        </w:tc>
      </w:tr>
      <w:tr>
        <w:trPr>
          <w:trHeight w:val="171"/>
        </w:trPr>
        <w:tc>
          <w:tcPr>
            <w:tcW w:w="600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5"/>
        </w:trPr>
        <w:tc>
          <w:tcPr>
            <w:tcW w:w="60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Foreign currency derivative contracts</w:t>
            </w:r>
          </w:p>
        </w:tc>
        <w:tc>
          <w:tcPr>
            <w:tcW w:w="9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gridSpan w:val="2"/>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320"/>
              <w:spacing w:after="0" w:line="195" w:lineRule="exact"/>
              <w:rPr>
                <w:sz w:val="20"/>
                <w:szCs w:val="20"/>
                <w:color w:val="auto"/>
              </w:rPr>
            </w:pPr>
            <w:r>
              <w:rPr>
                <w:rFonts w:ascii="Arial" w:cs="Arial" w:eastAsia="Arial" w:hAnsi="Arial"/>
                <w:sz w:val="18"/>
                <w:szCs w:val="18"/>
                <w:color w:val="auto"/>
                <w:w w:val="76"/>
              </w:rPr>
              <w:t>(185)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00" w:type="dxa"/>
            <w:vAlign w:val="bottom"/>
            <w:gridSpan w:val="3"/>
          </w:tcPr>
          <w:p>
            <w:pPr>
              <w:spacing w:after="0"/>
              <w:rPr>
                <w:sz w:val="20"/>
                <w:szCs w:val="20"/>
                <w:color w:val="auto"/>
              </w:rPr>
            </w:pPr>
            <w:r>
              <w:rPr>
                <w:rFonts w:ascii="Arial" w:cs="Arial" w:eastAsia="Arial" w:hAnsi="Arial"/>
                <w:sz w:val="18"/>
                <w:szCs w:val="18"/>
                <w:color w:val="auto"/>
              </w:rPr>
              <w:t>Embedded derivative in foreign lease</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ind w:left="320"/>
              <w:spacing w:after="0"/>
              <w:rPr>
                <w:sz w:val="20"/>
                <w:szCs w:val="20"/>
                <w:color w:val="auto"/>
              </w:rPr>
            </w:pPr>
            <w:r>
              <w:rPr>
                <w:rFonts w:ascii="Arial" w:cs="Arial" w:eastAsia="Arial" w:hAnsi="Arial"/>
                <w:sz w:val="18"/>
                <w:szCs w:val="18"/>
                <w:color w:val="auto"/>
                <w:w w:val="99"/>
              </w:rPr>
              <w:t>(157)</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Certain assets are measured at fair value on a non-recurring basis. During the first quarter of 2009, the Company finalized the assessment of the fair value of the goodwill related to its RIA money transfer business and its Spanish prepaid business and recorded an impairment charge of $8.8 million as discussed in Note 5, Goodwill and Acquired Intangible Assets, Net. The fair values were determined using significant unobservable inputs. The $258.8 million fair value of goodwill was determined by calculating its implied fair value as the excess of the fair value of the respective entity over the fair value of its net assets. Additionally, during the first quarter of 2009, management determined that an acquired intangible asset associated with a previous acquisition in the Money Transfer Segment had no value and, accordingly, the Company wrote off of the remaining net book value of the intangible asset of $1.1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March 31, 2010, the Company had $58.7 million of stand-by letters of credit/bank guarantees issued on its behalf, of which $10.9 million are collateralized by cash deposits held by the respective issuing banks.</w:t>
      </w:r>
    </w:p>
    <w:p>
      <w:pPr>
        <w:spacing w:after="0" w:line="6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March 31, 2010, the Company granted off balance sheet guarantees for cash in various ATM networks amounting to $19.4 million over the terms of the cash supply agreements and performance guarantees amounting to approximately $30.7 million over the terms of the agreements with the customers.</w:t>
      </w:r>
    </w:p>
    <w:p>
      <w:pPr>
        <w:spacing w:after="0" w:line="73"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From time to time, Euronet enters into agreements with unaffiliated parties that contain indemnification provisions, the terms and conditions of which may vary depending on the negotiated terms and conditions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3" w:lineRule="exact"/>
        <w:rPr>
          <w:sz w:val="20"/>
          <w:szCs w:val="20"/>
          <w:color w:val="auto"/>
        </w:rPr>
      </w:pPr>
    </w:p>
    <w:p>
      <w:pPr>
        <w:ind w:left="660" w:right="140" w:hanging="314"/>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damages to ATMs and theft of ATM network cash that, generally, is not recorded on the Company’s Consolidated Balance Sheets. As of March 31, 2010, the balance of ATM network cash for which the Company was responsible was approximately $260 million. The Company maintains insurance policies to mitigate this exposure;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licensees,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40" w:hanging="314"/>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80" w:hanging="314"/>
        <w:spacing w:after="0" w:line="293"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80" w:hanging="314"/>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Company has issued surety bonds in compliance with money transfer licensing requirements of the applicable governmental authorities.</w:t>
      </w:r>
    </w:p>
    <w:p>
      <w:pPr>
        <w:spacing w:after="0" w:line="129"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March 31, 2010 or December 31,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Company’s effective tax rates were 62% and (81%) for the three-month periods ended March 31, 2010 and 2009, respectively. The effective tax rates were significantly influenced by the foreign currency exchange net losses for the first quarter of 2010 and 2009 and the goodwill and acquired intangible assets impairment charge for the first quarter of 2009. Excluding foreign currency exchange results and the impairment charge from pre-tax income, as well as the related tax effects for these items, the Company’s effective tax rates were 41.5% and 41.6% for the three months ended March 31, 2010 and 2009, respectively.</w:t>
      </w:r>
    </w:p>
    <w:p>
      <w:pPr>
        <w:spacing w:after="0" w:line="8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increase in the effective tax rate, as adjusted, for the first quarter of 2010 compared to the applicable statutory rate of 35% is primarily related to the Company’s U.S. tax position. For the three months ended March 31, 2010, Euronet recorded a valuation allowance against its U.S. federal tax net operating losses as it is more likely than not that a tax benefit will not be realized. Accordingly, the federal income tax benefit associated with pre-tax book losses generated by the Company’s U.S. entities has not been recognized in this period. Additionally, the first quarter 2010 effective tax rate is lower due to a $0.8 million adjustment related to a foreign tax law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the second quarter of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money transmission services to the Dominican Republic during the period from January 1, 2004 to the date of the subpoena. The Company acquired all of the stock RIA Envia, Inc., the parent of CES, in April 2007. The Company and CES are fully cooperating with the DOJ in its investigation.</w:t>
      </w:r>
    </w:p>
    <w:p>
      <w:pPr>
        <w:spacing w:after="0" w:line="8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At this time, the Company is unable to predict whether this investigation will result in the DOJ bringing charges against CES. Accordingly, the Company is unable to predict the outcome of this investigation, the possible loss or possible range of loss, if any, associated with the resolution of any charges that may be brought against CES, or any potential effect on the Company’s business, results of operations or financial condition.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Euronet Worldwide, Inc. (“Euronet,” the “Company,” “we” or “us”) is a leading global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prepaid products; and global consumer money transfer services. As of March 31, 2010, we operate in the following three principal business segments:</w:t>
      </w:r>
    </w:p>
    <w:p>
      <w:pPr>
        <w:spacing w:after="0" w:line="46" w:lineRule="exact"/>
        <w:rPr>
          <w:sz w:val="20"/>
          <w:szCs w:val="20"/>
          <w:color w:val="auto"/>
        </w:rPr>
      </w:pPr>
    </w:p>
    <w:p>
      <w:pPr>
        <w:ind w:left="660" w:right="60" w:hanging="314"/>
        <w:spacing w:after="0" w:line="25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EFT Processing Segment, which processes transactions for a network of 10,283 ATMs and approximately 55,000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electronic financial transaction (“EFT”) software solutions for electronic payment and transaction delivery systems.</w:t>
      </w:r>
    </w:p>
    <w:p>
      <w:pPr>
        <w:spacing w:after="0" w:line="93" w:lineRule="exact"/>
        <w:rPr>
          <w:rFonts w:ascii="Arial" w:cs="Arial" w:eastAsia="Arial" w:hAnsi="Arial"/>
          <w:sz w:val="18"/>
          <w:szCs w:val="18"/>
          <w:b w:val="1"/>
          <w:bCs w:val="1"/>
          <w:color w:val="auto"/>
        </w:rPr>
      </w:pPr>
    </w:p>
    <w:p>
      <w:pPr>
        <w:ind w:left="660" w:right="80" w:hanging="314"/>
        <w:spacing w:after="0" w:line="31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epay Segment, which provides distribution of prepaid mobile airtime and other electronic payment products and collection services for various prepaid products, cards and services. Including terminals operated by unconsolidated subsidiaries, we operate a network of approximately 510,000 POS terminals providing electronic processing of prepaid mobile airtime top-up services in Europe, the Middle East, Asia Pacific and the Americas.</w:t>
      </w:r>
    </w:p>
    <w:p>
      <w:pPr>
        <w:spacing w:after="0" w:line="52" w:lineRule="exact"/>
        <w:rPr>
          <w:rFonts w:ascii="Arial" w:cs="Arial" w:eastAsia="Arial" w:hAnsi="Arial"/>
          <w:sz w:val="16"/>
          <w:szCs w:val="16"/>
          <w:b w:val="1"/>
          <w:bCs w:val="1"/>
          <w:color w:val="auto"/>
        </w:rPr>
      </w:pPr>
    </w:p>
    <w:p>
      <w:pPr>
        <w:ind w:left="660" w:right="20" w:hanging="314"/>
        <w:spacing w:after="0" w:line="30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Money Transfer Segment, which provides global consumer-to-consumer money transfer and bill payment services through a sending network of agents and Company-owned stores primarily in North America and Europe, disbursing money transfers through a worldwide payer network. The Money Transfer Segment originates and terminates transactions through a network of approximately 86,100 locations, which include sending agents and Company-owned stores, and an extensive payer network in more than 100 countries. Bill payment services are offered primarily in the U.S.</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six processing centers in Europe, two in Asia Pacific and two in North America. We have 25 principal offices in Europe, seven in North America, six in Asia Pacific and one in the Middle East. Our executive offices are located in Leawood, Kansas, USA. With approximately 77% of our revenues denominated in currencies other than the U.S. dollar, any significant changes in currency exchange rates will likely have a significant impact on our growth in revenues, operating income and diluted earnings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20% of total consolidated revenues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2010, are derived from fees charged for transactions made by cardholders on our proprietary network of ATMs, as well as fixed management fees and transaction fees we charge to banks for operating ATMs and processing debit and credit cards under outsourcing agreements. Through our proprietary network, we generally charge fees for four types of ATM transactions: i) cash withdrawals, ii) balance inquiries, iii) transactions not completed because the relevant card issuer does not give authorization, and iv) prepaid telecommunication recharges. Revenues in this segment are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revenues represent the ongoing fees charged for maintenance and support for customers’ software products. Hardware sales are derived from the sale of computer equipment necessary for the respective software solution.</w:t>
      </w:r>
    </w:p>
    <w:p>
      <w:pPr>
        <w:spacing w:after="0" w:line="7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MasterCard and Visa Europe recently announced reductions in fees paid for ATM interchange in Poland beginning in the second quarter of 2010. Our results are affected by these reductions both directly (because we receive the interchange fees for card transactions on our ATM networks in certain circumstances) and indirectly (because pricing established in our ATM outsourcing agreements has historically been based on the level of the interchange fee). It is difficult to predict with certainty the overall impact of these direct and indirect effects over time, but we expect these fee reductions to significantly adversely affect the EFT Processing Segment’s operating income. For 2010, the reduction to operating income of the MasterCard interchange fee reduction is expected to be approximately $1.2 million and the effect of the Visa Europe interchange fee reduction is expected to be approximately $5.6 million. The amounts are net of anticipated cost savings from renegotiated vendor service contracts and, to a lesser extent, additional ATM transactions processed as a result of lower interchange fees charged to cardholders.</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Revenues in the epay Segment, which represented approximately 58% of total consolidated revenues for the first quarter 2010,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derived from commissions or processing fees received from telecommunications service providers for the sale and distribution of prepaid mobile airtime. We also generate revenues from commissions earned from the distribution of other electronic payment products. Due to certain provisions in our mobile phone operator agreements, the operators have the ability to reduce the overall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products offered by this segment include prepaid long distance calling card plans, prepaid Internet plans, prepaid debit cards, prepaid gift cards, prepaid vouchers, transport payments, lottery payments, bill payment, money transfer and prepaid mobile content such as music and games.</w:t>
      </w:r>
    </w:p>
    <w:p>
      <w:pPr>
        <w:spacing w:after="0" w:line="5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22% of total consolidated revenues for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2010, are primarily derived through the charging of a transaction fee and retaining the difference between the price of foreign currency purchased at wholesale exchange rates and sold to consumers at retail exchange rates. We have an origination network in place comprised of agents and Company-owned stores primarily in North America and Europe and a worldwide network of correspondent agents, consisting primarily of financial institutions in the transfer destination countries. Origination and correspondent agents each earn fees for cash collection and distribution services. These fees are recognized as direct operating costs at the time of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 but</w:t>
      </w:r>
      <w:r>
        <w:rPr>
          <w:rFonts w:ascii="Arial" w:cs="Arial" w:eastAsia="Arial" w:hAnsi="Arial"/>
          <w:sz w:val="18"/>
          <w:szCs w:val="18"/>
          <w:i w:val="1"/>
          <w:iCs w:val="1"/>
          <w:color w:val="auto"/>
        </w:rPr>
        <w:t xml:space="preserve"> </w:t>
      </w:r>
      <w:r>
        <w:rPr>
          <w:rFonts w:ascii="Arial" w:cs="Arial" w:eastAsia="Arial" w:hAnsi="Arial"/>
          <w:sz w:val="18"/>
          <w:szCs w:val="18"/>
          <w:color w:val="auto"/>
        </w:rPr>
        <w:t>not necessarily limited to, the following:</w:t>
      </w:r>
    </w:p>
    <w:p>
      <w:pPr>
        <w:spacing w:after="0" w:line="62"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contracts at profitable rates;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maintain pricing and interchange fees at current levels;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continued use of third-party providers such as ourselves to supply electronic processing solutions for prepaid content;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successfully brand our retail locations;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distribution chain;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14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 and</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50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ectPr>
          <w:pgSz w:w="11900" w:h="16838" w:orient="portrait"/>
          <w:cols w:equalWidth="0" w:num="1">
            <w:col w:w="11380"/>
          </w:cols>
          <w:pgMar w:left="240" w:top="419" w:right="279" w:bottom="730" w:gutter="0" w:footer="0" w:header="0"/>
        </w:sectPr>
      </w:pP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73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28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32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epay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4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and Asia, including high growth corridors to Central and Eastern European countries;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other operations;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 </w:t>
      </w:r>
      <w:r>
        <w:rPr>
          <w:rFonts w:ascii="Arial" w:cs="Arial" w:eastAsia="Arial" w:hAnsi="Arial"/>
          <w:sz w:val="18"/>
          <w:szCs w:val="18"/>
          <w:color w:val="auto"/>
        </w:rPr>
        <w:t>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division includes non-operating activity, certain inter-segment eliminations and the cost of providing corporate and other administrative services to the business segments, including share-based compensation expense related to most stock option and restricted stock grants. These services are not directly identifiable with our business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three-month periods ended March 31, 2010 and 2009 are summarized in the tables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gridSpan w:val="6"/>
          </w:tcPr>
          <w:p>
            <w:pPr>
              <w:jc w:val="right"/>
              <w:ind w:right="740"/>
              <w:spacing w:after="0"/>
              <w:rPr>
                <w:sz w:val="20"/>
                <w:szCs w:val="20"/>
                <w:color w:val="auto"/>
              </w:rPr>
            </w:pPr>
            <w:r>
              <w:rPr>
                <w:rFonts w:ascii="Arial" w:cs="Arial" w:eastAsia="Arial" w:hAnsi="Arial"/>
                <w:sz w:val="11"/>
                <w:szCs w:val="11"/>
                <w:b w:val="1"/>
                <w:bCs w:val="1"/>
                <w:color w:val="auto"/>
              </w:rPr>
              <w:t>Revenues for the Three</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0" w:type="dxa"/>
            <w:vAlign w:val="bottom"/>
            <w:gridSpan w:val="6"/>
          </w:tcPr>
          <w:p>
            <w:pPr>
              <w:spacing w:after="0"/>
              <w:rPr>
                <w:sz w:val="20"/>
                <w:szCs w:val="20"/>
                <w:color w:val="auto"/>
              </w:rPr>
            </w:pPr>
            <w:r>
              <w:rPr>
                <w:rFonts w:ascii="Arial" w:cs="Arial" w:eastAsia="Arial" w:hAnsi="Arial"/>
                <w:sz w:val="11"/>
                <w:szCs w:val="11"/>
                <w:b w:val="1"/>
                <w:bCs w:val="1"/>
                <w:color w:val="auto"/>
              </w:rPr>
              <w:t>Operating Income (Loss) for the Three</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6"/>
          </w:tcPr>
          <w:p>
            <w:pPr>
              <w:jc w:val="right"/>
              <w:ind w:right="680"/>
              <w:spacing w:after="0"/>
              <w:rPr>
                <w:sz w:val="20"/>
                <w:szCs w:val="20"/>
                <w:color w:val="auto"/>
              </w:rPr>
            </w:pPr>
            <w:r>
              <w:rPr>
                <w:rFonts w:ascii="Arial" w:cs="Arial" w:eastAsia="Arial" w:hAnsi="Arial"/>
                <w:sz w:val="11"/>
                <w:szCs w:val="11"/>
                <w:b w:val="1"/>
                <w:bCs w:val="1"/>
                <w:color w:val="auto"/>
              </w:rPr>
              <w:t>Months Ended March 31,</w:t>
            </w:r>
          </w:p>
        </w:tc>
        <w:tc>
          <w:tcPr>
            <w:tcW w:w="220" w:type="dxa"/>
            <w:vAlign w:val="bottom"/>
          </w:tcPr>
          <w:p>
            <w:pPr>
              <w:spacing w:after="0"/>
              <w:rPr>
                <w:sz w:val="11"/>
                <w:szCs w:val="11"/>
                <w:color w:val="auto"/>
              </w:rPr>
            </w:pPr>
          </w:p>
        </w:tc>
        <w:tc>
          <w:tcPr>
            <w:tcW w:w="2140" w:type="dxa"/>
            <w:vAlign w:val="bottom"/>
            <w:gridSpan w:val="5"/>
          </w:tcPr>
          <w:p>
            <w:pPr>
              <w:jc w:val="right"/>
              <w:ind w:right="860"/>
              <w:spacing w:after="0"/>
              <w:rPr>
                <w:sz w:val="20"/>
                <w:szCs w:val="20"/>
                <w:color w:val="auto"/>
              </w:rPr>
            </w:pPr>
            <w:r>
              <w:rPr>
                <w:rFonts w:ascii="Arial" w:cs="Arial" w:eastAsia="Arial" w:hAnsi="Arial"/>
                <w:sz w:val="11"/>
                <w:szCs w:val="11"/>
                <w:b w:val="1"/>
                <w:bCs w:val="1"/>
                <w:color w:val="auto"/>
              </w:rPr>
              <w:t>Year-over-Year Change</w:t>
            </w:r>
          </w:p>
        </w:tc>
        <w:tc>
          <w:tcPr>
            <w:tcW w:w="140" w:type="dxa"/>
            <w:vAlign w:val="bottom"/>
          </w:tcPr>
          <w:p>
            <w:pPr>
              <w:spacing w:after="0"/>
              <w:rPr>
                <w:sz w:val="11"/>
                <w:szCs w:val="11"/>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1"/>
                <w:szCs w:val="11"/>
                <w:b w:val="1"/>
                <w:bCs w:val="1"/>
                <w:color w:val="auto"/>
              </w:rPr>
              <w:t>Months Ended March 31,</w:t>
            </w:r>
          </w:p>
        </w:tc>
        <w:tc>
          <w:tcPr>
            <w:tcW w:w="160" w:type="dxa"/>
            <w:vAlign w:val="bottom"/>
          </w:tcPr>
          <w:p>
            <w:pPr>
              <w:spacing w:after="0"/>
              <w:rPr>
                <w:sz w:val="11"/>
                <w:szCs w:val="11"/>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1"/>
                <w:szCs w:val="11"/>
                <w:b w:val="1"/>
                <w:bCs w:val="1"/>
                <w:color w:val="auto"/>
              </w:rPr>
              <w:t>Year-over-Year Change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top w:val="single" w:sz="8" w:color="auto"/>
            </w:tcBorders>
            <w:gridSpan w:val="3"/>
          </w:tcPr>
          <w:p>
            <w:pPr>
              <w:spacing w:after="0" w:line="102" w:lineRule="exact"/>
              <w:rPr>
                <w:sz w:val="20"/>
                <w:szCs w:val="20"/>
                <w:color w:val="auto"/>
              </w:rPr>
            </w:pPr>
            <w:r>
              <w:rPr>
                <w:rFonts w:ascii="Arial" w:cs="Arial" w:eastAsia="Arial" w:hAnsi="Arial"/>
                <w:sz w:val="11"/>
                <w:szCs w:val="11"/>
                <w:b w:val="1"/>
                <w:bCs w:val="1"/>
                <w:color w:val="auto"/>
              </w:rPr>
              <w:t>Increase (Decrease)</w:t>
            </w:r>
          </w:p>
        </w:tc>
        <w:tc>
          <w:tcPr>
            <w:tcW w:w="1060" w:type="dxa"/>
            <w:vAlign w:val="bottom"/>
            <w:tcBorders>
              <w:top w:val="single" w:sz="8" w:color="auto"/>
            </w:tcBorders>
            <w:gridSpan w:val="2"/>
          </w:tcPr>
          <w:p>
            <w:pPr>
              <w:jc w:val="right"/>
              <w:spacing w:after="0" w:line="102" w:lineRule="exact"/>
              <w:rPr>
                <w:sz w:val="20"/>
                <w:szCs w:val="20"/>
                <w:color w:val="auto"/>
              </w:rPr>
            </w:pPr>
            <w:r>
              <w:rPr>
                <w:rFonts w:ascii="Arial" w:cs="Arial" w:eastAsia="Arial" w:hAnsi="Arial"/>
                <w:sz w:val="11"/>
                <w:szCs w:val="11"/>
                <w:b w:val="1"/>
                <w:bCs w:val="1"/>
                <w:color w:val="auto"/>
              </w:rPr>
              <w:t>Increase (Decrease)</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spacing w:after="0"/>
              <w:rPr>
                <w:sz w:val="20"/>
                <w:szCs w:val="20"/>
                <w:color w:val="auto"/>
              </w:rPr>
            </w:pPr>
            <w:r>
              <w:rPr>
                <w:rFonts w:ascii="Arial" w:cs="Arial" w:eastAsia="Arial" w:hAnsi="Arial"/>
                <w:sz w:val="11"/>
                <w:szCs w:val="11"/>
                <w:color w:val="auto"/>
              </w:rPr>
              <w:t>(dollar amounts in thousands)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54"/>
              <w:spacing w:after="0"/>
              <w:rPr>
                <w:sz w:val="20"/>
                <w:szCs w:val="20"/>
                <w:color w:val="auto"/>
              </w:rPr>
            </w:pPr>
            <w:r>
              <w:rPr>
                <w:rFonts w:ascii="Arial" w:cs="Arial" w:eastAsia="Arial" w:hAnsi="Arial"/>
                <w:sz w:val="11"/>
                <w:szCs w:val="11"/>
                <w:b w:val="1"/>
                <w:bCs w:val="1"/>
                <w:color w:val="auto"/>
              </w:rPr>
              <w:t>2010</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51"/>
              <w:spacing w:after="0"/>
              <w:rPr>
                <w:sz w:val="20"/>
                <w:szCs w:val="20"/>
                <w:color w:val="auto"/>
              </w:rPr>
            </w:pPr>
            <w:r>
              <w:rPr>
                <w:rFonts w:ascii="Arial" w:cs="Arial" w:eastAsia="Arial" w:hAnsi="Arial"/>
                <w:sz w:val="11"/>
                <w:szCs w:val="11"/>
                <w:b w:val="1"/>
                <w:bCs w:val="1"/>
                <w:color w:val="auto"/>
              </w:rPr>
              <w:t>2009</w:t>
            </w:r>
          </w:p>
        </w:tc>
        <w:tc>
          <w:tcPr>
            <w:tcW w:w="420" w:type="dxa"/>
            <w:vAlign w:val="bottom"/>
          </w:tcPr>
          <w:p>
            <w:pPr>
              <w:spacing w:after="0"/>
              <w:rPr>
                <w:sz w:val="11"/>
                <w:szCs w:val="11"/>
                <w:color w:val="auto"/>
              </w:rPr>
            </w:pPr>
          </w:p>
        </w:tc>
        <w:tc>
          <w:tcPr>
            <w:tcW w:w="980" w:type="dxa"/>
            <w:vAlign w:val="bottom"/>
            <w:gridSpan w:val="3"/>
          </w:tcPr>
          <w:p>
            <w:pPr>
              <w:spacing w:after="0"/>
              <w:rPr>
                <w:sz w:val="20"/>
                <w:szCs w:val="20"/>
                <w:color w:val="auto"/>
              </w:rPr>
            </w:pPr>
            <w:r>
              <w:rPr>
                <w:rFonts w:ascii="Arial" w:cs="Arial" w:eastAsia="Arial" w:hAnsi="Arial"/>
                <w:sz w:val="11"/>
                <w:szCs w:val="11"/>
                <w:b w:val="1"/>
                <w:bCs w:val="1"/>
                <w:color w:val="auto"/>
              </w:rPr>
              <w:t>Increase Amount</w:t>
            </w:r>
          </w:p>
        </w:tc>
        <w:tc>
          <w:tcPr>
            <w:tcW w:w="138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Increase Percent</w:t>
            </w:r>
          </w:p>
        </w:tc>
        <w:tc>
          <w:tcPr>
            <w:tcW w:w="140" w:type="dxa"/>
            <w:vAlign w:val="bottom"/>
          </w:tcPr>
          <w:p>
            <w:pPr>
              <w:spacing w:after="0"/>
              <w:rPr>
                <w:sz w:val="11"/>
                <w:szCs w:val="11"/>
                <w:color w:val="auto"/>
              </w:rPr>
            </w:pPr>
          </w:p>
        </w:tc>
        <w:tc>
          <w:tcPr>
            <w:tcW w:w="540" w:type="dxa"/>
            <w:vAlign w:val="bottom"/>
          </w:tcPr>
          <w:p>
            <w:pPr>
              <w:jc w:val="right"/>
              <w:ind w:right="173"/>
              <w:spacing w:after="0"/>
              <w:rPr>
                <w:sz w:val="20"/>
                <w:szCs w:val="20"/>
                <w:color w:val="auto"/>
              </w:rPr>
            </w:pPr>
            <w:r>
              <w:rPr>
                <w:rFonts w:ascii="Arial" w:cs="Arial" w:eastAsia="Arial" w:hAnsi="Arial"/>
                <w:sz w:val="11"/>
                <w:szCs w:val="11"/>
                <w:b w:val="1"/>
                <w:bCs w:val="1"/>
                <w:color w:val="auto"/>
              </w:rPr>
              <w:t>2010</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71"/>
              <w:spacing w:after="0"/>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1"/>
                <w:szCs w:val="11"/>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EFT Processing</w:t>
            </w:r>
          </w:p>
        </w:tc>
        <w:tc>
          <w:tcPr>
            <w:tcW w:w="4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48,566</w:t>
            </w:r>
          </w:p>
        </w:tc>
        <w:tc>
          <w:tcPr>
            <w:tcW w:w="5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46,206</w:t>
            </w: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2,360</w:t>
            </w:r>
          </w:p>
        </w:tc>
        <w:tc>
          <w:tcPr>
            <w:tcW w:w="1380" w:type="dxa"/>
            <w:vAlign w:val="bottom"/>
            <w:gridSpan w:val="3"/>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9,719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11,910</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(2,191)</w:t>
            </w:r>
          </w:p>
        </w:tc>
        <w:tc>
          <w:tcPr>
            <w:tcW w:w="12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epay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145,380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8"/>
              </w:rPr>
              <w:t>134,523</w:t>
            </w:r>
          </w:p>
        </w:tc>
        <w:tc>
          <w:tcPr>
            <w:tcW w:w="22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10,857</w:t>
            </w:r>
          </w:p>
        </w:tc>
        <w:tc>
          <w:tcPr>
            <w:tcW w:w="13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12,070</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10,876</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1,194</w:t>
            </w: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Money Transfer</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56,057</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52,968</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3,089</w:t>
            </w:r>
          </w:p>
        </w:tc>
        <w:tc>
          <w:tcPr>
            <w:tcW w:w="13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1,492</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(7,871)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9,363</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60" w:type="dxa"/>
            <w:vAlign w:val="bottom"/>
          </w:tcPr>
          <w:p>
            <w:pPr>
              <w:ind w:left="200"/>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250,003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233,697</w:t>
            </w: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16,306</w:t>
            </w:r>
          </w:p>
        </w:tc>
        <w:tc>
          <w:tcPr>
            <w:tcW w:w="2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color w:val="auto"/>
              </w:rPr>
              <w:t>7%</w:t>
            </w: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23,281</w:t>
            </w:r>
          </w:p>
        </w:tc>
        <w:tc>
          <w:tcPr>
            <w:tcW w:w="4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14,915</w:t>
            </w: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8,366</w:t>
            </w:r>
          </w:p>
        </w:tc>
        <w:tc>
          <w:tcPr>
            <w:tcW w:w="240" w:type="dxa"/>
            <w:vAlign w:val="bottom"/>
          </w:tcPr>
          <w:p>
            <w:pPr>
              <w:spacing w:after="0"/>
              <w:rPr>
                <w:sz w:val="15"/>
                <w:szCs w:val="15"/>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 services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(5,052)</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(5,217)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165</w:t>
            </w: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060" w:type="dxa"/>
            <w:vAlign w:val="bottom"/>
          </w:tcPr>
          <w:p>
            <w:pPr>
              <w:ind w:left="400"/>
              <w:spacing w:after="0"/>
              <w:rPr>
                <w:sz w:val="20"/>
                <w:szCs w:val="20"/>
                <w:color w:val="auto"/>
              </w:rPr>
            </w:pPr>
            <w:r>
              <w:rPr>
                <w:rFonts w:ascii="Arial" w:cs="Arial" w:eastAsia="Arial" w:hAnsi="Arial"/>
                <w:sz w:val="14"/>
                <w:szCs w:val="14"/>
                <w:color w:val="auto"/>
              </w:rPr>
              <w:t>Total</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250,003</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w w:val="98"/>
              </w:rPr>
              <w:t>233,697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16,306</w:t>
            </w:r>
          </w:p>
        </w:tc>
        <w:tc>
          <w:tcPr>
            <w:tcW w:w="1380" w:type="dxa"/>
            <w:vAlign w:val="bottom"/>
            <w:gridSpan w:val="3"/>
          </w:tcPr>
          <w:p>
            <w:pPr>
              <w:jc w:val="right"/>
              <w:ind w:right="30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18,229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9,698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8,531</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 Not meaningful.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Compared to most of the currencies of the foreign countries in which we operate, the U.S. dollar was weaker during the first quarter of 2010 than it was in the first quarter of 2009. Because our revenues and local expenses are recorded in the functional currencies of our operating entities, amounts we earned for the first quarter of 2010 are positively impacted by the weaker U.S. dollar. Considering the results by country and the associated functional currency, we estimate that our operating income for the first quarter of 2010 benefitted by approximately 15% when compared to the first quarter of 2009 as a result of changes in foreign currency exchange rates. If applicable, we will refer to the impact of fluctuation in foreign currency exchange rates in our comparison of operating segment results for the three-month periods ended March 31, 2010 and 2009. To provide further perspective on the impact of foreign currency exchange rates, the following table shows the changes in values relative to the U.S. dollar from the first quarter of 2009 to the first quarter of 2010 of the currencies of the countries in which we have our most significant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5"/>
          </w:tcPr>
          <w:p>
            <w:pPr>
              <w:ind w:left="680"/>
              <w:spacing w:after="0"/>
              <w:rPr>
                <w:sz w:val="20"/>
                <w:szCs w:val="20"/>
                <w:color w:val="auto"/>
              </w:rPr>
            </w:pPr>
            <w:r>
              <w:rPr>
                <w:rFonts w:ascii="Arial" w:cs="Arial" w:eastAsia="Arial" w:hAnsi="Arial"/>
                <w:sz w:val="14"/>
                <w:szCs w:val="14"/>
                <w:b w:val="1"/>
                <w:bCs w:val="1"/>
                <w:color w:val="auto"/>
              </w:rPr>
              <w:t>Average Translation Rate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Currency</w:t>
            </w:r>
          </w:p>
        </w:tc>
        <w:tc>
          <w:tcPr>
            <w:tcW w:w="1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Three Months Ended</w:t>
            </w:r>
          </w:p>
        </w:tc>
        <w:tc>
          <w:tcPr>
            <w:tcW w:w="13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Three Months Ended</w:t>
            </w:r>
          </w:p>
        </w:tc>
        <w:tc>
          <w:tcPr>
            <w:tcW w:w="300" w:type="dxa"/>
            <w:vAlign w:val="bottom"/>
          </w:tcPr>
          <w:p>
            <w:pPr>
              <w:spacing w:after="0"/>
              <w:rPr>
                <w:sz w:val="10"/>
                <w:szCs w:val="10"/>
                <w:color w:val="auto"/>
              </w:rPr>
            </w:pPr>
          </w:p>
        </w:tc>
        <w:tc>
          <w:tcPr>
            <w:tcW w:w="14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71"/>
        </w:trPr>
        <w:tc>
          <w:tcPr>
            <w:tcW w:w="65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2010</w:t>
            </w:r>
          </w:p>
        </w:tc>
        <w:tc>
          <w:tcPr>
            <w:tcW w:w="14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March 31, 2009</w:t>
            </w: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0.9030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0.6650</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British pound</w:t>
            </w:r>
          </w:p>
        </w:tc>
        <w:tc>
          <w:tcPr>
            <w:tcW w:w="120" w:type="dxa"/>
            <w:vAlign w:val="bottom"/>
          </w:tcPr>
          <w:p>
            <w:pPr>
              <w:spacing w:after="0"/>
              <w:rPr>
                <w:sz w:val="18"/>
                <w:szCs w:val="18"/>
                <w:color w:val="auto"/>
              </w:rPr>
            </w:pPr>
          </w:p>
        </w:tc>
        <w:tc>
          <w:tcPr>
            <w:tcW w:w="1740" w:type="dxa"/>
            <w:vAlign w:val="bottom"/>
            <w:gridSpan w:val="2"/>
          </w:tcPr>
          <w:p>
            <w:pPr>
              <w:ind w:left="680"/>
              <w:spacing w:after="0"/>
              <w:rPr>
                <w:sz w:val="20"/>
                <w:szCs w:val="20"/>
                <w:color w:val="auto"/>
              </w:rPr>
            </w:pPr>
            <w:r>
              <w:rPr>
                <w:rFonts w:ascii="Arial" w:cs="Arial" w:eastAsia="Arial" w:hAnsi="Arial"/>
                <w:sz w:val="18"/>
                <w:szCs w:val="18"/>
                <w:color w:val="auto"/>
              </w:rPr>
              <w:t>1.5598</w:t>
            </w:r>
          </w:p>
        </w:tc>
        <w:tc>
          <w:tcPr>
            <w:tcW w:w="1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1.4384</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1.3833</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1.3059</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Hungarian forint</w:t>
            </w:r>
          </w:p>
        </w:tc>
        <w:tc>
          <w:tcPr>
            <w:tcW w:w="120" w:type="dxa"/>
            <w:vAlign w:val="bottom"/>
          </w:tcPr>
          <w:p>
            <w:pPr>
              <w:spacing w:after="0"/>
              <w:rPr>
                <w:sz w:val="18"/>
                <w:szCs w:val="18"/>
                <w:color w:val="auto"/>
              </w:rPr>
            </w:pPr>
          </w:p>
        </w:tc>
        <w:tc>
          <w:tcPr>
            <w:tcW w:w="1740" w:type="dxa"/>
            <w:vAlign w:val="bottom"/>
            <w:gridSpan w:val="2"/>
          </w:tcPr>
          <w:p>
            <w:pPr>
              <w:ind w:left="680"/>
              <w:spacing w:after="0"/>
              <w:rPr>
                <w:sz w:val="20"/>
                <w:szCs w:val="20"/>
                <w:color w:val="auto"/>
              </w:rPr>
            </w:pPr>
            <w:r>
              <w:rPr>
                <w:rFonts w:ascii="Arial" w:cs="Arial" w:eastAsia="Arial" w:hAnsi="Arial"/>
                <w:sz w:val="18"/>
                <w:szCs w:val="18"/>
                <w:color w:val="auto"/>
              </w:rPr>
              <w:t>0.0052</w:t>
            </w:r>
          </w:p>
        </w:tc>
        <w:tc>
          <w:tcPr>
            <w:tcW w:w="1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0.0045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 rupee</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0.0218</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0.0202</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Polish zloty</w:t>
            </w:r>
          </w:p>
        </w:tc>
        <w:tc>
          <w:tcPr>
            <w:tcW w:w="120" w:type="dxa"/>
            <w:vAlign w:val="bottom"/>
          </w:tcPr>
          <w:p>
            <w:pPr>
              <w:spacing w:after="0"/>
              <w:rPr>
                <w:sz w:val="20"/>
                <w:szCs w:val="20"/>
                <w:color w:val="auto"/>
              </w:rPr>
            </w:pPr>
          </w:p>
        </w:tc>
        <w:tc>
          <w:tcPr>
            <w:tcW w:w="1740" w:type="dxa"/>
            <w:vAlign w:val="bottom"/>
            <w:gridSpan w:val="2"/>
          </w:tcPr>
          <w:p>
            <w:pPr>
              <w:ind w:left="680"/>
              <w:spacing w:after="0"/>
              <w:rPr>
                <w:sz w:val="20"/>
                <w:szCs w:val="20"/>
                <w:color w:val="auto"/>
              </w:rPr>
            </w:pPr>
            <w:r>
              <w:rPr>
                <w:rFonts w:ascii="Arial" w:cs="Arial" w:eastAsia="Arial" w:hAnsi="Arial"/>
                <w:sz w:val="18"/>
                <w:szCs w:val="18"/>
                <w:color w:val="auto"/>
              </w:rPr>
              <w:t>0.3473</w:t>
            </w:r>
          </w:p>
        </w:tc>
        <w:tc>
          <w:tcPr>
            <w:tcW w:w="1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0.2911</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THREE-MONTH PERIODS ENDED MARCH 31, 2010 AND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three-month periods ended March 31, 2010 and 2009 for our EFT Processing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29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Increase (Decrease)</w:t>
            </w:r>
          </w:p>
        </w:tc>
        <w:tc>
          <w:tcPr>
            <w:tcW w:w="14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2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48,566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46,206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2,360</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9"/>
        </w:trPr>
        <w:tc>
          <w:tcPr>
            <w:tcW w:w="56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23,928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18,955</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4,973</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0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6,241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7,012</w:t>
            </w:r>
          </w:p>
        </w:tc>
        <w:tc>
          <w:tcPr>
            <w:tcW w:w="2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(771)</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3,754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4,147</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4,924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4,182</w:t>
            </w:r>
          </w:p>
        </w:tc>
        <w:tc>
          <w:tcPr>
            <w:tcW w:w="2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742</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38,847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34,296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4,551</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600" w:type="dxa"/>
            <w:vAlign w:val="bottom"/>
            <w:gridSpan w:val="2"/>
          </w:tcPr>
          <w:p>
            <w:pPr>
              <w:ind w:left="80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9,719</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11,910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(2,191)</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Transactions processed (millions)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153.3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00"/>
              <w:spacing w:after="0"/>
              <w:rPr>
                <w:sz w:val="20"/>
                <w:szCs w:val="20"/>
                <w:color w:val="auto"/>
              </w:rPr>
            </w:pPr>
            <w:r>
              <w:rPr>
                <w:rFonts w:ascii="Arial" w:cs="Arial" w:eastAsia="Arial" w:hAnsi="Arial"/>
                <w:sz w:val="18"/>
                <w:szCs w:val="18"/>
                <w:color w:val="auto"/>
              </w:rPr>
              <w:t>ATMs as of March 31</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10,283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9,205</w:t>
            </w:r>
          </w:p>
        </w:tc>
        <w:tc>
          <w:tcPr>
            <w:tcW w:w="2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1,078</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Average ATMs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10,206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9,397</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809</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revenues for the first quarter of 2010 increased compared to the first quarter of 2009 primarily due to the weaker U.S. dollar during the first quarter of 2010 compared to the first quarter of 2009 relative to most of the currencies of the countries in which we operate. Because our revenues are recorded in the functional currencies of our operating entities, amounts we earn in foreign currencies are positively impacted by the weaker U.S. dollar. Additionally, increased transaction fees in Germany, the increase in the number of ATMs operated, primarily in Poland and India, and POS terminal sales in Slovakia contributed to our revenue increase. Partly offsetting these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increases were contract termination fees totaling $4.4 million during the first quarter of 2009 and a decrease in revenues from our software business, primarily due to the sale of a significant license during the first quarter of 2009 to an entity in which Euronet has a 10% stake.</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Average monthly revenue per ATM was $1,586 for the first quarter of 2010, compared to $1,639 for the first quarter of 2009 and revenues per transaction was $0.26 for the first quarter of 2010 compared to $0.30 for the first quarter of 2009. The decreases in revenue per ATM and per transaction are generally the result of the non-recurring contract termination fees in the first quarter of 2009 discussed above and the addition of ATMs in India where revenue per ATM and transaction have been historically lower than Central and Eastern Europe, generally due to lower labor costs. Partly offsetting these decreases are the impact of the weaker U.S. dollar and the increase in transaction fees in Germany which have contributed approximately $2.0 million in incremental revenues. We were able to increase transaction fees in Germany beginning in mid-2009, but we are uncertain if we will be able to maintain the current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increase in direct operating costs for the first quarter of 2010, compared to the first quarter of 2009, is mainly attributed to the increase in the number of ATMs under operation, the sale of POS terminals in Slovakia and the impact of the weaker U.S. dollar.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Gross profit, which is calculated as revenues less direct operating costs, decreased to $24.6 million for the first quarter of 2010 from $27.3 million for the first quarter of 2009. This decrease is mainly attributable to the contract termination fee revenues during the first quarter of 2009, partly offset by the increased ATM fees in Germany, contributions from the card and ATM processing business we acquired in Serbia during the fourth quarter of 2009 and the impact of the weaker U.S. dollar. Other than the impact of the weaker U.S. dollar, these items resulted in a decrease in gross profit as a percentage of revenues (“gross margin”) to 51% for the first quarter of 2010 compared to 59% for the first quarter of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decrease in salaries and benefits for the first quarter of 2010 compared to the first quarter of 2009 is primarily due to lower bonus expense, partly offset by the impact of the weaker U.S. dollar discussed above. As a percentage of revenues, these costs decreased to 13% of revenues for the first quarter of 2010 compared to 15% for the first quarter of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decrease in selling, general and administrative expenses for the first quarter of 2010 compared to the first quarter of 2009 is due to general cost control measures, partly offset by the impact of the weaker U.S. dollar discussed above. As a percentage of revenues, selling, general and administrative expenses were 8% for the first quarter of 2010 compared to 9% for the first quarter of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increase in depreciation and amortization expense for the first quarter of 2010 compared to the first quarter of 2009 is due primarily to the growth in the number of ATMs and the impact of the weaker U.S. dollar described above. As a percentage of revenues, depreciation and amortization expense was 10% of revenues for the first quarter of 2010 compared to 9% for the same period in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decrease in operating income is primarily due to the contract termination fees and greater software license revenues during the first quarter of 2009, partly offset by the increased ATMs fees in Germany and the impact of the weaker U.S. dollar. Operating income as a percentage of revenues for the first quarter of 2010 was 20%, compared to 26% for the first quarter of 2009, and operating income per transaction was $0.05 for the first quarter of 2010, compared to $0.08 per transaction for the first quarter of 2009.</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three-month periods ended March 31, 2010 and 2009 for our epay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27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w w:val="97"/>
              </w:rPr>
              <w:t>Three Months Ended March 31,</w:t>
            </w:r>
          </w:p>
        </w:tc>
        <w:tc>
          <w:tcPr>
            <w:tcW w:w="320" w:type="dxa"/>
            <w:vAlign w:val="bottom"/>
          </w:tcPr>
          <w:p>
            <w:pPr>
              <w:spacing w:after="0"/>
              <w:rPr>
                <w:sz w:val="14"/>
                <w:szCs w:val="14"/>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586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Increase Amount</w:t>
            </w:r>
          </w:p>
        </w:tc>
        <w:tc>
          <w:tcPr>
            <w:tcW w:w="13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Increase 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145,380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134,523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10,857</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9"/>
        </w:trPr>
        <w:tc>
          <w:tcPr>
            <w:tcW w:w="58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115,599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109,035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6,564</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8,325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6,424</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1,901</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5,231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4,542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689</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4,155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3,646</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509</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133,310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123,647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9,663</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4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12,070</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10,876</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1,194</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184.3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increase in revenues for the first quarter of 2010 compared to the first quarter of 2009 was primarily due to the weaker U.S. dollar in the first quarter of 2010 compared to the same period in 2009 relative to most of the currencies of the countries in which we operate, particularly the Australian dollar, and the increase in total transactions processed. Additionally, revenues also increased due to the increase, primarily in Germany, in total transactions processed. These increases were partly offset by mobile operator commission rate decreases in certain markets.</w:t>
      </w:r>
    </w:p>
    <w:p>
      <w:pPr>
        <w:spacing w:after="0" w:line="6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certain more mature markets, such as the U.K., New Zealand and Spain, our revenue growth has slowed substantially or revenues have decreased because conversion from scratch cards to electronic top-up is substantially complete and certain mobile operators and retailers are driving competitive reductions in pricing and margins. We expect most of our future revenue growth in the epay Segment to be derived from: (i) additional products sold over the base of prepaid processing terminals, (ii) developing markets or markets in which there is organic growth in the prepaid sector overall, (iii) continued conversion from scratch cards to electronic top-up in less mature markets, and (iv) acquisitions, if available.</w:t>
      </w:r>
    </w:p>
    <w:p>
      <w:pPr>
        <w:spacing w:after="0" w:line="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Revenues per transaction remained flat at $0.73 for both the first quarter of 2010 and 2009, reflecting the decrease in mobile operator commission rates being offset by the impact of the weaker U.S. dollar.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Direct operating costs in the epay Segment include the commissions we pay to retail merchants for the distribution and sale of prepaid mobile airtime and other prepaid products, as well as expenses required to operate POS terminals. Because of their nature, these expenditures generally fluctuate directly with revenues and processed transactions. The increase in direct operating costs is generally attributable to the impact of the weaker U.S. dollar and the increase in total transactions processed. Most of the decrease in mobile operator commission revenues discussed above was passed on to retail merchants resulting in lower commission costs which partly offset these increases.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which represents revenues less direct costs, was $29.8 million for the first quarter of 2010 compared to $25.5 million for the first quarter of 2009. Gross margin increased slightly to 20% for the first quarter of 2010 from 19% for the first quarter of 2009 and gross profit per transaction increased to $0.15 for the first quarter of 2010 from $0.14 for the same period in 2009. The primary cause of the increase in gross profit per transaction is the impact of the weaker U.S. dollar and expanded profitability in the U.S.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salaries and benefits for first quarter of 2010 compared to the first quarter of 2009 is primarily due to additional overhead to support development in new and growing markets, certain severance costs and the impact of the weaker U.S. dollar. As a percentage of revenues, salaries and benefits increased to 5.7% for first quarter of 2010 from 4.8% for first quarter of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increase in selling, general and administrative expenses for the first quarter of 2010 compared to the first quarter of 2009 is due to the impact of the weaker U.S. dollar along with additional overhead to support development in other new and growing markets. As a percentage of revenues, these expenses increased to 3.6% for first quarter of 2010 from 3.4% for the first quarter of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Depreciation and amortization expense primarily represents amortization of acquired intangibles and the depreciation of POS terminals we install in retail stores. Depreciation and amortization expense increased for the first quarter of 2010 compared to the first quarter of 2009 mainly due to the impact of the weaker U.S. dollar and an increase in installed POS terminals. As a percentage of revenues, these expenses increased to 2.9% for the first quarter of 2010 from 2.7% for the first quarter of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The improvement in operating income for the first quarter of 2010 compared to the same period in 2009 is primarily due to the impact of foreign currency translations to the U.S. dollar.</w:t>
      </w:r>
    </w:p>
    <w:p>
      <w:pPr>
        <w:spacing w:after="0" w:line="62"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Operating income as a percentage of revenues was 8.3% for the first quarter of 2010 compared to 8.1% for the first quarter of 2009. The slight increase is primarily due to the improvements in gross margin. Operating income per transaction remained flat at $0.06 for both the first quarter of 2010 and 2009 reflecting the favorable impact of the weaker U.S. dollar being offset by the growth in transactions outpacing the growth in profitability.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three-month periods ended March 31, 2010 and 2009 for the Money Transfer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5"/>
              </w:rPr>
              <w:t>Three Months Ended March 31,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gridSpan w:val="5"/>
          </w:tcPr>
          <w:p>
            <w:pPr>
              <w:jc w:val="right"/>
              <w:ind w:right="101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Increase (Decrease)</w:t>
            </w:r>
          </w:p>
        </w:tc>
        <w:tc>
          <w:tcPr>
            <w:tcW w:w="14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 (Decrease)</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20" w:type="dxa"/>
            <w:vAlign w:val="bottom"/>
            <w:gridSpan w:val="4"/>
          </w:tcPr>
          <w:p>
            <w:pPr>
              <w:spacing w:after="0"/>
              <w:rPr>
                <w:sz w:val="20"/>
                <w:szCs w:val="20"/>
                <w:color w:val="auto"/>
              </w:rPr>
            </w:pPr>
            <w:r>
              <w:rPr>
                <w:rFonts w:ascii="Arial" w:cs="Arial" w:eastAsia="Arial" w:hAnsi="Arial"/>
                <w:sz w:val="14"/>
                <w:szCs w:val="14"/>
                <w:color w:val="auto"/>
              </w:rPr>
              <w:t>(dollar amounts in thousands)</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52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56,057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52,968</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3,089</w:t>
            </w:r>
          </w:p>
        </w:tc>
        <w:tc>
          <w:tcPr>
            <w:tcW w:w="17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9"/>
        </w:trPr>
        <w:tc>
          <w:tcPr>
            <w:tcW w:w="552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26,334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25,558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776</w:t>
            </w:r>
          </w:p>
        </w:tc>
        <w:tc>
          <w:tcPr>
            <w:tcW w:w="17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ind w:left="2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14,197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11,820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2,377</w:t>
            </w:r>
          </w:p>
        </w:tc>
        <w:tc>
          <w:tcPr>
            <w:tcW w:w="1780" w:type="dxa"/>
            <w:vAlign w:val="bottom"/>
            <w:gridSpan w:val="3"/>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17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9,884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(9,884)</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w:t>
            </w:r>
          </w:p>
        </w:tc>
        <w:tc>
          <w:tcPr>
            <w:tcW w:w="17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500" w:type="dxa"/>
            <w:vAlign w:val="bottom"/>
            <w:gridSpan w:val="3"/>
          </w:tcPr>
          <w:p>
            <w:pPr>
              <w:ind w:left="60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54,565</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60,839</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(6,274)</w:t>
            </w:r>
          </w:p>
        </w:tc>
        <w:tc>
          <w:tcPr>
            <w:tcW w:w="1780" w:type="dxa"/>
            <w:vAlign w:val="bottom"/>
            <w:gridSpan w:val="3"/>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(7,871)</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9,363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00" w:type="dxa"/>
            <w:vAlign w:val="bottom"/>
            <w:gridSpan w:val="3"/>
          </w:tcPr>
          <w:p>
            <w:pPr>
              <w:ind w:left="400"/>
              <w:spacing w:after="0"/>
              <w:rPr>
                <w:sz w:val="20"/>
                <w:szCs w:val="20"/>
                <w:color w:val="auto"/>
              </w:rPr>
            </w:pPr>
            <w:r>
              <w:rPr>
                <w:rFonts w:ascii="Arial" w:cs="Arial" w:eastAsia="Arial" w:hAnsi="Arial"/>
                <w:sz w:val="18"/>
                <w:szCs w:val="18"/>
                <w:color w:val="auto"/>
              </w:rPr>
              <w:t>Transactions processed (millions)</w:t>
            </w:r>
          </w:p>
        </w:tc>
        <w:tc>
          <w:tcPr>
            <w:tcW w:w="14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780" w:type="dxa"/>
            <w:vAlign w:val="bottom"/>
            <w:gridSpan w:val="3"/>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4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52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4"/>
          </w:tcPr>
          <w:p>
            <w:pPr>
              <w:spacing w:after="0"/>
              <w:rPr>
                <w:sz w:val="20"/>
                <w:szCs w:val="20"/>
                <w:color w:val="auto"/>
              </w:rPr>
            </w:pPr>
            <w:r>
              <w:rPr>
                <w:rFonts w:ascii="Arial" w:cs="Arial" w:eastAsia="Arial" w:hAnsi="Arial"/>
                <w:sz w:val="18"/>
                <w:szCs w:val="18"/>
                <w:i w:val="1"/>
                <w:iCs w:val="1"/>
                <w:color w:val="auto"/>
              </w:rPr>
              <w:t>Revenues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Revenues from the Money Transfer Segment include a transaction fee for each transaction as well as the difference between the price of foreign currency purchased at wholesale exchange rates and sold to customers at retail exchange rates. Revenues per transaction decreased to $11.68 for the first quarter of 2010 from $12.32 for the first quarter of 2009. The growth rate of revenues lagged the transaction growth rate largely as a result of lower average amount transferred per transaction, partly offset by the impact of the weaker U.S. dollar. The decrease in revenues per transactions was also partly offset by a strong increase in transfers from non-U.S. locations which generally have higher-than-average revenues per transaction. For the first quarter of 2010, 61% of our money transfers were initiated in the U.S., 35% in Europe and 4% in other countries, such as Canada and Australia. This compares to 65% initiated in the U.S., 32% initiated in Europe and 3% initiated in other countries for the first quarter of 2009. We expect that the U.S. will continue to represent our highest volume market; however, future growth is expected to be derived largely from non-U.S. initiated sources.</w:t>
      </w:r>
    </w:p>
    <w:p>
      <w:pPr>
        <w:spacing w:after="0" w:line="5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increase in revenues for the first quarter of 2010 compared to the first quarter of 2009 is primarily due to an increase in the number of transactions processed and the favorable impact of the weaker U.S. dollar. For the first quarter of 2010, money transfers from the U.S. to Mexico, which represented 21% of total money transfers, decreased by 14% while all other transfers increased 15% when compared to the first quarter of 2009. The increase in transfers to countries other than Mexico was primarily due to the expansion of our operations. The decline in transfers to Mexico was largely the result of downturns in certain labor markets and other economic factors impacting the U.S. market as well as immigration developments in the U.S. While the transfers to Mexico continue to decline on a year-over-year basis, the decline has slowed recently. These issues have also resulted in certain competitors lowering transaction fees and foreign currency exchange spreads in certain markets where we do business in an attempt to limit the impact on money transfer volumes. We have generally maintained our pricing structure in response to these developments.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expenses, such as telecommunication costs and bank and other fees to collect money from originating agents. The increase in direct operating costs for the first quarter of 2010 compared to the first quarter of 2009 is almost entirely due to the impact of the weaker U.S. dollar.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Gross profit, which represents revenues less direct costs, was $29.7 million for the first quarter of 2010 compared to $27.4 million for the first quarter of 2009. This improvement is primarily due to the growth in money transfer transactions and the impact of the weaker U.S. dollar related to money transfers originated outside the U.S. As discussed above, certain competitors have been lowering transaction fees and foreign currency exchange spreads in the U.S. market as a result of the economic factors and immigration developments impacting the U.S. market. We have generally maintained our pricing structure in response to these developments. We cannot predict how long these issues will continue to affect the U.S. market or whether other markets will experience similar issues and we cannot predict whether we will change our pricing strategy over the short or long term in order to protect or increase market share. Gross margin was 53% for the first quarter of 2010 compared to 52% for the first quarter of 2009. The improvement primarily reflects the strong growth in transaction volume in our more profitable non-U.S. locations, partly offset by lower revenues per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Salaries and benefits include salaries and commissions paid to employees, the cost of providing employee benefits, amounts paid to contract workers and accruals for incentive compensation. The increase in salaries and benefits for the first quarter of 2010 compared to the first quarter of 2009 was primarily due to the increased expenditures we incurred to support expansion of our operations, primarily internationally, and the impact of the weaker U.S. dollar. As a percentage of revenues, salaries and benefits increased to 25% for the first quarter of 2010 from 22% for the same period in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Selling, general and administrative expenses include operations support costs, such as rent, utilities, professional fees, indirect telecommunications, advertising and other miscellaneous overhead costs. The increase in selling, general and administrative expenses for the first quarter of 2010 compared to the first quarter of 2009 is primarily due to the impact of the weaker U.S. dollar. As a percentage of revenues, selling general and administrative expenses decreased slightly to 16% for the first quarter of 2010 from 17% for the same period in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the fourth quarter of 2008, we recorded a non-cash impairment charge of $169.4 million related to certain goodwill and intangible assets of the RIA money transfer business. This charge was an estimate based on the assessment performed up to the filing date of our 2008 Annual Report on Form 10-K. We completed the assessment in the first quarter of 2009 and recorded an additional $9.9 million non-cash impairment charge in the first quarter of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Depreciation and amortization primarily represents amortization of acquired intangibles and also includes depreciation of money transfer terminals, computers and software, leasehold improvements and office equipment. The increase in depreciation and amortization for the first quarter of 2010 compared to the first quarter of 2009 was primarily due to additional computer equipment in our customer service centers and increased leasehold improvements, office equipment and computer equipment for expansion of our company stores along with greater acquisition-related amortization and the impact of the weaker U.S. dollar. As a percentage of revenues, depreciation and amortization remained flat at 9% for both the first quarter of 2010 and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Excluding the goodwill and acquired intangible assets impairment charge, operating income for the first quarter of 2010 decreased $0.5 million compared to the first quarter of 2009. This reflects the growth in costs to expand internationally, partly offset by the increase in transactions processed, mainly those originated in non-U.S. locations, and the impact of the weaker U.S. dollar, as discussed in more detail in the sections above.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three-month periods ended March 31, 2010 and 2009 for Corporate Services: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96"/>
              <w:spacing w:after="0"/>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20" w:type="dxa"/>
            <w:vAlign w:val="bottom"/>
            <w:tcBorders>
              <w:top w:val="single" w:sz="8" w:color="auto"/>
            </w:tcBorders>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w w:val="97"/>
              </w:rPr>
              <w:t>Increase (Decrease)</w:t>
            </w:r>
          </w:p>
        </w:tc>
        <w:tc>
          <w:tcPr>
            <w:tcW w:w="12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3,340</w:t>
            </w:r>
          </w:p>
        </w:tc>
        <w:tc>
          <w:tcPr>
            <w:tcW w:w="58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1,264</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1,564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(300)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5,052</w:t>
            </w:r>
          </w:p>
        </w:tc>
        <w:tc>
          <w:tcPr>
            <w:tcW w:w="66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5,217</w:t>
            </w:r>
          </w:p>
        </w:tc>
        <w:tc>
          <w:tcPr>
            <w:tcW w:w="58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(165)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Operating expenses for Corporate Services decreased for the first quarter of 2010 compared to the first quarter of 2009. This was driven by a decrease in selling, general and administrative expenses that was primarily related to lower professional fees, partly offset by slight increases in salaries and benefits expense and depreciation and amortization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gridSpan w:val="4"/>
            <w:vMerge w:val="restart"/>
          </w:tcPr>
          <w:p>
            <w:pPr>
              <w:spacing w:after="0"/>
              <w:rPr>
                <w:sz w:val="20"/>
                <w:szCs w:val="20"/>
                <w:color w:val="auto"/>
              </w:rPr>
            </w:pPr>
            <w:r>
              <w:rPr>
                <w:rFonts w:ascii="Arial" w:cs="Arial" w:eastAsia="Arial" w:hAnsi="Arial"/>
                <w:sz w:val="14"/>
                <w:szCs w:val="14"/>
                <w:color w:val="auto"/>
              </w:rPr>
              <w:t>(dollar amounts in thousands)</w:t>
            </w:r>
          </w:p>
        </w:tc>
        <w:tc>
          <w:tcPr>
            <w:tcW w:w="300" w:type="dxa"/>
            <w:vAlign w:val="bottom"/>
          </w:tcPr>
          <w:p>
            <w:pPr>
              <w:spacing w:after="0"/>
              <w:rPr>
                <w:sz w:val="14"/>
                <w:szCs w:val="14"/>
                <w:color w:val="auto"/>
              </w:rPr>
            </w:pPr>
          </w:p>
        </w:tc>
        <w:tc>
          <w:tcPr>
            <w:tcW w:w="32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3"/>
          </w:tcPr>
          <w:p>
            <w:pPr>
              <w:ind w:left="620"/>
              <w:spacing w:after="0"/>
              <w:rPr>
                <w:sz w:val="20"/>
                <w:szCs w:val="20"/>
                <w:color w:val="auto"/>
              </w:rPr>
            </w:pPr>
            <w:r>
              <w:rPr>
                <w:rFonts w:ascii="Arial" w:cs="Arial" w:eastAsia="Arial" w:hAnsi="Arial"/>
                <w:sz w:val="14"/>
                <w:szCs w:val="14"/>
                <w:b w:val="1"/>
                <w:bCs w:val="1"/>
                <w:color w:val="auto"/>
                <w:w w:val="91"/>
              </w:rPr>
              <w:t>Year-over-Year Change</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gridSpan w:val="4"/>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969</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(4,954)</w:t>
            </w:r>
          </w:p>
        </w:tc>
        <w:tc>
          <w:tcPr>
            <w:tcW w:w="2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(7,067)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2,113</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Loss on early retirement of debt</w:t>
            </w:r>
          </w:p>
        </w:tc>
        <w:tc>
          <w:tcPr>
            <w:tcW w:w="30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exchange loss, net</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5,509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180" w:type="dxa"/>
            <w:vAlign w:val="bottom"/>
            <w:gridSpan w:val="3"/>
          </w:tcPr>
          <w:p>
            <w:pPr>
              <w:ind w:left="200"/>
              <w:spacing w:after="0"/>
              <w:rPr>
                <w:sz w:val="20"/>
                <w:szCs w:val="20"/>
                <w:color w:val="auto"/>
              </w:rPr>
            </w:pPr>
            <w:r>
              <w:rPr>
                <w:rFonts w:ascii="Arial" w:cs="Arial" w:eastAsia="Arial" w:hAnsi="Arial"/>
                <w:sz w:val="18"/>
                <w:szCs w:val="18"/>
                <w:color w:val="auto"/>
              </w:rPr>
              <w:t>Other expense,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(8,927)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(16,274)</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7,347</w:t>
            </w:r>
          </w:p>
        </w:tc>
        <w:tc>
          <w:tcPr>
            <w:tcW w:w="3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1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0" w:type="dxa"/>
            <w:vAlign w:val="bottom"/>
            <w:gridSpan w:val="4"/>
          </w:tcPr>
          <w:p>
            <w:pPr>
              <w:spacing w:after="0"/>
              <w:rPr>
                <w:sz w:val="20"/>
                <w:szCs w:val="20"/>
                <w:color w:val="auto"/>
              </w:rPr>
            </w:pPr>
            <w:r>
              <w:rPr>
                <w:rFonts w:ascii="Arial" w:cs="Arial" w:eastAsia="Arial" w:hAnsi="Arial"/>
                <w:sz w:val="18"/>
                <w:szCs w:val="18"/>
                <w:i w:val="1"/>
                <w:iCs w:val="1"/>
                <w:color w:val="auto"/>
              </w:rPr>
              <w:t>Interest income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decrease in interest income for the first quarter of 2010 from the first quarter of 2009 was primarily due to a decline in short-term interest rates and a decrease in average cash balances on hand between the respective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decrease in interest expense for the first quarter of 2010 from the first quarter of 2009 was primarily related to the reductions in debt from scheduled and early repayments on our term loan and repurchases of convertible debentures and reductions in amounts outstanding under the revolving credit facility. The decrease in interest expense is also due to lower interest rates on our floating-rate debt obligations in the first quarter of 2010 compared to the first quarter of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March 2009, we repurchased in privately negotiated transactions $10.8 million in principal amount of the 1.625% convertible debentures due 2024. Loss on early retirement of debt of $0.1 million for the first quarter of 2009 represents the difference in the amounts paid for the convertible debentures over their carrying amounts as well as the pro-rata write-off of deferred financing costs associated with the portion of the term loan that was prepaid during the first quarter of 2009.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recorded a net foreign currency exchange loss of $5.1 million and $10.6 million in the first quarter of 2010 and 2009, respectively. During the first quarter of 2010 and 2009, the U.S. dollar strengthened against most of the currencies of the countries in which we operate, creating realized and unrealized foreign currency exchange losses.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60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2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gridSpan w:val="2"/>
            <w:vMerge w:val="continue"/>
          </w:tcPr>
          <w:p>
            <w:pPr>
              <w:spacing w:after="0"/>
              <w:rPr>
                <w:sz w:val="12"/>
                <w:szCs w:val="12"/>
                <w:color w:val="auto"/>
              </w:rPr>
            </w:pPr>
          </w:p>
        </w:tc>
        <w:tc>
          <w:tcPr>
            <w:tcW w:w="2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tax expense</w:t>
            </w:r>
          </w:p>
        </w:tc>
        <w:tc>
          <w:tcPr>
            <w:tcW w:w="2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8"/>
              <w:spacing w:after="0"/>
              <w:rPr>
                <w:sz w:val="20"/>
                <w:szCs w:val="20"/>
                <w:color w:val="auto"/>
              </w:rPr>
            </w:pPr>
            <w:r>
              <w:rPr>
                <w:rFonts w:ascii="Arial" w:cs="Arial" w:eastAsia="Arial" w:hAnsi="Arial"/>
                <w:sz w:val="18"/>
                <w:szCs w:val="18"/>
                <w:color w:val="auto"/>
              </w:rPr>
              <w:t>5,787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35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(11,893)</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488"/>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3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9,302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Adjust: Foreign currency exchange loss, net</w:t>
            </w:r>
          </w:p>
        </w:tc>
        <w:tc>
          <w:tcPr>
            <w:tcW w:w="2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8"/>
              <w:spacing w:after="0"/>
              <w:rPr>
                <w:sz w:val="20"/>
                <w:szCs w:val="20"/>
                <w:color w:val="auto"/>
              </w:rPr>
            </w:pPr>
            <w:r>
              <w:rPr>
                <w:rFonts w:ascii="Arial" w:cs="Arial" w:eastAsia="Arial" w:hAnsi="Arial"/>
                <w:sz w:val="18"/>
                <w:szCs w:val="18"/>
                <w:color w:val="auto"/>
              </w:rPr>
              <w:t>(5,082)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Adjust: Goodwill and acquired intangible assets impairment</w:t>
            </w:r>
          </w:p>
        </w:tc>
        <w:tc>
          <w:tcPr>
            <w:tcW w:w="2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 as adjusted</w:t>
            </w:r>
          </w:p>
        </w:tc>
        <w:tc>
          <w:tcPr>
            <w:tcW w:w="3520" w:type="dxa"/>
            <w:vAlign w:val="bottom"/>
            <w:gridSpan w:val="2"/>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14,384</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5,787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1"/>
              </w:rPr>
              <w:t>Adjust: Income tax benefit attributable to foreign currency exchange loss, net</w:t>
            </w:r>
          </w:p>
        </w:tc>
        <w:tc>
          <w:tcPr>
            <w:tcW w:w="2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8"/>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 as adjusted</w:t>
            </w:r>
          </w:p>
        </w:tc>
        <w:tc>
          <w:tcPr>
            <w:tcW w:w="35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gridSpan w:val="2"/>
          </w:tcPr>
          <w:p>
            <w:pPr>
              <w:spacing w:after="0"/>
              <w:rPr>
                <w:sz w:val="20"/>
                <w:szCs w:val="20"/>
                <w:color w:val="auto"/>
              </w:rPr>
            </w:pPr>
            <w:r>
              <w:rPr>
                <w:rFonts w:ascii="Arial" w:cs="Arial" w:eastAsia="Arial" w:hAnsi="Arial"/>
                <w:sz w:val="18"/>
                <w:szCs w:val="18"/>
                <w:color w:val="auto"/>
              </w:rPr>
              <w:t>Effective income tax rate, as adjusted</w:t>
            </w: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488"/>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960" w:type="dxa"/>
            <w:vAlign w:val="bottom"/>
            <w:vMerge w:val="restart"/>
          </w:tcPr>
          <w:p>
            <w:pPr>
              <w:jc w:val="right"/>
              <w:ind w:right="2670"/>
              <w:spacing w:after="0"/>
              <w:rPr>
                <w:sz w:val="20"/>
                <w:szCs w:val="20"/>
                <w:color w:val="auto"/>
              </w:rPr>
            </w:pPr>
            <w:r>
              <w:rPr>
                <w:rFonts w:ascii="Arial" w:cs="Arial" w:eastAsia="Arial" w:hAnsi="Arial"/>
                <w:sz w:val="18"/>
                <w:szCs w:val="18"/>
                <w:color w:val="auto"/>
                <w:w w:val="89"/>
              </w:rPr>
              <w:t>25</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effective tax rates were 62% and (81%) for the three-month periods ended March 31, 2010 and 2009, respectively. The effective tax rates were significantly influenced by foreign currency exchange net losses for the first quarter of 2010 and 2009 and the goodwill and acquired intangible assets impairment charge for the first quarter of 2009. Excluding foreign currency exchange results and the impairment charge from pre-tax income, as well as the related tax effects for these items, our effective tax rates were 41.5% and 41.6% for the three months ended March 31, 2010 and 2009, respectively.</w:t>
      </w:r>
    </w:p>
    <w:p>
      <w:pPr>
        <w:spacing w:after="0" w:line="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the effective tax rate, as adjusted, for the first quarter of 2010 compared to the applicable statutory rate of 35% is primarily related to our U.S. tax position. For the three months ended March 31, 2010, we have recorded a valuation allowance against our U.S. federal tax net operating losses as we have determined that it is more likely than not that a tax benefit will not be realized. Accordingly, the federal income tax benefit associated with pre-tax book losses generated by our U.S. entities has not been recognized in this period. Additionally, the first quarter 2010 effective tax rate is lower due to a $0.8 million adjustment related to a foreign tax law change.</w:t>
      </w:r>
    </w:p>
    <w:p>
      <w:pPr>
        <w:spacing w:after="0" w:line="8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Income from continuing operations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net</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fourth quarter of 2009, we sold Essentis in order to focus our investments and resources on our transaction processing businesses. Accordingly, Essentis’s results of operations are shown as discontinued operations in the Unaudited Consolidated Statements of Operations for the three months ended March 31,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Net income attributable to noncontrolling interests was $0.7 million and $0.3 million for first quarter of 2010 and 2009, respectively. Noncontrolling interests represents the elimination of net income or loss attributable to the minority shareholders’ portion of our consolidated subsidiaries that are not wholly-owned. Our subsidiaries which are not wholly-owned are summarized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5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580" w:type="dxa"/>
            <w:vAlign w:val="bottom"/>
          </w:tcPr>
          <w:p>
            <w:pPr>
              <w:spacing w:after="0"/>
              <w:rPr>
                <w:sz w:val="14"/>
                <w:szCs w:val="14"/>
                <w:color w:val="auto"/>
              </w:rPr>
            </w:pPr>
          </w:p>
        </w:tc>
        <w:tc>
          <w:tcPr>
            <w:tcW w:w="442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580" w:type="dxa"/>
            <w:vAlign w:val="bottom"/>
          </w:tcPr>
          <w:p>
            <w:pPr>
              <w:spacing w:after="0"/>
              <w:rPr>
                <w:sz w:val="14"/>
                <w:szCs w:val="14"/>
                <w:color w:val="auto"/>
              </w:rPr>
            </w:pPr>
          </w:p>
        </w:tc>
        <w:tc>
          <w:tcPr>
            <w:tcW w:w="4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Movilcarga</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80%</w:t>
            </w:r>
          </w:p>
        </w:tc>
        <w:tc>
          <w:tcPr>
            <w:tcW w:w="5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e-pay SRL</w:t>
            </w:r>
          </w:p>
        </w:tc>
        <w:tc>
          <w:tcPr>
            <w:tcW w:w="130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51%</w:t>
            </w:r>
          </w:p>
        </w:tc>
        <w:tc>
          <w:tcPr>
            <w:tcW w:w="5000" w:type="dxa"/>
            <w:vAlign w:val="bottom"/>
            <w:gridSpan w:val="2"/>
          </w:tcPr>
          <w:p>
            <w:pPr>
              <w:ind w:left="580"/>
              <w:spacing w:after="0"/>
              <w:rPr>
                <w:sz w:val="20"/>
                <w:szCs w:val="20"/>
                <w:color w:val="auto"/>
              </w:rPr>
            </w:pPr>
            <w:r>
              <w:rPr>
                <w:rFonts w:ascii="Arial" w:cs="Arial" w:eastAsia="Arial" w:hAnsi="Arial"/>
                <w:sz w:val="18"/>
                <w:szCs w:val="18"/>
                <w:color w:val="auto"/>
              </w:rPr>
              <w:t>epay - 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ATX</w:t>
            </w:r>
          </w:p>
        </w:tc>
        <w:tc>
          <w:tcPr>
            <w:tcW w:w="13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51%</w:t>
            </w:r>
          </w:p>
        </w:tc>
        <w:tc>
          <w:tcPr>
            <w:tcW w:w="5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Euronet China</w:t>
            </w:r>
          </w:p>
        </w:tc>
        <w:tc>
          <w:tcPr>
            <w:tcW w:w="130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75%</w:t>
            </w:r>
          </w:p>
        </w:tc>
        <w:tc>
          <w:tcPr>
            <w:tcW w:w="5000" w:type="dxa"/>
            <w:vAlign w:val="bottom"/>
            <w:gridSpan w:val="2"/>
          </w:tcPr>
          <w:p>
            <w:pPr>
              <w:ind w:left="58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 WORLDWIDE, INC.</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income attributable to Euronet Worldwide, Inc. was $2.8 million for the first quarter of 2010 compared to a loss of $12.3 million for the first quarter of 2009. As more fully discussed above, the increased income of $15.1 million was primarily the result of the $8.5 million increase in operating income, the $5.5 million decrease in foreign currency exchange losses and the $1.7 million decrease in net interest expense, partly offset by the $0.5 million increase in income tax expense and other items totaling $0.1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2010, we had working capital, which is calculated as the difference between total current assets and total current liabilities,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$145.4 million, compared to working capital of $167.0 million as of December 31, 2009. Our ratio of current assets to current liabilities was 1.31 at</w:t>
      </w:r>
    </w:p>
    <w:p>
      <w:pPr>
        <w:spacing w:after="0" w:line="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March 31, 2010, compared to 1.34 as of December 31, 2009. The decrease in working capital was primarily due to the use of cash to reduce revolving credit facility borrowings.</w:t>
      </w:r>
    </w:p>
    <w:p>
      <w:pPr>
        <w:spacing w:after="0" w:line="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fiscal period ending on a particular day. As of March 31, 2010, working capital in the Money Transfer Segment was $92.9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Cash flows provided by operating activities were $56.7 million for the first quarter of 2010 compared to $15.1 million for the first quarter of 2009. The increase was primarily due to fluctuations in working capital associated with the timing of the settlement process with mobile operators in the epay Segment and by amounts paid in the first quarter of 2009 to secure an exclusive, long-term distribution agreement with a vendor in Australia.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flows used in investing activities were $6.1 million for the first quarter of 2010, compared to $10.6 million for the first quarter of 2009. Our investing activities included $5.4 million and $6.6 million for purchases of property and equipment in the first quarter of 2010 and 2009, respectively. Additionally, the first quarter of 2009 included $3.3 million in cash used for acquisitions. Finally, cash used for software development and other investing activities totaled $0.7 million and $0.6 million in the first quarter of 2010 and 2009,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Cash flows used in financing activities were $39.8 million during the first quarter of 2010 compared to $22.7 million during the first quarter of 2009. Our financing activities for the first quarter of 2010 consisted primarily of net repayments of debt obligations of $40.8 million compared to $21.3 million in first quarter of 2009.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the first quarter of 2010 we had a total of $108.0 million in borrowings and $146.4 million in repayments under our revolving credit facility. During the first quarter of 2010, we paid $1.7 million for the redemption of the 1.625% convertible debentures and repayments on the term loan, and $0.7 million for repayments of capital lease obligations. Additionally, we paid $2.4 million of dividends to noncontrolling interests stockholders in the first quarter of 2009.</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In connection with completing the April 2007 acquisition of RIA, we entered into a $290 million secured credit facility consisting of a</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$1.9 million of the balance each year, with the remaining balance payable at the end of the seven-year term. We have prepaid amounts on this loan and we estimate that we will be able to repay the remaining $128.5 million term loan prior to its maturity date through cash flows available from operations, provided our operating cash flows are not required for future business developments. Up front financing costs of $4.8 million were deferred and are being amortized over the terms of the respective loans.</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$100 million five-year revolving credit facility bears interest at LIBOR or prime plus a margin that adjusts each quarter based upon our Consolidated EBITDA ratio as defined in the Credit Facility agreement.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may be required to repay our obligations under the Credit Facility six months before any potential repurchase dates, the first being October 15, 2012, under our $175 million 3.50% Convertible Debentures Due 2025, unless we are able to demonstrate that either: (i) we could borrow unsubordinated funded debt equal to the principal amount of the convertible debentures while remaining in compliance with the financial covenants in the Credit Facility, or (ii) we will have sufficient liquidity to meet repayment requirements (as determined by the administrative agent and the lenders). These and other material terms and conditions applicable to the Credit Facility are described in the agreement governing the Credit Facility.</w:t>
      </w:r>
    </w:p>
    <w:p>
      <w:pPr>
        <w:spacing w:after="0" w:line="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 forma debt covenant compliance.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2010, we had borrowings of $128.5 million outstanding under the term loan. We had borrowings of $0.8 million and stand-by letters of credit of $41.1 million outstanding under the revolving credit facility. The remaining $58.1 million under the revolving credit facility ($83.1 million if the facility were increased to $125.0 million) was available for borrowing. Borrowings under the revolving credit facility are being used to fund short-term working capital requirements in the U.S. and India. As of March 31, 2010, our weighted average interest rate was 6.1% under the revolving credit facility and 2.2% under the term loan, excluding amortization of deferred financing costs.</w:t>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March 31, 2010 were primarily comprised of the $1.9 million annual repayment requirement under the term loan. Certain of our subsidiaries also have available credit lines and overdraft facilities to supplement short-term working capital requirements, and there were $0.3 million outstanding against these facilities as of March 31, 2010.</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the short-term debt obligations can be funded through cash generated from operations, together with cash on hand or borrowings under our revolving credit facility.</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Should holders of the 3.50% convertible debentures require us to repurchase their debentures on the dates outlined above, we cannot guarantee that we will have sufficient cash on hand or have acceptable financing options available to us to fund these required repurchases. An inability to be able to finance these potential repayments could have an adverse impact on our operations. These terms and other material terms and conditions applicable to the convertible debentures are set forth in the indenture agreement governing the debentures.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 global public accounting firm was engaged as an independent expert to review the results of the computation, but procedures for such review have never been commenced, principally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we would have to pay a total of $2.5 million in cash or 75,489 shares of Euronet Common Stock, at the option of the seller. However, Brodos Romania failed to achieve the performance criteria by January 2010 for the first $1.25 million and based on its current performance, it is unlikely to achieve the performance criteria during 2010 for the remaining amounts.</w:t>
      </w:r>
    </w:p>
    <w:p>
      <w:pPr>
        <w:spacing w:after="0" w:line="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quarter of 2010 were $5.4 million. These capital expenditures were primarily for the purchase of ATMs to meet contractual requirements in Poland, India and China, the purchase and installation of ATMs in key under-penetrated markets, the purchase of POS terminals for the epay and Money Transfer Segments, and office, data center and company store computer equipment and software, including capital expenditures for the purchase and development of the necessary processing systems and capabilities to expand the cross-border merchant processing and acquiring business. Total capital expenditures for 2010 are currently estimated to be approximately $35 million to $45 million.</w:t>
      </w:r>
    </w:p>
    <w:p>
      <w:pPr>
        <w:spacing w:after="0" w:line="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epay Segment, approximately 107,000 of the approximately 510,000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u w:val="single" w:color="auto"/>
          <w:color w:val="auto"/>
        </w:rPr>
        <w:t>ATM outsourcing agreements</w:t>
      </w:r>
      <w:r>
        <w:rPr>
          <w:rFonts w:ascii="Arial" w:cs="Arial" w:eastAsia="Arial" w:hAnsi="Arial"/>
          <w:sz w:val="17"/>
          <w:szCs w:val="17"/>
          <w:color w:val="auto"/>
        </w:rPr>
        <w:t xml:space="preserve"> — Our contracts in the EFT Processing Segment tend to cover large numbers of ATMs, so significant increases and decreases in our pool of managed ATMs may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six to twelve months or longer. Increasing consolidation in the banking industry could make this process less predictable.</w:t>
      </w:r>
    </w:p>
    <w:p>
      <w:pPr>
        <w:spacing w:after="0" w:line="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obtain renewal of, or restructure, our ATM outsourcing agreements. For contracts that we are able to renew, as was the case for contract renewals in Romania and Greece in prior years, we expect customers to seek rate concessions or up-front payments because of the greater availability of alternative processing solutions in many of our markets now, as compared to when we originally entered into the contracts. While we have been successful in many cases in obtaining new terms that preserve the same level of earnings arising from the agreements, we have not been successful in all cases and, therefore, we expect to experience reductions in revenues in future quarters arising from the expiration or restructuring of agreements.</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Cross border merchant processing and acquiring</w:t>
      </w:r>
      <w:r>
        <w:rPr>
          <w:rFonts w:ascii="Arial" w:cs="Arial" w:eastAsia="Arial" w:hAnsi="Arial"/>
          <w:sz w:val="18"/>
          <w:szCs w:val="18"/>
          <w:color w:val="auto"/>
        </w:rPr>
        <w:t xml:space="preserve"> — In our EFT Processing Segment, we have entered the cross-border merchant processing and acquiring business, through the execution of an agreement with a large petrol retailer in Central Europe. Since the beginning of 2007, we have devoted significant resources, including capital expenditures of approximately $9.2 million, to the ongoing investment in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involves the assumption of credit risk, as the principal amount of transactions is settled to merchants before settlements are received from card associations. We incurred $0.7 million in operating losses related to this business in the first quarter of 2010 and currently expect to incur approximately $2.0 million to $2.5 million in operating losses for the full year 2010.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occasion, we grant guarantees in support of the obligations of subsidiaries and we sometimes enter into agreements with unaffiliated third parties that contain indemnification provisions, the terms and conditions of which may vary depending on the negotiated terms and conditions of each respective agreement. Our liability under such indemnification provisions may be subject to time and materiality limitations, monetary caps and other conditions and defenses. As of March 31, 2010, there were no material changes from the disclosure in our Annual Report on Form 10-K for the year ended December 31, 2009. To date, we are not aware of any significant claims made by the indemnified parties or parties to whom we have provided guarantees on behalf of our subsidiaries and, accordingly, no liabilities have been recorded as of March 31, 2010. See also Note 10, Guarantees, to the Unaudited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2010, the only material change from the disclosure relating to contractual obligations contained in our Annual Report on Form 10-K for the year ended December 31, 2009 is the $38.4 million net reduction of debt under our revolving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repay indebtedness;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 Item 1A — Risk Factors of our Annual Report on Form 10-K for the year ended December 31,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March 31, 2010, our total debt outstanding was $289.1 million. Of this amount, $155.6 million, or 54% of our total debt obligations, relates to contingent convertible debentures having a fixed coupon rate. Our contingent convertible debentures, issued in October 2005, accrue cash interest at a rate of 3.50% of the $175.0 million principal amount per annum. Based on quoted market prices, as of March 31, 2010, the fair value of our fixed rate convertible debentures was $162.1 million, compared to a carrying value of $155.6 million. Interest expense for these debentures, including accretion and amortization of deferred debt issuance costs, totals approximately $13.8 million per year, or a weighted average interest rate of 8.9% annually. Additionally, approximately $3.8 million, or 1% of our total debt obligations, relate to capitalized leases with fixed payment and interest terms that expire between 2010 and 2014.</w:t>
      </w:r>
    </w:p>
    <w:p>
      <w:pPr>
        <w:spacing w:after="0" w:line="5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remaining $129.6 million, or 45%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interest expense to the Company of approximately $2.1 million. This computation excludes the potential additional $150.0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million under the term loan because of the limited circumstances under which the additional amounts would be available to us for borrowing.</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first quarter of 2010, 77% of our revenues were generated in non-U.S. dollar countries compared to 73% for the first quarter of 2009. We expect to continue generating a significant portion of our revenues in countries with currencies other than the U.S. dollar.</w:t>
      </w:r>
    </w:p>
    <w:p>
      <w:pPr>
        <w:spacing w:after="0" w:line="6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to the euro, British pound, Australian dollar, Polish zloty and Indian rupee. As of March 31, 2010, we estimate that a 10% fluctuation in these foreign currency exchange rates would have the combined annualized effect on reported net income and working capital of approximately $20 to $30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$45 million to</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March 31, 2010, we had foreign currency forward contracts outstanding with a notional value of $76.0 million, primarily in euros and U.S. dollars, that were not designated as hedges and mature in a weighted average of 4.0 days. The fair value of these forward contracts as of March 31, 2010 was an unrealized loss of approximately $0.2 million, which was largely offset by the unrealized gain on the related foreign currency receivables.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March 31, 2010.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first quarter of 2010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Currently, there are no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2009 as updated in our subsequent filings with the SEC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Other than as set forth below, there have been no material changes from the risk factors previously disclosed in the Company’s Annual Report on Form 10-K for the year ended December 31, 2009, as filed with the SEC.</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w:t>
      </w:r>
    </w:p>
    <w:p>
      <w:pPr>
        <w:spacing w:after="0" w:line="7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Transaction fees from banks and international card organizations for transactions processed on our ATMs have historically accounted for a substantial majority of our revenues. These fees are set by agreement among all banks in a particular market. The future operating results of our ATM business depend on the following factors:</w:t>
      </w:r>
    </w:p>
    <w:p>
      <w:pPr>
        <w:spacing w:after="0" w:line="73" w:lineRule="exact"/>
        <w:rPr>
          <w:sz w:val="20"/>
          <w:szCs w:val="20"/>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increased issuance of credit and debit cards;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increased acceptance of our ATM processing and management services in our target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maintenance of the level of transaction fees we receive;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installation of larger numbers of ATMs;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continued use of our ATMs by credit and debit cardholders.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amount of fees we receive per transaction is set in various ways in the markets in which we do business. We have card acceptance agreements or ATM management agreements with some banks under which fees are set. However, we derive the bulk of our revenues in most markets from “interchange fees” that are set by the central ATM processing switch. The banks that participate in these switches set the interchange fee, and we are not in a position in any market to greatly influence these fees, which may increase or decrease over time. We have experienced a significant decrease in the interchange fee in one of our markets and a significant decrease in any other market could adversely affect our results in that market.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to the sets of transactions that are available on our ATMs. However, we may not be successful in materially increasing transaction levels through these measures. Per-transaction fees paid by international card organizations have declined in certain markets in recent years and competitive factors have required us to reduce the transaction fees we charge customers. If we cannot continue to increase our transaction levels and per-transaction fees generally decline, our results would be adversely affected.</w:t>
      </w:r>
    </w:p>
    <w:p>
      <w:pPr>
        <w:spacing w:after="0" w:line="66"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We conduct a significant portion of our business in various European countries, and we have subsidiaries in the Middle East and Asia Pacific, where the risk of continued political, economic and regulatory change that could impact our operating results is greater than in the U.S.</w:t>
      </w:r>
    </w:p>
    <w:p>
      <w:pPr>
        <w:spacing w:after="0" w:line="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subsidiaries in Europe, the Middle East and Asia Pacific. We expect to continue to expand our operations to other countries in these regions. We sell software in many other markets in the developing world. Some of these countries have undergone significant political, economic and social change in recent years and the risk of new, unforeseen changes in these countries remains greater than in the U.S.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8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For example, currently there are no limitations on the repatriation of profits from any of the countries in which we have subsidiaries (although U.S. tax laws discourage repatriation), but foreign currency exchange control restrictions, taxes or limitations may be imposed or increased in the future with regard to repatriation of earnings and investments from these countries. If exchange control restrictions, taxes or limitations are imposed, our ability to receive dividends or other payments from affected subsidiaries could be reduced, which may have a material adverse effect on us.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corporate, contract, property, insolvency, competition, securities and other laws and regulations in Central Europe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Europe has recently experienced a deep recession and countries such as Greece, Italy and Spain have been particularly vulnerable to the impacts of the recession with results such as increasing national debts and depressed economic activity. We have significant operations in these countries which could be adversely affected by economic developments such as higher taxes, growing inflation, decreasing government spending, rising unemployment and currency instability.</w:t>
      </w:r>
    </w:p>
    <w:p>
      <w:pPr>
        <w:spacing w:after="0" w:line="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Transmittal of data by electronic means and telecommunications is subject to specific regulation in most Central European countries. Although these regulations have not had a material impact on our business to date, changes in these regulations, including taxation or limitations on transfers of data across national borders, could have a material adverse effect on our business, growth,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three months ended March 31, 2010, the Company purchased, in accordance with the 2006 Stock Incentive Plan (Amended and Restated), 431 shares of its Common Stock for participant income tax withholding in conjunction with the lapse of restrictions on stock awards, as requested by the participants. The following table sets forth information with respect to those shares: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640" w:type="dxa"/>
            <w:vAlign w:val="bottom"/>
          </w:tcPr>
          <w:p>
            <w:pPr>
              <w:spacing w:after="0"/>
              <w:rPr>
                <w:sz w:val="12"/>
                <w:szCs w:val="1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2"/>
                <w:szCs w:val="12"/>
                <w:color w:val="auto"/>
              </w:rPr>
            </w:pP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Paid Per</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62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Share (1)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64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January 1 - January 31</w:t>
            </w:r>
          </w:p>
        </w:tc>
        <w:tc>
          <w:tcPr>
            <w:tcW w:w="5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  21.95</w:t>
            </w:r>
          </w:p>
        </w:tc>
        <w:tc>
          <w:tcPr>
            <w:tcW w:w="62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5380" w:hanging="5612"/>
        <w:spacing w:after="0" w:line="571" w:lineRule="auto"/>
        <w:tabs>
          <w:tab w:leader="none" w:pos="45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price paid per share is the closing price of the shares on the vesting date.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160" w:type="dxa"/>
            <w:vAlign w:val="bottom"/>
            <w:tcBorders>
              <w:bottom w:val="single" w:sz="8" w:color="auto"/>
            </w:tcBorders>
          </w:tcPr>
          <w:p>
            <w:pPr>
              <w:ind w:left="378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10.1</w:t>
            </w: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Form of Employee Restricted Stock Unit Agreement, as amended, pursuant to Euronet Worldwide, Inc. 2006 Stock Incentive Plan (1)</w:t>
            </w:r>
          </w:p>
        </w:tc>
      </w:tr>
      <w:tr>
        <w:trPr>
          <w:trHeight w:val="432"/>
        </w:trPr>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10.2</w:t>
            </w:r>
          </w:p>
        </w:tc>
        <w:tc>
          <w:tcPr>
            <w:tcW w:w="10040" w:type="dxa"/>
            <w:vAlign w:val="bottom"/>
            <w:gridSpan w:val="2"/>
          </w:tcPr>
          <w:p>
            <w:pPr>
              <w:spacing w:after="0"/>
              <w:rPr>
                <w:sz w:val="20"/>
                <w:szCs w:val="20"/>
                <w:color w:val="auto"/>
              </w:rPr>
            </w:pPr>
            <w:r>
              <w:rPr>
                <w:rFonts w:ascii="Arial" w:cs="Arial" w:eastAsia="Arial" w:hAnsi="Arial"/>
                <w:sz w:val="18"/>
                <w:szCs w:val="18"/>
                <w:color w:val="auto"/>
                <w:w w:val="98"/>
              </w:rPr>
              <w:t>Form of Nonqualified Stock Option Agreement, as amended, pursuant to Euronet Worldwide, Inc. 2006 Stock Incentive Plan (1)</w:t>
            </w:r>
          </w:p>
        </w:tc>
      </w:tr>
      <w:tr>
        <w:trPr>
          <w:trHeight w:val="432"/>
        </w:trPr>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12.1</w:t>
            </w:r>
          </w:p>
        </w:tc>
        <w:tc>
          <w:tcPr>
            <w:tcW w:w="10040" w:type="dxa"/>
            <w:vAlign w:val="bottom"/>
            <w:gridSpan w:val="2"/>
          </w:tcPr>
          <w:p>
            <w:pPr>
              <w:spacing w:after="0"/>
              <w:rPr>
                <w:sz w:val="20"/>
                <w:szCs w:val="20"/>
                <w:color w:val="auto"/>
              </w:rPr>
            </w:pPr>
            <w:r>
              <w:rPr>
                <w:rFonts w:ascii="Arial" w:cs="Arial" w:eastAsia="Arial" w:hAnsi="Arial"/>
                <w:sz w:val="18"/>
                <w:szCs w:val="18"/>
                <w:color w:val="auto"/>
              </w:rPr>
              <w:t>Computation of Ratio of Earnings to Fixed Charges (1)</w:t>
            </w:r>
          </w:p>
        </w:tc>
      </w:tr>
      <w:tr>
        <w:trPr>
          <w:trHeight w:val="432"/>
        </w:trPr>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91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432"/>
        </w:trPr>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91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432"/>
        </w:trPr>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32.1</w:t>
            </w: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1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(2)</w:t>
            </w:r>
          </w:p>
        </w:tc>
      </w:tr>
      <w:tr>
        <w:trPr>
          <w:trHeight w:val="432"/>
        </w:trPr>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32.2</w:t>
            </w: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1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(2)</w:t>
            </w:r>
          </w:p>
        </w:tc>
      </w:tr>
    </w:tbl>
    <w:p>
      <w:pPr>
        <w:spacing w:after="0" w:line="202" w:lineRule="exact"/>
        <w:rPr>
          <w:sz w:val="20"/>
          <w:szCs w:val="20"/>
          <w:color w:val="auto"/>
        </w:rPr>
      </w:pPr>
    </w:p>
    <w:p>
      <w:pPr>
        <w:ind w:left="1380" w:hanging="879"/>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5620" w:right="2080" w:hanging="5119"/>
        <w:spacing w:after="0" w:line="496" w:lineRule="auto"/>
        <w:tabs>
          <w:tab w:leader="none" w:pos="13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May 6,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MICHAEL J. BROWN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558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RICK L. WELLER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558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419" w:right="3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10.1</w:t>
      </w:r>
    </w:p>
    <w:p>
      <w:pPr>
        <w:spacing w:after="0" w:line="32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2006 STOCK INCENTIVE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11420"/>
          </w:cols>
          <w:pgMar w:left="240" w:top="125" w:right="239" w:bottom="1440" w:gutter="0" w:footer="0" w:header="0"/>
        </w:sectPr>
      </w:pP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Date of Grant: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380" w:space="440"/>
            <w:col w:w="9600"/>
          </w:cols>
          <w:pgMar w:left="240" w:top="125" w:right="2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Number of Restricted Stock Units Granted: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3460" w:space="460"/>
            <w:col w:w="7500"/>
          </w:cols>
          <w:pgMar w:left="240" w:top="125" w:right="23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This Agreement dated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is made by and between Euronet Worldwide, Inc., a Delaware corporation (the “Company”), 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3">
            <w:col w:w="1940" w:space="660"/>
            <w:col w:w="7240" w:space="400"/>
            <w:col w:w="118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(“Participant”).</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80" w:firstLine="440"/>
        <w:spacing w:after="0" w:line="264" w:lineRule="auto"/>
        <w:rPr>
          <w:sz w:val="20"/>
          <w:szCs w:val="20"/>
          <w:color w:val="auto"/>
        </w:rPr>
      </w:pPr>
      <w:r>
        <w:rPr>
          <w:rFonts w:ascii="Arial" w:cs="Arial" w:eastAsia="Arial" w:hAnsi="Arial"/>
          <w:sz w:val="18"/>
          <w:szCs w:val="18"/>
          <w:color w:val="auto"/>
        </w:rPr>
        <w:t>A. Effective May 18, 2006, the stockholders of the Company approved the Euronet Worldwide, Inc. 2006 Stock Incentive Plan (the “Plan”) pursuant to which the Company may, from time to time, grant Restricted Stock Units to current or prospective key employees, non-employee directors or outside consultants of the Company.</w:t>
      </w:r>
    </w:p>
    <w:p>
      <w:pPr>
        <w:spacing w:after="0" w:line="73" w:lineRule="exact"/>
        <w:rPr>
          <w:sz w:val="20"/>
          <w:szCs w:val="20"/>
          <w:color w:val="auto"/>
        </w:rPr>
      </w:pPr>
    </w:p>
    <w:p>
      <w:pPr>
        <w:ind w:right="260" w:firstLine="450"/>
        <w:spacing w:after="0" w:line="264" w:lineRule="auto"/>
        <w:rPr>
          <w:sz w:val="20"/>
          <w:szCs w:val="20"/>
          <w:color w:val="auto"/>
        </w:rPr>
      </w:pPr>
      <w:r>
        <w:rPr>
          <w:rFonts w:ascii="Arial" w:cs="Arial" w:eastAsia="Arial" w:hAnsi="Arial"/>
          <w:sz w:val="18"/>
          <w:szCs w:val="18"/>
          <w:color w:val="auto"/>
        </w:rPr>
        <w:t>B. Participant is an employee, consultant or non-employee director of the Company or one of its Affiliates and the Company desires to encourage him/her to own Shares and to give him/her added incentive to advance the interests of the Company, and desires to grant Participant Restricted Stock Units under the terms and conditions established by the Committee.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121"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of which is hereby acknowledged, the parties agree as follows:</w:t>
      </w:r>
    </w:p>
    <w:p>
      <w:pPr>
        <w:spacing w:after="0" w:line="62" w:lineRule="exact"/>
        <w:rPr>
          <w:sz w:val="20"/>
          <w:szCs w:val="20"/>
          <w:color w:val="auto"/>
        </w:rPr>
      </w:pPr>
    </w:p>
    <w:p>
      <w:pPr>
        <w:ind w:right="40" w:firstLine="458"/>
        <w:spacing w:after="0" w:line="342" w:lineRule="auto"/>
        <w:tabs>
          <w:tab w:leader="none" w:pos="63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Incorporation of Plan</w:t>
      </w:r>
      <w:r>
        <w:rPr>
          <w:rFonts w:ascii="Arial" w:cs="Arial" w:eastAsia="Arial" w:hAnsi="Arial"/>
          <w:sz w:val="16"/>
          <w:szCs w:val="16"/>
          <w:color w:val="auto"/>
        </w:rPr>
        <w:t>. All provisions of this Agreement and the rights of Participant hereunder are subject in all respects to the provisions of the Plan and the powers of the Committee therein provided. Capitalized terms used in this Agreement but not defined shall have the meaning set forth in the Plan.</w:t>
      </w:r>
    </w:p>
    <w:p>
      <w:pPr>
        <w:spacing w:after="0" w:line="15" w:lineRule="exact"/>
        <w:rPr>
          <w:rFonts w:ascii="Arial" w:cs="Arial" w:eastAsia="Arial" w:hAnsi="Arial"/>
          <w:sz w:val="16"/>
          <w:szCs w:val="16"/>
          <w:color w:val="auto"/>
        </w:rPr>
      </w:pPr>
    </w:p>
    <w:p>
      <w:pPr>
        <w:ind w:right="120" w:firstLine="458"/>
        <w:spacing w:after="0" w:line="255" w:lineRule="auto"/>
        <w:tabs>
          <w:tab w:leader="none" w:pos="63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conditions and restrictions set forth in this Agreement and in the Plan, the Company hereby grants to Participant and credits to a separate account maintained on the books of the Company (“Account”) that number of Restricted Stock Units identified above opposite the heading “Number of Restricted Stock Units Granted” (the “RSUs” or the “Award”). On any date, the value of each RSU shall equal the Fair Market Value of a Share. All amounts credited to Participant’s Account under this Agreement shall continue for all purposes to be a part of the general assets of the Company. Participant’s interest in the Account shall make him or her only a general, unsecured creditor of the Company. The RSUs may not be sold, transferred, gifted, bequeathed, pledged, assigned, or otherwise alienated or hypothecated, voluntarily or involuntarily. The rights of Participant with respect to the RSUs shall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t>forfeitable at all times prior to the date on which such rights are settled (the “Settlement Date”, as defined below).</w:t>
      </w:r>
    </w:p>
    <w:p>
      <w:pPr>
        <w:spacing w:after="0" w:line="117" w:lineRule="exact"/>
        <w:rPr>
          <w:sz w:val="20"/>
          <w:szCs w:val="20"/>
          <w:color w:val="auto"/>
        </w:rPr>
      </w:pPr>
    </w:p>
    <w:p>
      <w:pPr>
        <w:ind w:right="20" w:firstLine="458"/>
        <w:spacing w:after="0" w:line="279" w:lineRule="auto"/>
        <w:tabs>
          <w:tab w:leader="none" w:pos="630"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Consideration to the Company</w:t>
      </w:r>
      <w:r>
        <w:rPr>
          <w:rFonts w:ascii="Arial" w:cs="Arial" w:eastAsia="Arial" w:hAnsi="Arial"/>
          <w:sz w:val="17"/>
          <w:szCs w:val="17"/>
          <w:color w:val="auto"/>
        </w:rPr>
        <w:t>. In consideration of the granting of the RSUs by the Company, Participant will render faithful and efficient services as a Service Provider to the Company. Nothing in this Agreement or in the Plan will confer upon Participant any right to continue as a Service Provider to the Company or will interfere with or restrict in any way the rights of the Company, which are hereby expressly reserved, to terminate Participant’s position as a Service Provider to the Company at any time for any reason whatsoever, with or without cause.</w:t>
      </w:r>
    </w:p>
    <w:p>
      <w:pPr>
        <w:spacing w:after="0" w:line="63" w:lineRule="exact"/>
        <w:rPr>
          <w:rFonts w:ascii="Arial" w:cs="Arial" w:eastAsia="Arial" w:hAnsi="Arial"/>
          <w:sz w:val="17"/>
          <w:szCs w:val="17"/>
          <w:color w:val="auto"/>
        </w:rPr>
      </w:pPr>
    </w:p>
    <w:p>
      <w:pPr>
        <w:ind w:left="640" w:hanging="182"/>
        <w:spacing w:after="0"/>
        <w:tabs>
          <w:tab w:leader="none" w:pos="640"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Settlement of RSUs</w:t>
      </w:r>
      <w:r>
        <w:rPr>
          <w:rFonts w:ascii="Arial" w:cs="Arial" w:eastAsia="Arial" w:hAnsi="Arial"/>
          <w:sz w:val="16"/>
          <w:szCs w:val="16"/>
          <w:color w:val="auto"/>
        </w:rPr>
        <w:t>. At the Company’s option, the RSUs may be settled by delivering to Participant or his or her beneficiary, as applicable, either</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amount of cash equal to the Fair Market Value of a Share as of the Settlement Date multiplied by the number of Shares underlying the RSUs held by</w:t>
      </w:r>
    </w:p>
    <w:p>
      <w:pPr>
        <w:spacing w:after="0" w:line="32" w:lineRule="exact"/>
        <w:rPr>
          <w:rFonts w:ascii="Arial" w:cs="Arial" w:eastAsia="Arial" w:hAnsi="Arial"/>
          <w:sz w:val="16"/>
          <w:szCs w:val="16"/>
          <w:color w:val="auto"/>
        </w:rPr>
      </w:pPr>
    </w:p>
    <w:p>
      <w:pPr>
        <w:ind w:right="20"/>
        <w:spacing w:after="0" w:line="302" w:lineRule="auto"/>
        <w:rPr>
          <w:rFonts w:ascii="Arial" w:cs="Arial" w:eastAsia="Arial" w:hAnsi="Arial"/>
          <w:sz w:val="16"/>
          <w:szCs w:val="16"/>
          <w:color w:val="auto"/>
        </w:rPr>
      </w:pPr>
      <w:r>
        <w:rPr>
          <w:rFonts w:ascii="Arial" w:cs="Arial" w:eastAsia="Arial" w:hAnsi="Arial"/>
          <w:sz w:val="16"/>
          <w:szCs w:val="16"/>
          <w:color w:val="auto"/>
        </w:rPr>
        <w:t>Participant (or a specified portion in the event of any partial settlement), or (ii) a number of Shares equal to the whole number of Shares underlying the RSUs then held by Participant (or a specified portion in the event of any partial settlement). Any fractional Shares underlying RSUs remaining on the Settlement Date will be distributed in cash in an amount equal to the Fair Market Value of a Share as of the Settlement Date multiplied by the remaining fractional RSUs.</w:t>
      </w:r>
    </w:p>
    <w:p>
      <w:pPr>
        <w:spacing w:after="0" w:line="47"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Except as specifically provided elsewhere under the Plan, the restrictions on RSUs subject to this Agreement will lapse and the shares subject to this Award will be settled on the Settlement Date set forth below, but only if Participant is, and at all times from the Date of Grant has been, a Service Provider to the Company, or one of its Affiliates, and the RSUs have not otherwise been cancelled.</w:t>
      </w:r>
    </w:p>
    <w:p>
      <w:pPr>
        <w:spacing w:after="0" w:line="73"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Prior to receiving the Shares underlying the RSUs, the Participant shall not at any time be deemed to be the holder of, or to have any of the rights of a holder with respect to any Shares underlying the RSUs subject to this award.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 Time Based</w:t>
            </w: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Subject to performance based criteria below, the Restricted Stock Units under this Agreement shall vest and be settled as follows:</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Criteria</w:t>
            </w:r>
          </w:p>
        </w:tc>
        <w:tc>
          <w:tcPr>
            <w:tcW w:w="9860" w:type="dxa"/>
            <w:vAlign w:val="bottom"/>
            <w:vMerge w:val="restart"/>
          </w:tcPr>
          <w:p>
            <w:pPr>
              <w:ind w:left="420"/>
              <w:spacing w:after="0"/>
              <w:rPr>
                <w:sz w:val="20"/>
                <w:szCs w:val="20"/>
                <w:color w:val="auto"/>
              </w:rPr>
            </w:pPr>
            <w:r>
              <w:rPr>
                <w:rFonts w:ascii="Arial" w:cs="Arial" w:eastAsia="Arial" w:hAnsi="Arial"/>
                <w:sz w:val="18"/>
                <w:szCs w:val="18"/>
                <w:i w:val="1"/>
                <w:iCs w:val="1"/>
                <w:color w:val="auto"/>
                <w:w w:val="92"/>
              </w:rPr>
              <w:t>It shall be a condition of vesting that on the date concerned, the Participant shall have been an employee, non-employee director</w:t>
            </w:r>
          </w:p>
        </w:tc>
        <w:tc>
          <w:tcPr>
            <w:tcW w:w="0" w:type="dxa"/>
            <w:vAlign w:val="bottom"/>
          </w:tcPr>
          <w:p>
            <w:pPr>
              <w:spacing w:after="0"/>
              <w:rPr>
                <w:sz w:val="1"/>
                <w:szCs w:val="1"/>
                <w:color w:val="auto"/>
              </w:rPr>
            </w:pPr>
          </w:p>
        </w:tc>
      </w:tr>
      <w:tr>
        <w:trPr>
          <w:trHeight w:val="202"/>
        </w:trPr>
        <w:tc>
          <w:tcPr>
            <w:tcW w:w="1560" w:type="dxa"/>
            <w:vAlign w:val="bottom"/>
          </w:tcPr>
          <w:p>
            <w:pPr>
              <w:spacing w:after="0"/>
              <w:rPr>
                <w:sz w:val="17"/>
                <w:szCs w:val="17"/>
                <w:color w:val="auto"/>
              </w:rPr>
            </w:pPr>
          </w:p>
        </w:tc>
        <w:tc>
          <w:tcPr>
            <w:tcW w:w="9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9860" w:type="dxa"/>
            <w:vAlign w:val="bottom"/>
          </w:tcPr>
          <w:p>
            <w:pPr>
              <w:ind w:left="420"/>
              <w:spacing w:after="0"/>
              <w:rPr>
                <w:sz w:val="20"/>
                <w:szCs w:val="20"/>
                <w:color w:val="auto"/>
              </w:rPr>
            </w:pPr>
            <w:r>
              <w:rPr>
                <w:rFonts w:ascii="Arial" w:cs="Arial" w:eastAsia="Arial" w:hAnsi="Arial"/>
                <w:sz w:val="18"/>
                <w:szCs w:val="18"/>
                <w:i w:val="1"/>
                <w:iCs w:val="1"/>
                <w:color w:val="auto"/>
              </w:rPr>
              <w:t>or consultant of the Company for the entire period from the date of grant to the Vesting Date.</w:t>
            </w: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0"/>
                <w:szCs w:val="20"/>
                <w:color w:val="auto"/>
              </w:rPr>
            </w:pPr>
            <w:r>
              <w:rPr>
                <w:rFonts w:ascii="Arial" w:cs="Arial" w:eastAsia="Arial" w:hAnsi="Arial"/>
                <w:sz w:val="18"/>
                <w:szCs w:val="18"/>
                <w:color w:val="auto"/>
              </w:rPr>
              <w:t>b) Performance</w:t>
            </w:r>
          </w:p>
        </w:tc>
        <w:tc>
          <w:tcPr>
            <w:tcW w:w="9860" w:type="dxa"/>
            <w:vAlign w:val="bottom"/>
          </w:tcPr>
          <w:p>
            <w:pPr>
              <w:ind w:left="420"/>
              <w:spacing w:after="0"/>
              <w:rPr>
                <w:sz w:val="20"/>
                <w:szCs w:val="20"/>
                <w:color w:val="auto"/>
              </w:rPr>
            </w:pPr>
            <w:r>
              <w:rPr>
                <w:rFonts w:ascii="Arial" w:cs="Arial" w:eastAsia="Arial" w:hAnsi="Arial"/>
                <w:sz w:val="18"/>
                <w:szCs w:val="18"/>
                <w:color w:val="auto"/>
                <w:w w:val="93"/>
              </w:rPr>
              <w:t>Notwithstanding the terms provided in the box entitled “Time Based Criteria” above, if Performance Criteria are set forth below,</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Based Criteria</w:t>
            </w: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settlement of the Restricted Stock Units under this Agreement will be accelerated, and the RSUs will be settled in accordance with</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the schedule provided below, if such Performance Criteria are met:</w:t>
            </w:r>
          </w:p>
        </w:tc>
        <w:tc>
          <w:tcPr>
            <w:tcW w:w="0" w:type="dxa"/>
            <w:vAlign w:val="bottom"/>
          </w:tcPr>
          <w:p>
            <w:pPr>
              <w:spacing w:after="0"/>
              <w:rPr>
                <w:sz w:val="1"/>
                <w:szCs w:val="1"/>
                <w:color w:val="auto"/>
              </w:rPr>
            </w:pPr>
          </w:p>
        </w:tc>
      </w:tr>
      <w:tr>
        <w:trPr>
          <w:trHeight w:val="432"/>
        </w:trPr>
        <w:tc>
          <w:tcPr>
            <w:tcW w:w="1560" w:type="dxa"/>
            <w:vAlign w:val="bottom"/>
          </w:tcPr>
          <w:p>
            <w:pPr>
              <w:spacing w:after="0"/>
              <w:rPr>
                <w:sz w:val="24"/>
                <w:szCs w:val="24"/>
                <w:color w:val="auto"/>
              </w:rPr>
            </w:pPr>
          </w:p>
        </w:tc>
        <w:tc>
          <w:tcPr>
            <w:tcW w:w="9860" w:type="dxa"/>
            <w:vAlign w:val="bottom"/>
          </w:tcPr>
          <w:p>
            <w:pPr>
              <w:ind w:left="420"/>
              <w:spacing w:after="0"/>
              <w:rPr>
                <w:sz w:val="20"/>
                <w:szCs w:val="20"/>
                <w:color w:val="auto"/>
              </w:rPr>
            </w:pPr>
            <w:r>
              <w:rPr>
                <w:rFonts w:ascii="Arial" w:cs="Arial" w:eastAsia="Arial" w:hAnsi="Arial"/>
                <w:sz w:val="18"/>
                <w:szCs w:val="18"/>
                <w:i w:val="1"/>
                <w:iCs w:val="1"/>
                <w:color w:val="auto"/>
              </w:rPr>
              <w:t>No Performance criteria</w:t>
            </w:r>
          </w:p>
        </w:tc>
        <w:tc>
          <w:tcPr>
            <w:tcW w:w="0" w:type="dxa"/>
            <w:vAlign w:val="bottom"/>
          </w:tcPr>
          <w:p>
            <w:pPr>
              <w:spacing w:after="0"/>
              <w:rPr>
                <w:sz w:val="1"/>
                <w:szCs w:val="1"/>
                <w:color w:val="auto"/>
              </w:rPr>
            </w:pPr>
          </w:p>
        </w:tc>
      </w:tr>
      <w:tr>
        <w:trPr>
          <w:trHeight w:val="432"/>
        </w:trPr>
        <w:tc>
          <w:tcPr>
            <w:tcW w:w="1560" w:type="dxa"/>
            <w:vAlign w:val="bottom"/>
          </w:tcPr>
          <w:p>
            <w:pPr>
              <w:spacing w:after="0"/>
              <w:rPr>
                <w:sz w:val="24"/>
                <w:szCs w:val="24"/>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Provided that the above will be subject in each case to the following:</w:t>
            </w:r>
          </w:p>
        </w:tc>
        <w:tc>
          <w:tcPr>
            <w:tcW w:w="0" w:type="dxa"/>
            <w:vAlign w:val="bottom"/>
          </w:tcPr>
          <w:p>
            <w:pPr>
              <w:spacing w:after="0"/>
              <w:rPr>
                <w:sz w:val="1"/>
                <w:szCs w:val="1"/>
                <w:color w:val="auto"/>
              </w:rPr>
            </w:pPr>
          </w:p>
        </w:tc>
      </w:tr>
      <w:tr>
        <w:trPr>
          <w:trHeight w:val="405"/>
        </w:trPr>
        <w:tc>
          <w:tcPr>
            <w:tcW w:w="1560" w:type="dxa"/>
            <w:vAlign w:val="bottom"/>
          </w:tcPr>
          <w:p>
            <w:pPr>
              <w:spacing w:after="0"/>
              <w:rPr>
                <w:sz w:val="24"/>
                <w:szCs w:val="24"/>
                <w:color w:val="auto"/>
              </w:rPr>
            </w:pPr>
          </w:p>
        </w:tc>
        <w:tc>
          <w:tcPr>
            <w:tcW w:w="9860" w:type="dxa"/>
            <w:vAlign w:val="bottom"/>
          </w:tcPr>
          <w:p>
            <w:pPr>
              <w:ind w:left="4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1560" w:type="dxa"/>
            <w:vAlign w:val="bottom"/>
            <w:tcBorders>
              <w:bottom w:val="single" w:sz="8" w:color="808080"/>
            </w:tcBorders>
          </w:tcPr>
          <w:p>
            <w:pPr>
              <w:spacing w:after="0"/>
              <w:rPr>
                <w:sz w:val="19"/>
                <w:szCs w:val="19"/>
                <w:color w:val="auto"/>
              </w:rPr>
            </w:pPr>
          </w:p>
        </w:tc>
        <w:tc>
          <w:tcPr>
            <w:tcW w:w="9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left="1700" w:hanging="220"/>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Participant’s service with the Company not terminating prior to the date the Performance Criteria are achieved; and</w:t>
      </w:r>
    </w:p>
    <w:p>
      <w:pPr>
        <w:spacing w:after="0" w:line="225" w:lineRule="exact"/>
        <w:rPr>
          <w:rFonts w:ascii="Arial" w:cs="Arial" w:eastAsia="Arial" w:hAnsi="Arial"/>
          <w:sz w:val="18"/>
          <w:szCs w:val="18"/>
          <w:color w:val="auto"/>
        </w:rPr>
      </w:pPr>
    </w:p>
    <w:p>
      <w:pPr>
        <w:ind w:left="1740" w:hanging="260"/>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Committee’s determination and certification in writing that the Performance Criteria have been achieved.</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the above sums do not derive a whole number of shares as of any Settlement Date, then the number of shares vested shall be the lower whole number resulting from such sum with any residual shares vesting as of the last Settlement Date.</w:t>
      </w:r>
    </w:p>
    <w:p>
      <w:pPr>
        <w:spacing w:after="0" w:line="62"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Committee may, in its sole discretion, accelerate the Settlement Date for any or all of the RSUs, if in its judgment the performance of Participant has warranted such acceleration and/or such acceleration is in the best interests of the Company.</w:t>
      </w:r>
    </w:p>
    <w:p>
      <w:pPr>
        <w:spacing w:after="0" w:line="62" w:lineRule="exact"/>
        <w:rPr>
          <w:sz w:val="20"/>
          <w:szCs w:val="20"/>
          <w:color w:val="auto"/>
        </w:rPr>
      </w:pPr>
    </w:p>
    <w:p>
      <w:pPr>
        <w:ind w:right="40" w:firstLine="458"/>
        <w:spacing w:after="0" w:line="271" w:lineRule="auto"/>
        <w:tabs>
          <w:tab w:leader="none" w:pos="63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Cancellation of RSUs</w:t>
      </w:r>
      <w:r>
        <w:rPr>
          <w:rFonts w:ascii="Arial" w:cs="Arial" w:eastAsia="Arial" w:hAnsi="Arial"/>
          <w:sz w:val="17"/>
          <w:szCs w:val="17"/>
          <w:color w:val="auto"/>
        </w:rPr>
        <w:t>. Unless otherwise provided in this Section 5 or in the Plan, if Participant’s position as a Service Provider to the Company or any of its Affiliates is terminated prior to the Settlement Date other than by death or Disability, Participant shall thereupon immediately forfeit any and all unsettled RSUs, and all RSUs shall be cancelled. Upon such cancellation, Participant shall have no further rights under this Agreement. For purposes of this Agreement, transfer of employment between the Company and any of its Affiliates (or between Affiliates) shall not constitute a termination of Participant’s position as a Service Provider. In the event that Participant’s position as a Service Provider with the Company or any of its Affiliates is terminated by the Company or any of its Affiliates prior to the Settlement Date and due to Participant’s death or Disability, all unsettled RSUs shall be settled effective on or as soon as administratively practical following the date of Participant’s death or Disability but in no event later than February 15 of the calendar year following the year of Participant’s death or Disability.</w:t>
      </w:r>
    </w:p>
    <w:p>
      <w:pPr>
        <w:spacing w:after="0" w:line="70" w:lineRule="exact"/>
        <w:rPr>
          <w:rFonts w:ascii="Arial" w:cs="Arial" w:eastAsia="Arial" w:hAnsi="Arial"/>
          <w:sz w:val="17"/>
          <w:szCs w:val="17"/>
          <w:color w:val="auto"/>
        </w:rPr>
      </w:pPr>
    </w:p>
    <w:p>
      <w:pPr>
        <w:ind w:firstLine="458"/>
        <w:spacing w:after="0" w:line="259" w:lineRule="auto"/>
        <w:tabs>
          <w:tab w:leader="none" w:pos="63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Dividends and Voting</w:t>
      </w:r>
      <w:r>
        <w:rPr>
          <w:rFonts w:ascii="Arial" w:cs="Arial" w:eastAsia="Arial" w:hAnsi="Arial"/>
          <w:sz w:val="18"/>
          <w:szCs w:val="18"/>
          <w:color w:val="auto"/>
        </w:rPr>
        <w:t>. Prior to an RSU’s Settlement Date, Participant shall not be entitled to receive dividend equivalent payments for any dividends paid by the Company on Shares, whether payable in stock, in cash or in kind, or other distributions, declared as of a record date that occurs on or after the Date of Grant hereunder and prior to any cancellation of such RSUs, Participant will have no voting rights with respect to any of the Shares underlying the RSUs subject to this award unless and until they are issued to Participant.</w:t>
      </w:r>
    </w:p>
    <w:p>
      <w:pPr>
        <w:spacing w:after="0" w:line="78" w:lineRule="exact"/>
        <w:rPr>
          <w:rFonts w:ascii="Arial" w:cs="Arial" w:eastAsia="Arial" w:hAnsi="Arial"/>
          <w:sz w:val="18"/>
          <w:szCs w:val="18"/>
          <w:color w:val="auto"/>
        </w:rPr>
      </w:pPr>
    </w:p>
    <w:p>
      <w:pPr>
        <w:ind w:right="60" w:firstLine="458"/>
        <w:spacing w:after="0" w:line="277" w:lineRule="auto"/>
        <w:tabs>
          <w:tab w:leader="none" w:pos="63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shall have the right to deduct from any distribution of cash or Shares to the Participant an amount equal to any income taxes, excise taxes and other amounts as may be required by law to be withheld with respect to the Award.</w:t>
      </w:r>
    </w:p>
    <w:p>
      <w:pPr>
        <w:spacing w:after="0" w:line="62" w:lineRule="exact"/>
        <w:rPr>
          <w:rFonts w:ascii="Arial" w:cs="Arial" w:eastAsia="Arial" w:hAnsi="Arial"/>
          <w:sz w:val="18"/>
          <w:szCs w:val="18"/>
          <w:color w:val="auto"/>
        </w:rPr>
      </w:pPr>
    </w:p>
    <w:p>
      <w:pPr>
        <w:ind w:right="340" w:firstLine="458"/>
        <w:spacing w:after="0" w:line="264" w:lineRule="auto"/>
        <w:tabs>
          <w:tab w:leader="none" w:pos="63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Long-Term Consideration for Award</w:t>
      </w:r>
      <w:r>
        <w:rPr>
          <w:rFonts w:ascii="Arial" w:cs="Arial" w:eastAsia="Arial" w:hAnsi="Arial"/>
          <w:sz w:val="18"/>
          <w:szCs w:val="18"/>
          <w:color w:val="auto"/>
        </w:rPr>
        <w:t>. Participant recognizes and agrees that the Company’s key consideration in granting this Award is securing Participant’s long-term commitment to advance and promote the Company’s business interests and objectives. Accordingly, Participant agrees to the following as material and indivisible consideration for this Award:</w:t>
      </w:r>
    </w:p>
    <w:p>
      <w:pPr>
        <w:spacing w:after="0" w:line="73" w:lineRule="exact"/>
        <w:rPr>
          <w:rFonts w:ascii="Arial" w:cs="Arial" w:eastAsia="Arial" w:hAnsi="Arial"/>
          <w:sz w:val="18"/>
          <w:szCs w:val="18"/>
          <w:color w:val="auto"/>
        </w:rPr>
      </w:pPr>
    </w:p>
    <w:p>
      <w:pPr>
        <w:jc w:val="both"/>
        <w:ind w:left="240" w:right="540" w:firstLine="446"/>
        <w:spacing w:after="0" w:line="264" w:lineRule="auto"/>
        <w:tabs>
          <w:tab w:leader="none" w:pos="935"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Fiduciary Duty</w:t>
      </w:r>
      <w:r>
        <w:rPr>
          <w:rFonts w:ascii="Arial" w:cs="Arial" w:eastAsia="Arial" w:hAnsi="Arial"/>
          <w:sz w:val="18"/>
          <w:szCs w:val="18"/>
          <w:color w:val="auto"/>
        </w:rPr>
        <w:t>. During his/her employment, directorship or consultancy with the Company, Participant shall devote his/her full energies, abilities, attention and business time to the performance of his/her particular responsibilities and shall not engage in any activity which conflicts or interferes with, or in any way compromises,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performance of such responsibilities.</w:t>
      </w:r>
    </w:p>
    <w:p>
      <w:pPr>
        <w:spacing w:after="0" w:line="117" w:lineRule="exact"/>
        <w:rPr>
          <w:sz w:val="20"/>
          <w:szCs w:val="20"/>
          <w:color w:val="auto"/>
        </w:rPr>
      </w:pPr>
    </w:p>
    <w:p>
      <w:pPr>
        <w:ind w:right="20" w:firstLine="458"/>
        <w:spacing w:after="0" w:line="289"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Participant recognizes that by virtue of his/her employment, directorship or consultancy with the Company, Participant will be granted otherwise prohibited access to confidential information and proprietary data which are not known to the Company’s competitors. This information (the “Confidential Information”) includes, but is not limited to, any of the following as it relates to the Company and any of its Affiliates’ (the “Euronet Group”): current and prospective customers; the identity of key contacts at such customers; customers’ particularized preferences and needs; marketing strategies and plans; financial data; personnel data; compensation data; proprietary procedures and processes; and other unique and specialized practices, programs and plans of the Euronet Group and its customers and prospective customers. Participant recognizes that this Confidential Information constitutes valuable property of the Euronet Group, developed over a significant period of time and at substantial expense. Accordingly, Participant agrees that he/she shall not, at any time during or after his or her employment, directorship or consultancy with the Company, divulge such Confidential Information or make use of it for his/her own purposes or the purposes of any person or entity other than the Euronet Group.</w:t>
      </w:r>
    </w:p>
    <w:p>
      <w:pPr>
        <w:spacing w:after="0" w:line="58" w:lineRule="exact"/>
        <w:rPr>
          <w:rFonts w:ascii="Arial" w:cs="Arial" w:eastAsia="Arial" w:hAnsi="Arial"/>
          <w:sz w:val="16"/>
          <w:szCs w:val="16"/>
          <w:color w:val="auto"/>
        </w:rPr>
      </w:pPr>
    </w:p>
    <w:p>
      <w:pPr>
        <w:ind w:firstLine="458"/>
        <w:spacing w:after="0" w:line="285"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Non-Solicitation of Customers</w:t>
      </w:r>
      <w:r>
        <w:rPr>
          <w:rFonts w:ascii="Arial" w:cs="Arial" w:eastAsia="Arial" w:hAnsi="Arial"/>
          <w:sz w:val="16"/>
          <w:szCs w:val="16"/>
          <w:color w:val="auto"/>
        </w:rPr>
        <w:t>. Participant recognizes that by virtue of his/her employment, directorship or consultancy with the Company, Participant may be introduced to and involved in the solicitation and servicing of existing customers of the Euronet Group and new customers obtained by the Euronet Group during Participant’s employment, directorship or consultancy. Participant understands and agrees that all efforts expended in soliciting and servicing such customers shall be for the permanent benefit of the Euronet Group. Participant further agrees that during his/her employment, directorship or consultancy with the Company, Participant will not engage in any conduct which could in any way jeopardize or disturb any of the Euronet Group’s customer relationships. Participant also recognizes the Euronet Group’s legitimate interest in protecting, for a reasonable period of time after his/her employment, directorship or consultancy with the Company, the Euronet Group’s customers. Participant further acknowledges that the Euronet Group is in the business of providing ATM management services, prepaid financial services, and money transfer operations throughout the world, and that Participant has knowledge of proprietary information relating to that worldwide business which, if known to or used to the benefit of a competitor of the Company, would provide a competitor with an unfair competitive advantage with regard to the Company’s relationships with its customers. Accordingly, Participant agrees that, for a period beginning on the date hereof and ending two (2) years after termination of his/her employment, directorship or consultancy with the Company, regardless of the reason for such termination, Participant shall not, in any location where the Euronet Group conducts business or provides services to customers and in any location where Participant provided services to the Company during the term of Participant’s employment, directorship or consultancy with the Company, directly or indirectly, without the prior written consent of the Chief Executive Officer of the Company, market, offer, sell or otherwise furnish any products or services similar to, or otherwise competitive with, those offered by the Euronet Group to any customer of the Euronet Group (including, without limitation, the business of providing ATM management services, prepaid processing and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0" w:name="page41"/>
    <w:bookmarkEnd w:id="40"/>
    <w:p>
      <w:pPr>
        <w:ind w:left="220"/>
        <w:spacing w:after="0"/>
        <w:rPr>
          <w:sz w:val="20"/>
          <w:szCs w:val="20"/>
          <w:color w:val="auto"/>
        </w:rPr>
      </w:pPr>
      <w:r>
        <w:rPr>
          <w:rFonts w:ascii="Arial" w:cs="Arial" w:eastAsia="Arial" w:hAnsi="Arial"/>
          <w:sz w:val="18"/>
          <w:szCs w:val="18"/>
          <w:color w:val="auto"/>
        </w:rPr>
        <w:t>related services, and money transfer operations).</w:t>
      </w:r>
    </w:p>
    <w:p>
      <w:pPr>
        <w:spacing w:after="0" w:line="117" w:lineRule="exact"/>
        <w:rPr>
          <w:sz w:val="20"/>
          <w:szCs w:val="20"/>
          <w:color w:val="auto"/>
        </w:rPr>
      </w:pPr>
    </w:p>
    <w:p>
      <w:pPr>
        <w:ind w:left="220" w:firstLine="446"/>
        <w:spacing w:after="0" w:line="276" w:lineRule="auto"/>
        <w:tabs>
          <w:tab w:leader="none" w:pos="925"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Participant recognizes the substantial expenditure of time and effort which the Euronet Group devotes to the recruitment, hiring, orientation, training and retention of its employees. Accordingly, Participant agrees that, for a period beginning on the date hereof and ending two (2) years after termination of his/her employment, directorship or consultancy with the Company, regardless of the reason for such termination, Participant shall not, directly or indirectly, for himself or herself or on behalf of any other person or entity, solicit, offer employment to, hire or otherwise retain the services of any person who, during that two (2) year term, is an employee of the Euronet Group.</w:t>
      </w:r>
    </w:p>
    <w:p>
      <w:pPr>
        <w:spacing w:after="0" w:line="64" w:lineRule="exact"/>
        <w:rPr>
          <w:rFonts w:ascii="Arial" w:cs="Arial" w:eastAsia="Arial" w:hAnsi="Arial"/>
          <w:sz w:val="17"/>
          <w:szCs w:val="17"/>
          <w:color w:val="auto"/>
        </w:rPr>
      </w:pPr>
    </w:p>
    <w:p>
      <w:pPr>
        <w:ind w:left="220" w:right="100" w:firstLine="446"/>
        <w:spacing w:after="0" w:line="273" w:lineRule="auto"/>
        <w:tabs>
          <w:tab w:leader="none" w:pos="915"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Survival of Commitments; Potential Recapture of Options and Proceeds</w:t>
      </w:r>
      <w:r>
        <w:rPr>
          <w:rFonts w:ascii="Arial" w:cs="Arial" w:eastAsia="Arial" w:hAnsi="Arial"/>
          <w:sz w:val="17"/>
          <w:szCs w:val="17"/>
          <w:color w:val="auto"/>
        </w:rPr>
        <w:t>. Participant acknowledges and agrees that the terms and conditions of this Section 8 regarding confidentiality and non-solicitation shall survive both (i) the termination of his/her employment, directorship or consultancy with the Company for any reason, and (ii) the termination of the Plan for any reason. Participant acknowledges and agrees that the grant of Options in this Agreement is just and adequate consideration for the survival of the restrictions set forth herein, and that the Company may pursue any or all of the following remedies if Participant either violates the terms of this Section or succeeds for any reason in invalidating any part of it (it being understood that the invalidity of any term hereof would result in a failure of consideration for the Options):</w:t>
      </w:r>
    </w:p>
    <w:p>
      <w:pPr>
        <w:spacing w:after="0" w:line="70" w:lineRule="exact"/>
        <w:rPr>
          <w:rFonts w:ascii="Arial" w:cs="Arial" w:eastAsia="Arial" w:hAnsi="Arial"/>
          <w:sz w:val="17"/>
          <w:szCs w:val="17"/>
          <w:color w:val="auto"/>
        </w:rPr>
      </w:pPr>
    </w:p>
    <w:p>
      <w:pPr>
        <w:ind w:left="1040" w:hanging="377"/>
        <w:spacing w:after="0"/>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declaration that the Option is null and void and of no further force or effect;</w:t>
      </w:r>
    </w:p>
    <w:p>
      <w:pPr>
        <w:spacing w:after="0" w:line="130" w:lineRule="exact"/>
        <w:rPr>
          <w:rFonts w:ascii="Arial" w:cs="Arial" w:eastAsia="Arial" w:hAnsi="Arial"/>
          <w:sz w:val="18"/>
          <w:szCs w:val="18"/>
          <w:color w:val="auto"/>
        </w:rPr>
      </w:pPr>
    </w:p>
    <w:p>
      <w:pPr>
        <w:ind w:left="1040" w:hanging="377"/>
        <w:spacing w:after="0"/>
        <w:tabs>
          <w:tab w:leader="none" w:pos="10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recapture of any cash paid or Shares issued to Participant, or any designee or beneficiary of the Participant, pursuant to the Option; or</w:t>
      </w:r>
    </w:p>
    <w:p>
      <w:pPr>
        <w:spacing w:after="0" w:line="142" w:lineRule="exact"/>
        <w:rPr>
          <w:rFonts w:ascii="Arial" w:cs="Arial" w:eastAsia="Arial" w:hAnsi="Arial"/>
          <w:sz w:val="17"/>
          <w:szCs w:val="17"/>
          <w:color w:val="auto"/>
        </w:rPr>
      </w:pPr>
    </w:p>
    <w:p>
      <w:pPr>
        <w:ind w:left="1040" w:right="40" w:hanging="377"/>
        <w:spacing w:after="0" w:line="277"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recapture of the proceeds, plus reasonable interest, with respect to any Shares that are both issued pursuant to this Option and sold or otherwise disposed of by Participant, or any designee or beneficiary of Participant.</w:t>
      </w:r>
    </w:p>
    <w:p>
      <w:pPr>
        <w:spacing w:after="0" w:line="62"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The remedies provided above are not intended to be exclusive, and the Company may seek such other remedies as are provided by law, including equitable relief.</w:t>
      </w:r>
    </w:p>
    <w:p>
      <w:pPr>
        <w:spacing w:after="0" w:line="62" w:lineRule="exact"/>
        <w:rPr>
          <w:sz w:val="20"/>
          <w:szCs w:val="20"/>
          <w:color w:val="auto"/>
        </w:rPr>
      </w:pPr>
    </w:p>
    <w:p>
      <w:pPr>
        <w:ind w:left="-20" w:right="140" w:firstLine="593"/>
        <w:spacing w:after="0" w:line="264" w:lineRule="auto"/>
        <w:tabs>
          <w:tab w:leader="none" w:pos="79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Participant acknowledges and agrees that adherence to the foregoing requirements will not prevent him/her from engaging in his/her chosen occupation and earning a satisfactory livelihood following the termination of his/her employment, directorship or consultancy with the Company.</w:t>
      </w:r>
    </w:p>
    <w:p>
      <w:pPr>
        <w:spacing w:after="0" w:line="73" w:lineRule="exact"/>
        <w:rPr>
          <w:rFonts w:ascii="Arial" w:cs="Arial" w:eastAsia="Arial" w:hAnsi="Arial"/>
          <w:sz w:val="18"/>
          <w:szCs w:val="18"/>
          <w:color w:val="auto"/>
        </w:rPr>
      </w:pPr>
    </w:p>
    <w:p>
      <w:pPr>
        <w:ind w:left="-20" w:right="80" w:firstLine="593"/>
        <w:spacing w:after="0" w:line="312"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Court May Modify Restrictions</w:t>
      </w:r>
      <w:r>
        <w:rPr>
          <w:rFonts w:ascii="Arial" w:cs="Arial" w:eastAsia="Arial" w:hAnsi="Arial"/>
          <w:sz w:val="16"/>
          <w:szCs w:val="16"/>
          <w:color w:val="auto"/>
        </w:rPr>
        <w:t>. Although the parties have attempted to reasonably limit Participant’s activities after the termination of his/her employment, directorship or consultancy with the Company, the parties agree that a Court may modify and enforce the restrictive covenants contained in this Section 8 to the extent that it believes such modifications are necessary for Participant’s restrictions under this Section 8 to be reasonable.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41" w:name="page42"/>
    <w:bookmarkEnd w:id="41"/>
    <w:p>
      <w:pPr>
        <w:ind w:right="160" w:firstLine="683"/>
        <w:spacing w:after="0" w:line="264" w:lineRule="auto"/>
        <w:tabs>
          <w:tab w:leader="none" w:pos="93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parties agree that if any part of this Section 8 or the application of any part of this Section 8 is found by a court to be void, voidable, invalid, unenforceable, or in conflict with any federal or state law, then the remainder of this Agreement shall remain valid, fully enforceable, and shall otherwise be given full force and effect.</w:t>
      </w:r>
    </w:p>
    <w:p>
      <w:pPr>
        <w:spacing w:after="0" w:line="73" w:lineRule="exact"/>
        <w:rPr>
          <w:rFonts w:ascii="Arial" w:cs="Arial" w:eastAsia="Arial" w:hAnsi="Arial"/>
          <w:sz w:val="18"/>
          <w:szCs w:val="18"/>
          <w:color w:val="auto"/>
        </w:rPr>
      </w:pPr>
    </w:p>
    <w:p>
      <w:pPr>
        <w:ind w:left="640" w:hanging="182"/>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128" w:lineRule="exact"/>
        <w:rPr>
          <w:rFonts w:ascii="Arial" w:cs="Arial" w:eastAsia="Arial" w:hAnsi="Arial"/>
          <w:sz w:val="17"/>
          <w:szCs w:val="17"/>
          <w:color w:val="auto"/>
        </w:rPr>
      </w:pPr>
    </w:p>
    <w:p>
      <w:pPr>
        <w:ind w:right="540" w:firstLine="458"/>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only by a written agreement executed by the parties hereto which specifically states that it is amending this Agreement.</w:t>
      </w:r>
    </w:p>
    <w:p>
      <w:pPr>
        <w:spacing w:after="0" w:line="62" w:lineRule="exact"/>
        <w:rPr>
          <w:rFonts w:ascii="Arial" w:cs="Arial" w:eastAsia="Arial" w:hAnsi="Arial"/>
          <w:sz w:val="18"/>
          <w:szCs w:val="18"/>
          <w:color w:val="auto"/>
        </w:rPr>
      </w:pPr>
    </w:p>
    <w:p>
      <w:pPr>
        <w:ind w:right="40" w:firstLine="458"/>
        <w:spacing w:after="0" w:line="277" w:lineRule="auto"/>
        <w:tabs>
          <w:tab w:leader="none" w:pos="71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will govern the interpretation, validity and performance of this Agreement regardless of the law that might be applied under principles of conflicts of laws.</w:t>
      </w:r>
    </w:p>
    <w:p>
      <w:pPr>
        <w:spacing w:after="0" w:line="62" w:lineRule="exact"/>
        <w:rPr>
          <w:rFonts w:ascii="Arial" w:cs="Arial" w:eastAsia="Arial" w:hAnsi="Arial"/>
          <w:sz w:val="18"/>
          <w:szCs w:val="18"/>
          <w:color w:val="auto"/>
        </w:rPr>
      </w:pPr>
    </w:p>
    <w:p>
      <w:pPr>
        <w:ind w:right="740" w:firstLine="458"/>
        <w:spacing w:after="0" w:line="26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 to, the interpretation, construction or application of this Agreement shall be determined by the Committee. Any determination made hereunder shall be final, binding and conclusive on Participant and the Company for all purposes.</w:t>
      </w:r>
    </w:p>
    <w:p>
      <w:pPr>
        <w:spacing w:after="0" w:line="73" w:lineRule="exact"/>
        <w:rPr>
          <w:rFonts w:ascii="Arial" w:cs="Arial" w:eastAsia="Arial" w:hAnsi="Arial"/>
          <w:sz w:val="18"/>
          <w:szCs w:val="18"/>
          <w:color w:val="auto"/>
        </w:rPr>
      </w:pPr>
    </w:p>
    <w:p>
      <w:pPr>
        <w:ind w:firstLine="458"/>
        <w:spacing w:after="0" w:line="308"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38" w:lineRule="exact"/>
        <w:rPr>
          <w:rFonts w:ascii="Arial" w:cs="Arial" w:eastAsia="Arial" w:hAnsi="Arial"/>
          <w:sz w:val="17"/>
          <w:szCs w:val="17"/>
          <w:color w:val="auto"/>
        </w:rPr>
      </w:pPr>
    </w:p>
    <w:p>
      <w:pPr>
        <w:ind w:right="340" w:firstLine="458"/>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Except as expressly stated herein to the contrary, this Agreement will be binding upon and inure to the benefit of the respective heirs, legal representatives, successors and assigns of the parties hereto.</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Immediately Follows]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This Agreement shall be deemed fully executed and delivered by the parties hereto upon the electronic signature/acceptance of the Participant via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Rick Weller, Executive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469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2006 STOCK INCENTIVE PLAN</w:t>
      </w:r>
    </w:p>
    <w:p>
      <w:pPr>
        <w:spacing w:after="0" w:line="31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_______________________________</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Designation of Beneficiary</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connection with the RESTRICTED STOCK UNIT AGREEMENT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entered into on ____________, 201______ between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Euronet Worldwide,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____________, an individual residing at ____________ (the “</w:t>
      </w:r>
      <w:r>
        <w:rPr>
          <w:rFonts w:ascii="Arial" w:cs="Arial" w:eastAsia="Arial" w:hAnsi="Arial"/>
          <w:sz w:val="16"/>
          <w:szCs w:val="16"/>
          <w:u w:val="single" w:color="auto"/>
          <w:color w:val="auto"/>
        </w:rPr>
        <w:t>Recipient</w:t>
      </w:r>
      <w:r>
        <w:rPr>
          <w:rFonts w:ascii="Arial" w:cs="Arial" w:eastAsia="Arial" w:hAnsi="Arial"/>
          <w:sz w:val="16"/>
          <w:szCs w:val="16"/>
          <w:color w:val="auto"/>
        </w:rPr>
        <w:t>”), the Recipient hereby designates the</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person specified below as the beneficiary of the Recipient’s interest in Restricted Stock (as defined in the 2006 Stock Incentive Plan of the Company awarded pursuant to the Award Agreement. This designation shall remain in effect until revoked in writing by the Recipient.</w:t>
      </w:r>
    </w:p>
    <w:p>
      <w:pPr>
        <w:spacing w:after="0" w:line="18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22123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1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22123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160655</wp:posOffset>
            </wp:positionV>
            <wp:extent cx="22123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306705</wp:posOffset>
            </wp:positionV>
            <wp:extent cx="22123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22123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Recipient understands that this designation operates to entitle the above-named beneficiary to the rights conferred by the Award Agreement from the date this form is delivered to the Company until such date as this designation is revoked in writing by the Recipient, including by delivery to the Company of a written designation of beneficiary executed by the Recipient on a later date.</w:t>
      </w:r>
    </w:p>
    <w:p>
      <w:pPr>
        <w:spacing w:after="0" w:line="18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6350</wp:posOffset>
            </wp:positionV>
            <wp:extent cx="24872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[Recipient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County of 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State of ____________</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Sworn to before me this ______ day of _______, 201 ________</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959" w:right="2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10.2</w:t>
      </w:r>
    </w:p>
    <w:p>
      <w:pPr>
        <w:spacing w:after="0" w:line="32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2006 STOCK INCENTIVE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080" w:type="dxa"/>
            <w:vAlign w:val="bottom"/>
          </w:tcPr>
          <w:p>
            <w:pPr>
              <w:jc w:val="right"/>
              <w:ind w:right="361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ONQUALIFIED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of Grant:</w:t>
            </w:r>
          </w:p>
        </w:tc>
        <w:tc>
          <w:tcPr>
            <w:tcW w:w="7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Number of Shares to</w:t>
            </w:r>
          </w:p>
        </w:tc>
        <w:tc>
          <w:tcPr>
            <w:tcW w:w="7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Which Option Relates (Time Vest):</w:t>
            </w:r>
          </w:p>
        </w:tc>
        <w:tc>
          <w:tcPr>
            <w:tcW w:w="70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Number of Shares to</w:t>
            </w:r>
          </w:p>
        </w:tc>
        <w:tc>
          <w:tcPr>
            <w:tcW w:w="7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Which Option Relates (Time and Hurdle Vest):</w:t>
            </w:r>
          </w:p>
        </w:tc>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7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Agreement dated [ ], is made by and between Euronet Worldwide, Inc., a Delaware corporation (the “Company”), and [ ] (the “Option Holder”).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jc w:val="both"/>
        <w:ind w:right="420" w:firstLine="440"/>
        <w:spacing w:after="0" w:line="264" w:lineRule="auto"/>
        <w:rPr>
          <w:sz w:val="20"/>
          <w:szCs w:val="20"/>
          <w:color w:val="auto"/>
        </w:rPr>
      </w:pPr>
      <w:r>
        <w:rPr>
          <w:rFonts w:ascii="Arial" w:cs="Arial" w:eastAsia="Arial" w:hAnsi="Arial"/>
          <w:sz w:val="18"/>
          <w:szCs w:val="18"/>
          <w:color w:val="auto"/>
        </w:rPr>
        <w:t>A. Effective May 18, 2006, the Company’s stockholders approved the Euronet Worldwide, Inc. 2006 Stock Incentive Plan (the “Plan”) pursuant to which the Company may, from time to time, grant options to current or prospective key employees, non-employee directors or outside consultants of the Company to purchase shares of the Company’s common stock.</w:t>
      </w:r>
    </w:p>
    <w:p>
      <w:pPr>
        <w:spacing w:after="0" w:line="73"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B. The Option Holder is an employee, non-employee director or outside consultant of the Company or one of its Affiliates and the Company desires to grant to the Option Holder a nonqualified stock option to purchase shares of the Company’s common stock on the terms and conditions reflected in this Agreement, the Plan and as otherwise established by the Committee.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21"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of which is hereby acknowledged, the parties agree as follows:</w:t>
      </w:r>
    </w:p>
    <w:p>
      <w:pPr>
        <w:spacing w:after="0" w:line="62" w:lineRule="exact"/>
        <w:rPr>
          <w:sz w:val="20"/>
          <w:szCs w:val="20"/>
          <w:color w:val="auto"/>
        </w:rPr>
      </w:pPr>
    </w:p>
    <w:p>
      <w:pPr>
        <w:ind w:right="40" w:firstLine="458"/>
        <w:spacing w:after="0" w:line="264" w:lineRule="auto"/>
        <w:tabs>
          <w:tab w:leader="none" w:pos="63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All provisions of this Agreement and the rights of the Option Holder are subject in all respects to the provisions of the Plan, as it may be amended, and the powers of the Committee therein provided. Capitalized terms used in this Agreement but not defined will have the meanings set forth in the Plan.</w:t>
      </w:r>
    </w:p>
    <w:p>
      <w:pPr>
        <w:spacing w:after="0" w:line="73" w:lineRule="exact"/>
        <w:rPr>
          <w:rFonts w:ascii="Arial" w:cs="Arial" w:eastAsia="Arial" w:hAnsi="Arial"/>
          <w:sz w:val="18"/>
          <w:szCs w:val="18"/>
          <w:color w:val="auto"/>
        </w:rPr>
      </w:pPr>
    </w:p>
    <w:p>
      <w:pPr>
        <w:ind w:right="60" w:firstLine="458"/>
        <w:spacing w:after="0" w:line="277" w:lineRule="auto"/>
        <w:tabs>
          <w:tab w:leader="none" w:pos="63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Grant of Nonqualified Stock Option</w:t>
      </w:r>
      <w:r>
        <w:rPr>
          <w:rFonts w:ascii="Arial" w:cs="Arial" w:eastAsia="Arial" w:hAnsi="Arial"/>
          <w:sz w:val="18"/>
          <w:szCs w:val="18"/>
          <w:color w:val="auto"/>
        </w:rPr>
        <w:t>. As of the Date of Grant identified above, the Company grants the Option Holder, subject to this Agreement and the Plan,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ind w:right="280"/>
        <w:spacing w:after="0" w:line="264" w:lineRule="auto"/>
        <w:rPr>
          <w:sz w:val="20"/>
          <w:szCs w:val="20"/>
          <w:color w:val="auto"/>
        </w:rPr>
      </w:pPr>
      <w:r>
        <w:rPr>
          <w:rFonts w:ascii="Arial" w:cs="Arial" w:eastAsia="Arial" w:hAnsi="Arial"/>
          <w:sz w:val="18"/>
          <w:szCs w:val="18"/>
          <w:color w:val="auto"/>
        </w:rPr>
        <w:t>privilege and option (the “Option”) to purchase, in one or more exercises, all or any part of that number of Shares of Stock identified above opposite the heading “Number of Shares to Which Option Relates” (the “Option Shares”), at the per Share price specified above opposite the heading “Option Exercise Price per Share”.</w:t>
      </w:r>
    </w:p>
    <w:p>
      <w:pPr>
        <w:spacing w:after="0" w:line="73" w:lineRule="exact"/>
        <w:rPr>
          <w:sz w:val="20"/>
          <w:szCs w:val="20"/>
          <w:color w:val="auto"/>
        </w:rPr>
      </w:pPr>
    </w:p>
    <w:p>
      <w:pPr>
        <w:ind w:right="200" w:firstLine="458"/>
        <w:spacing w:after="0" w:line="276" w:lineRule="auto"/>
        <w:tabs>
          <w:tab w:leader="none" w:pos="63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Consideration to the Company</w:t>
      </w:r>
      <w:r>
        <w:rPr>
          <w:rFonts w:ascii="Arial" w:cs="Arial" w:eastAsia="Arial" w:hAnsi="Arial"/>
          <w:sz w:val="17"/>
          <w:szCs w:val="17"/>
          <w:color w:val="auto"/>
        </w:rPr>
        <w:t>. In consideration of the granting of this Option by the Company, the Option Holder will render faithful and efficient services as an employee, non-employee director or consultant of the Company or one of its Affiliates. Nothing in this Agreement or in the Plan will confer upon the Option Holder any right to continue as an employee, non-employee director or outside consultant of the Company or one of its Affiliates or will interfere with or restrict in any way the rights of the Company, which are hereby expressly reserved, to terminate the Option Holder’s employment or consultancy (as applicable) with the Company at any time for any reason whatsoever, with or without cause.</w:t>
      </w:r>
    </w:p>
    <w:p>
      <w:pPr>
        <w:spacing w:after="0" w:line="64" w:lineRule="exact"/>
        <w:rPr>
          <w:rFonts w:ascii="Arial" w:cs="Arial" w:eastAsia="Arial" w:hAnsi="Arial"/>
          <w:sz w:val="17"/>
          <w:szCs w:val="17"/>
          <w:color w:val="auto"/>
        </w:rPr>
      </w:pPr>
    </w:p>
    <w:p>
      <w:pPr>
        <w:ind w:left="640" w:hanging="18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Exercisability of Option</w:t>
      </w:r>
      <w:r>
        <w:rPr>
          <w:rFonts w:ascii="Arial" w:cs="Arial" w:eastAsia="Arial" w:hAnsi="Arial"/>
          <w:sz w:val="18"/>
          <w:szCs w:val="18"/>
          <w:color w:val="auto"/>
        </w:rPr>
        <w:t>. During the Option Holder’s lifetime, any Option granted hereunder may be exercised only by the Option Holder.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Option (Time Vest):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Option, except as specifically provided elsewhere under the Plan, shall vest and become exercisable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Years Elapsed from Date of Grant</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Percentage Exercisable</w:t>
            </w:r>
          </w:p>
        </w:tc>
      </w:tr>
      <w:tr>
        <w:trPr>
          <w:trHeight w:val="224"/>
        </w:trPr>
        <w:tc>
          <w:tcPr>
            <w:tcW w:w="5420" w:type="dxa"/>
            <w:vAlign w:val="bottom"/>
          </w:tcPr>
          <w:p>
            <w:pPr>
              <w:jc w:val="right"/>
              <w:ind w:right="2516"/>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5420" w:type="dxa"/>
            <w:vAlign w:val="bottom"/>
          </w:tcPr>
          <w:p>
            <w:pPr>
              <w:jc w:val="right"/>
              <w:ind w:right="2519"/>
              <w:spacing w:after="0"/>
              <w:rPr>
                <w:sz w:val="20"/>
                <w:szCs w:val="20"/>
                <w:color w:val="auto"/>
              </w:rPr>
            </w:pPr>
            <w:r>
              <w:rPr>
                <w:rFonts w:ascii="Arial" w:cs="Arial" w:eastAsia="Arial" w:hAnsi="Arial"/>
                <w:sz w:val="18"/>
                <w:szCs w:val="18"/>
                <w:color w:val="auto"/>
              </w:rPr>
              <w:t>[ ]</w:t>
            </w:r>
          </w:p>
        </w:tc>
      </w:tr>
      <w:tr>
        <w:trPr>
          <w:trHeight w:val="323"/>
        </w:trPr>
        <w:tc>
          <w:tcPr>
            <w:tcW w:w="5420" w:type="dxa"/>
            <w:vAlign w:val="bottom"/>
          </w:tcPr>
          <w:p>
            <w:pPr>
              <w:ind w:left="460"/>
              <w:spacing w:after="0"/>
              <w:rPr>
                <w:sz w:val="20"/>
                <w:szCs w:val="20"/>
                <w:color w:val="auto"/>
              </w:rPr>
            </w:pPr>
            <w:r>
              <w:rPr>
                <w:rFonts w:ascii="Arial" w:cs="Arial" w:eastAsia="Arial" w:hAnsi="Arial"/>
                <w:sz w:val="18"/>
                <w:szCs w:val="18"/>
                <w:color w:val="auto"/>
              </w:rPr>
              <w:t>(b) Option (Time and Hurdle Vest):</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bl>
    <w:p>
      <w:pPr>
        <w:spacing w:after="0" w:line="94" w:lineRule="exact"/>
        <w:rPr>
          <w:sz w:val="20"/>
          <w:szCs w:val="20"/>
          <w:color w:val="auto"/>
        </w:rPr>
      </w:pPr>
    </w:p>
    <w:p>
      <w:pPr>
        <w:ind w:left="240" w:right="60" w:firstLine="225"/>
        <w:spacing w:after="0" w:line="277" w:lineRule="auto"/>
        <w:rPr>
          <w:sz w:val="20"/>
          <w:szCs w:val="20"/>
          <w:color w:val="auto"/>
        </w:rPr>
      </w:pPr>
      <w:r>
        <w:rPr>
          <w:rFonts w:ascii="Arial" w:cs="Arial" w:eastAsia="Arial" w:hAnsi="Arial"/>
          <w:sz w:val="18"/>
          <w:szCs w:val="18"/>
          <w:color w:val="auto"/>
        </w:rPr>
        <w:t>Provided that Option Holder is granted a Time and Hurdle Vest Option as indicated at the top of page 1 above, vesting of this Option shall be subject to both time and “hurdle” conditions as provided in this Section 4(b).</w:t>
      </w:r>
    </w:p>
    <w:p>
      <w:pPr>
        <w:spacing w:after="0" w:line="62" w:lineRule="exact"/>
        <w:rPr>
          <w:sz w:val="20"/>
          <w:szCs w:val="20"/>
          <w:color w:val="auto"/>
        </w:rPr>
      </w:pPr>
    </w:p>
    <w:p>
      <w:pPr>
        <w:ind w:left="240" w:right="520" w:firstLine="222"/>
        <w:spacing w:after="0" w:line="277" w:lineRule="auto"/>
        <w:rPr>
          <w:sz w:val="20"/>
          <w:szCs w:val="20"/>
          <w:color w:val="auto"/>
        </w:rPr>
      </w:pPr>
      <w:r>
        <w:rPr>
          <w:rFonts w:ascii="Arial" w:cs="Arial" w:eastAsia="Arial" w:hAnsi="Arial"/>
          <w:sz w:val="18"/>
          <w:szCs w:val="18"/>
          <w:color w:val="auto"/>
        </w:rPr>
        <w:t>The “hurdle” condition is that, on or before the third anniversary date of grant, the closing price of the Company’s stock as quoted on the Nasdaq Global Select Market shall have maintained an average of $[ ] or more for any thirty day period (the “Hurdle”).</w:t>
      </w:r>
    </w:p>
    <w:p>
      <w:pPr>
        <w:spacing w:after="0" w:line="62" w:lineRule="exact"/>
        <w:rPr>
          <w:sz w:val="20"/>
          <w:szCs w:val="20"/>
          <w:color w:val="auto"/>
        </w:rPr>
      </w:pPr>
    </w:p>
    <w:p>
      <w:pPr>
        <w:ind w:left="240" w:right="420" w:firstLine="225"/>
        <w:spacing w:after="0" w:line="277" w:lineRule="auto"/>
        <w:rPr>
          <w:sz w:val="20"/>
          <w:szCs w:val="20"/>
          <w:color w:val="auto"/>
        </w:rPr>
      </w:pPr>
      <w:r>
        <w:rPr>
          <w:rFonts w:ascii="Arial" w:cs="Arial" w:eastAsia="Arial" w:hAnsi="Arial"/>
          <w:sz w:val="18"/>
          <w:szCs w:val="18"/>
          <w:color w:val="auto"/>
        </w:rPr>
        <w:t>Provided the Hurdle has been met met, this Option, except as specifically provided elsewhere under the Plan, shall vest and become exercisable in increments on each anniversary date commencing on the second anniversary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80" w:type="dxa"/>
            <w:vAlign w:val="bottom"/>
          </w:tcPr>
          <w:p>
            <w:pPr>
              <w:ind w:left="220"/>
              <w:spacing w:after="0"/>
              <w:rPr>
                <w:sz w:val="20"/>
                <w:szCs w:val="20"/>
                <w:color w:val="auto"/>
              </w:rPr>
            </w:pPr>
            <w:r>
              <w:rPr>
                <w:rFonts w:ascii="Arial" w:cs="Arial" w:eastAsia="Arial" w:hAnsi="Arial"/>
                <w:sz w:val="14"/>
                <w:szCs w:val="14"/>
                <w:color w:val="auto"/>
              </w:rPr>
              <w:t>Anniversary of Date of Grant</w:t>
            </w:r>
          </w:p>
        </w:tc>
        <w:tc>
          <w:tcPr>
            <w:tcW w:w="2040" w:type="dxa"/>
            <w:vAlign w:val="bottom"/>
            <w:gridSpan w:val="2"/>
          </w:tcPr>
          <w:p>
            <w:pPr>
              <w:jc w:val="right"/>
              <w:ind w:right="70"/>
              <w:spacing w:after="0"/>
              <w:rPr>
                <w:sz w:val="20"/>
                <w:szCs w:val="20"/>
                <w:color w:val="auto"/>
              </w:rPr>
            </w:pPr>
            <w:r>
              <w:rPr>
                <w:rFonts w:ascii="Arial" w:cs="Arial" w:eastAsia="Arial" w:hAnsi="Arial"/>
                <w:sz w:val="14"/>
                <w:szCs w:val="14"/>
                <w:color w:val="auto"/>
              </w:rPr>
              <w:t>Percentage Exercisable</w:t>
            </w:r>
          </w:p>
        </w:tc>
      </w:tr>
      <w:tr>
        <w:trPr>
          <w:trHeight w:val="209"/>
        </w:trPr>
        <w:tc>
          <w:tcPr>
            <w:tcW w:w="93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Second*</w:t>
            </w:r>
          </w:p>
        </w:tc>
        <w:tc>
          <w:tcPr>
            <w:tcW w:w="54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380" w:type="dxa"/>
            <w:vAlign w:val="bottom"/>
          </w:tcPr>
          <w:p>
            <w:pPr>
              <w:ind w:left="420"/>
              <w:spacing w:after="0"/>
              <w:rPr>
                <w:sz w:val="20"/>
                <w:szCs w:val="20"/>
                <w:color w:val="auto"/>
              </w:rPr>
            </w:pPr>
            <w:r>
              <w:rPr>
                <w:rFonts w:ascii="Arial" w:cs="Arial" w:eastAsia="Arial" w:hAnsi="Arial"/>
                <w:sz w:val="18"/>
                <w:szCs w:val="18"/>
                <w:color w:val="auto"/>
              </w:rPr>
              <w:t>Third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380" w:type="dxa"/>
            <w:vAlign w:val="bottom"/>
          </w:tcPr>
          <w:p>
            <w:pPr>
              <w:ind w:left="420"/>
              <w:spacing w:after="0"/>
              <w:rPr>
                <w:sz w:val="20"/>
                <w:szCs w:val="20"/>
                <w:color w:val="auto"/>
              </w:rPr>
            </w:pPr>
            <w:r>
              <w:rPr>
                <w:rFonts w:ascii="Arial" w:cs="Arial" w:eastAsia="Arial" w:hAnsi="Arial"/>
                <w:sz w:val="18"/>
                <w:szCs w:val="18"/>
                <w:color w:val="auto"/>
              </w:rPr>
              <w:t>Fourth</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380" w:type="dxa"/>
            <w:vAlign w:val="bottom"/>
          </w:tcPr>
          <w:p>
            <w:pPr>
              <w:ind w:left="420"/>
              <w:spacing w:after="0"/>
              <w:rPr>
                <w:sz w:val="20"/>
                <w:szCs w:val="20"/>
                <w:color w:val="auto"/>
              </w:rPr>
            </w:pPr>
            <w:r>
              <w:rPr>
                <w:rFonts w:ascii="Arial" w:cs="Arial" w:eastAsia="Arial" w:hAnsi="Arial"/>
                <w:sz w:val="18"/>
                <w:szCs w:val="18"/>
                <w:color w:val="auto"/>
              </w:rPr>
              <w:t>Fifth</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240" w:right="160" w:hanging="232"/>
        <w:spacing w:after="0" w:line="277" w:lineRule="auto"/>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40% increment will vest on the second anniversary date if the Hurdle has been met by that time and will vest on the day following the day on which the Hurdle is met, if the Hurdle is met at any time between the second and third anniversary date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ind w:left="240"/>
        <w:spacing w:after="0"/>
        <w:rPr>
          <w:sz w:val="20"/>
          <w:szCs w:val="20"/>
          <w:color w:val="auto"/>
        </w:rPr>
      </w:pPr>
      <w:r>
        <w:rPr>
          <w:rFonts w:ascii="Arial" w:cs="Arial" w:eastAsia="Arial" w:hAnsi="Arial"/>
          <w:sz w:val="18"/>
          <w:szCs w:val="18"/>
          <w:color w:val="auto"/>
        </w:rPr>
        <w:t>grant. Each of the other increments will vest on the anniversary date indicated, provided the Hurdle has been met.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Hurdle is not met on or before the third anniversary of the date of grant, the Option will lapse and be of no further effect.</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For purposes of this Section 4, a year shall mean a period of 365 days (or 366 days in the event of a leap year). Notwithstanding the above Option vesting schedule, any Options granted hereunder will become fully exercisable upon the Option Holder’s death or Disability provided the Option has not otherwise expired, been cancelled or terminated.</w:t>
      </w:r>
    </w:p>
    <w:p>
      <w:pPr>
        <w:spacing w:after="0" w:line="73" w:lineRule="exact"/>
        <w:rPr>
          <w:sz w:val="20"/>
          <w:szCs w:val="20"/>
          <w:color w:val="auto"/>
        </w:rPr>
      </w:pPr>
    </w:p>
    <w:p>
      <w:pPr>
        <w:jc w:val="both"/>
        <w:ind w:right="80" w:firstLine="458"/>
        <w:spacing w:after="0" w:line="264" w:lineRule="auto"/>
        <w:tabs>
          <w:tab w:leader="none" w:pos="63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Provided this Option has not expired, been terminated or cancelled in accordance with this Agreement and the Plan, the portion of this Option which is otherwise exercisable pursuant to Section 4 may be exercised in whole or in part, from time to time by delivery to the Company or its designee a written notice which will:</w:t>
      </w:r>
    </w:p>
    <w:p>
      <w:pPr>
        <w:spacing w:after="0" w:line="73" w:lineRule="exact"/>
        <w:rPr>
          <w:rFonts w:ascii="Arial" w:cs="Arial" w:eastAsia="Arial" w:hAnsi="Arial"/>
          <w:sz w:val="18"/>
          <w:szCs w:val="18"/>
          <w:color w:val="auto"/>
        </w:rPr>
      </w:pPr>
    </w:p>
    <w:p>
      <w:pPr>
        <w:ind w:left="700" w:hanging="239"/>
        <w:spacing w:after="0"/>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set forth the number of Shares with respect to which the Option is to be exercised;</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the person exercising this Option is not the Option Holder, be accompanied by satisfactory evidence of such person’s right to exercise this Option;</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240" w:right="420" w:firstLine="221"/>
        <w:spacing w:after="0" w:line="264"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be accompanied by payment in full of the Option Exercise Price in the form of cash, or a certified bank check made payable to the order of the Company or any other means allowable under the Plan which the Company in its sole discretion determines will provide legal consideration for the Shares.</w:t>
      </w:r>
    </w:p>
    <w:p>
      <w:pPr>
        <w:spacing w:after="0" w:line="73" w:lineRule="exact"/>
        <w:rPr>
          <w:rFonts w:ascii="Arial" w:cs="Arial" w:eastAsia="Arial" w:hAnsi="Arial"/>
          <w:sz w:val="18"/>
          <w:szCs w:val="18"/>
          <w:color w:val="auto"/>
        </w:rPr>
      </w:pPr>
    </w:p>
    <w:p>
      <w:pPr>
        <w:jc w:val="both"/>
        <w:ind w:right="160" w:firstLine="458"/>
        <w:spacing w:after="0" w:line="259" w:lineRule="auto"/>
        <w:tabs>
          <w:tab w:leader="none" w:pos="63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Expiration of Option</w:t>
      </w:r>
      <w:r>
        <w:rPr>
          <w:rFonts w:ascii="Arial" w:cs="Arial" w:eastAsia="Arial" w:hAnsi="Arial"/>
          <w:sz w:val="18"/>
          <w:szCs w:val="18"/>
          <w:color w:val="auto"/>
        </w:rPr>
        <w:t>. Unless terminated earlier in accordance with this Agreement or the Plan, the Option granted herein will expire at 5:00 P.M., Central Time, on the 10th Anniversary of the Date of Grant (the “Expiration Date”). If the Expiration Date is a day on which the Company is not open for business, then the Option granted herein will expire, unless earlier terminated in accordance with this Agreement or the Plan, at 5:00 P.M., Central Time, on the last business day before such Expiration Date.</w:t>
      </w:r>
    </w:p>
    <w:p>
      <w:pPr>
        <w:spacing w:after="0" w:line="78" w:lineRule="exact"/>
        <w:rPr>
          <w:rFonts w:ascii="Arial" w:cs="Arial" w:eastAsia="Arial" w:hAnsi="Arial"/>
          <w:sz w:val="18"/>
          <w:szCs w:val="18"/>
          <w:color w:val="auto"/>
        </w:rPr>
      </w:pPr>
    </w:p>
    <w:p>
      <w:pPr>
        <w:ind w:right="40" w:firstLine="458"/>
        <w:spacing w:after="0" w:line="302" w:lineRule="auto"/>
        <w:tabs>
          <w:tab w:leader="none" w:pos="63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Effect of Separation from Service</w:t>
      </w:r>
      <w:r>
        <w:rPr>
          <w:rFonts w:ascii="Arial" w:cs="Arial" w:eastAsia="Arial" w:hAnsi="Arial"/>
          <w:sz w:val="16"/>
          <w:szCs w:val="16"/>
          <w:color w:val="auto"/>
        </w:rPr>
        <w:t>. Except as may otherwise be provided in the employment agreement (if any) or consultant agreement between the Option Holder and the Company, if the Option Holder ceases to be an employee, non-employee director or outside consultant of the Company for any reason, including cessation by death or Disability, the effect of such termination of employment, directorship or consultancy on all or any portion of this Option is as provided below. Notwithstanding anything below to the contrary, in no event may the Option be exercised after the Expiration Date.</w:t>
      </w:r>
    </w:p>
    <w:p>
      <w:pPr>
        <w:spacing w:after="0" w:line="46" w:lineRule="exact"/>
        <w:rPr>
          <w:rFonts w:ascii="Arial" w:cs="Arial" w:eastAsia="Arial" w:hAnsi="Arial"/>
          <w:sz w:val="16"/>
          <w:szCs w:val="16"/>
          <w:color w:val="auto"/>
        </w:rPr>
      </w:pPr>
    </w:p>
    <w:p>
      <w:pPr>
        <w:ind w:left="240" w:right="20" w:firstLine="221"/>
        <w:spacing w:after="0" w:line="277"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Option Holder’s employment is terminated for Cause or the consultant agreement is terminated, the Option will immediately be forfeited as of the time of such termination.</w:t>
      </w:r>
    </w:p>
    <w:p>
      <w:pPr>
        <w:spacing w:after="0" w:line="62" w:lineRule="exact"/>
        <w:rPr>
          <w:rFonts w:ascii="Arial" w:cs="Arial" w:eastAsia="Arial" w:hAnsi="Arial"/>
          <w:sz w:val="18"/>
          <w:szCs w:val="18"/>
          <w:color w:val="auto"/>
        </w:rPr>
      </w:pPr>
    </w:p>
    <w:p>
      <w:pPr>
        <w:ind w:left="240" w:right="620" w:firstLine="221"/>
        <w:spacing w:after="0" w:line="277" w:lineRule="auto"/>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Option Holder ceases to be an employee of the Company due to the Option Holder’s resignation or termination of employment by the Company not for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jc w:val="both"/>
        <w:ind w:left="220" w:right="100"/>
        <w:spacing w:after="0" w:line="259" w:lineRule="auto"/>
        <w:rPr>
          <w:sz w:val="20"/>
          <w:szCs w:val="20"/>
          <w:color w:val="auto"/>
        </w:rPr>
      </w:pPr>
      <w:r>
        <w:rPr>
          <w:rFonts w:ascii="Arial" w:cs="Arial" w:eastAsia="Arial" w:hAnsi="Arial"/>
          <w:sz w:val="18"/>
          <w:szCs w:val="18"/>
          <w:color w:val="auto"/>
        </w:rPr>
        <w:t>Cause, the portion of this Option which was otherwise exercisable pursuant to Section 4 on the date of such termination of employment may be exercised by the Option Holder at any time prior to 5:00 P.M., Central Time, on the ninetieth (90</w:t>
      </w:r>
      <w:r>
        <w:rPr>
          <w:rFonts w:ascii="Arial" w:cs="Arial" w:eastAsia="Arial" w:hAnsi="Arial"/>
          <w:sz w:val="15"/>
          <w:szCs w:val="15"/>
          <w:color w:val="auto"/>
        </w:rPr>
        <w:t>th</w:t>
      </w:r>
      <w:r>
        <w:rPr>
          <w:rFonts w:ascii="Arial" w:cs="Arial" w:eastAsia="Arial" w:hAnsi="Arial"/>
          <w:sz w:val="18"/>
          <w:szCs w:val="18"/>
          <w:color w:val="auto"/>
        </w:rPr>
        <w:t>) calendar day following the effective date of the Option Holder’s termination of employment. If such ninetieth (90</w:t>
      </w:r>
      <w:r>
        <w:rPr>
          <w:rFonts w:ascii="Arial" w:cs="Arial" w:eastAsia="Arial" w:hAnsi="Arial"/>
          <w:sz w:val="15"/>
          <w:szCs w:val="15"/>
          <w:color w:val="auto"/>
        </w:rPr>
        <w:t>th</w:t>
      </w:r>
      <w:r>
        <w:rPr>
          <w:rFonts w:ascii="Arial" w:cs="Arial" w:eastAsia="Arial" w:hAnsi="Arial"/>
          <w:sz w:val="18"/>
          <w:szCs w:val="18"/>
          <w:color w:val="auto"/>
        </w:rPr>
        <w:t>) day is not a business day, then the Option will expire at 5:00 P.M., Central Time, on the first business day immediately following such ninetieth (90</w:t>
      </w:r>
      <w:r>
        <w:rPr>
          <w:rFonts w:ascii="Arial" w:cs="Arial" w:eastAsia="Arial" w:hAnsi="Arial"/>
          <w:sz w:val="15"/>
          <w:szCs w:val="15"/>
          <w:color w:val="auto"/>
        </w:rPr>
        <w:t>th</w:t>
      </w:r>
      <w:r>
        <w:rPr>
          <w:rFonts w:ascii="Arial" w:cs="Arial" w:eastAsia="Arial" w:hAnsi="Arial"/>
          <w:sz w:val="18"/>
          <w:szCs w:val="18"/>
          <w:color w:val="auto"/>
        </w:rPr>
        <w:t>) day.</w:t>
      </w:r>
    </w:p>
    <w:p>
      <w:pPr>
        <w:spacing w:after="0" w:line="79" w:lineRule="exact"/>
        <w:rPr>
          <w:sz w:val="20"/>
          <w:szCs w:val="20"/>
          <w:color w:val="auto"/>
        </w:rPr>
      </w:pPr>
    </w:p>
    <w:p>
      <w:pPr>
        <w:ind w:left="220" w:right="40" w:firstLine="221"/>
        <w:spacing w:after="0" w:line="257" w:lineRule="auto"/>
        <w:tabs>
          <w:tab w:leader="none" w:pos="6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the Option Holder ceases to be an employee, non-employee director or outside consultant of the Company due to the Option Holder’s death or Disability or if the Option Holder dies during the ninety (90) day period provided above, the Option may be exercised by the Option Holder (or his or her beneficiary) at any time prior to 5:00 P.M., Central Time, on the first anniversary date of the effective date of the Option Holder’s termination of employment, directorship or consultancy. If such anniversary date is not a business day, then the Option will expire at 5:00 P.M., Central Time, on the first business day immediately following such first anniversary date.</w:t>
      </w:r>
    </w:p>
    <w:p>
      <w:pPr>
        <w:spacing w:after="0" w:line="80" w:lineRule="exact"/>
        <w:rPr>
          <w:rFonts w:ascii="Arial" w:cs="Arial" w:eastAsia="Arial" w:hAnsi="Arial"/>
          <w:sz w:val="18"/>
          <w:szCs w:val="18"/>
          <w:color w:val="auto"/>
        </w:rPr>
      </w:pPr>
    </w:p>
    <w:p>
      <w:pPr>
        <w:ind w:left="-20" w:firstLine="458"/>
        <w:spacing w:after="0" w:line="264" w:lineRule="auto"/>
        <w:tabs>
          <w:tab w:leader="none" w:pos="61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Long-Term Consideration for Options</w:t>
      </w:r>
      <w:r>
        <w:rPr>
          <w:rFonts w:ascii="Arial" w:cs="Arial" w:eastAsia="Arial" w:hAnsi="Arial"/>
          <w:sz w:val="18"/>
          <w:szCs w:val="18"/>
          <w:color w:val="auto"/>
        </w:rPr>
        <w:t>. Option Holder recognizes and agrees that the Company’s key consideration in granting this Option is securing Option Holder’s long-term commitment to advance and promote the Company’s business interests and objectives. Accordingly, Option Holder agrees to the following as material and indivisible consideration for this Option:</w:t>
      </w:r>
    </w:p>
    <w:p>
      <w:pPr>
        <w:spacing w:after="0" w:line="73" w:lineRule="exact"/>
        <w:rPr>
          <w:rFonts w:ascii="Arial" w:cs="Arial" w:eastAsia="Arial" w:hAnsi="Arial"/>
          <w:sz w:val="18"/>
          <w:szCs w:val="18"/>
          <w:color w:val="auto"/>
        </w:rPr>
      </w:pPr>
    </w:p>
    <w:p>
      <w:pPr>
        <w:ind w:left="220" w:right="100" w:firstLine="671"/>
        <w:spacing w:after="0" w:line="264" w:lineRule="auto"/>
        <w:tabs>
          <w:tab w:leader="none" w:pos="1140"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Fiduciary Duty</w:t>
      </w:r>
      <w:r>
        <w:rPr>
          <w:rFonts w:ascii="Arial" w:cs="Arial" w:eastAsia="Arial" w:hAnsi="Arial"/>
          <w:sz w:val="18"/>
          <w:szCs w:val="18"/>
          <w:color w:val="auto"/>
        </w:rPr>
        <w:t>. During his/her employment, directorship or consultancy with the Company, Option Holder shall devote his/her full energies, abilities, attention and business time to the performance of his/her particular responsibilities and shall not engage in any activity which conflicts or interferes with, or in any way compromises, performance of such responsibilities.</w:t>
      </w:r>
    </w:p>
    <w:p>
      <w:pPr>
        <w:spacing w:after="0" w:line="73" w:lineRule="exact"/>
        <w:rPr>
          <w:rFonts w:ascii="Arial" w:cs="Arial" w:eastAsia="Arial" w:hAnsi="Arial"/>
          <w:sz w:val="18"/>
          <w:szCs w:val="18"/>
          <w:color w:val="auto"/>
        </w:rPr>
      </w:pPr>
    </w:p>
    <w:p>
      <w:pPr>
        <w:ind w:left="220" w:right="60" w:firstLine="671"/>
        <w:spacing w:after="0" w:line="289" w:lineRule="auto"/>
        <w:tabs>
          <w:tab w:leader="none" w:pos="1150" w:val="left"/>
        </w:tabs>
        <w:numPr>
          <w:ilvl w:val="2"/>
          <w:numId w:val="33"/>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Option Holder recognizes that by virtue of his/her employment, directorship or consultancy with the Company, Option Holder will be granted otherwise prohibited access to confidential information and proprietary data which are not known to the Company’s competitors. This information (the “Confidential Information”) includes, but is not limited to, any of the following as it relates to the Company or any of its affiliates (the “Euronet Group”): current and prospective customers; the identity of key contacts at such customers; customers’ particularized preferences and needs; marketing strategies and plans; financial data; personnel data; compensation data; proprietary procedures and processes; and other unique and specialized practices, programs and plans of the Euronet Group and its customers and prospective customers. Option Holder recognizes that this Confidential Information constitutes valuable property of the Euronet Group, developed over a significant period of time and at substantial expense. Accordingly, Option Holder agrees that he/she shall not, at any time during or after his or her employment, directorship or consultancy with the Company, divulge such Confidential Information or make use of it for his/her own purposes or the purposes of any person or entity other than the Euronet Group.</w:t>
      </w:r>
    </w:p>
    <w:p>
      <w:pPr>
        <w:spacing w:after="0" w:line="58" w:lineRule="exact"/>
        <w:rPr>
          <w:rFonts w:ascii="Arial" w:cs="Arial" w:eastAsia="Arial" w:hAnsi="Arial"/>
          <w:sz w:val="16"/>
          <w:szCs w:val="16"/>
          <w:color w:val="auto"/>
        </w:rPr>
      </w:pPr>
    </w:p>
    <w:p>
      <w:pPr>
        <w:ind w:left="220" w:right="720" w:firstLine="671"/>
        <w:spacing w:after="0" w:line="277" w:lineRule="auto"/>
        <w:tabs>
          <w:tab w:leader="none" w:pos="1140"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Non-Solicitation of Customers</w:t>
      </w:r>
      <w:r>
        <w:rPr>
          <w:rFonts w:ascii="Arial" w:cs="Arial" w:eastAsia="Arial" w:hAnsi="Arial"/>
          <w:sz w:val="18"/>
          <w:szCs w:val="18"/>
          <w:color w:val="auto"/>
        </w:rPr>
        <w:t>. Option Holder recognizes that by virtue of his/her employment, directorship or consultancy with the Company, Option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48" w:name="page49"/>
    <w:bookmarkEnd w:id="48"/>
    <w:p>
      <w:pPr>
        <w:ind w:right="20"/>
        <w:spacing w:after="0" w:line="285" w:lineRule="auto"/>
        <w:rPr>
          <w:sz w:val="20"/>
          <w:szCs w:val="20"/>
          <w:color w:val="auto"/>
        </w:rPr>
      </w:pPr>
      <w:r>
        <w:rPr>
          <w:rFonts w:ascii="Arial" w:cs="Arial" w:eastAsia="Arial" w:hAnsi="Arial"/>
          <w:sz w:val="16"/>
          <w:szCs w:val="16"/>
          <w:color w:val="auto"/>
        </w:rPr>
        <w:t>Holder may be introduced to and involved in the solicitation and servicing of existing customers of the Euronet Group and new customers obtained by the Euronet Group during Option Holder’s employment, directorship or consultancy. Option Holder understands and agrees that all efforts expended in soliciting and servicing such customers shall be for the permanent benefit of the Euronet Group. Option Holder further agrees that during his/her employment, directorship or consultancy with the Company, Option Holder will not engage in any conduct which could in any way jeopardize or disturb any of the Euronet Group’s customer relationships. Option Holder also recognizes the Euronet Group’s legitimate interest in protecting, for a reasonable period of time after his/her employment, directorship or consultancy with the Company, the Euronet Group’s customers. Option Holder further acknowledges that the Euronet Group is in the business of providing ATM management services, prepaid financial services, and money transfer operations throughout the world, and that Option Holder has knowledge of proprietary information relating to that worldwide business which, if known to or used to the benefit of a competitor of the Company, would provide a competitor with an unfair competitive advantage with regard to the Company’s relationships with its customers. Accordingly, Option Holder agrees that, for a period beginning on the date hereof and ending two (2) years after termination of his/her employment, directorship or consultancy with the Company, regardless of the reason for such termination, Option Holder shall not, in any location where the Euronet Group conducts business or provides services to customers and in any location where Option Holder provided services to the Company during the term of Option Holder’s employment, directorship or consultancy with the Company, directly or indirectly, without the prior written consent of the Chief Executive Officer of the Company, market, offer, sell or otherwise furnish any products or services similar to, or otherwise competitive with, those offered by the Euronet Group to any customer of the Euronet Group (including, without limitation, the business of providing ATM management services, prepaid processing and related services, and money transfer operations).</w:t>
      </w:r>
    </w:p>
    <w:p>
      <w:pPr>
        <w:spacing w:after="0" w:line="70" w:lineRule="exact"/>
        <w:rPr>
          <w:sz w:val="20"/>
          <w:szCs w:val="20"/>
          <w:color w:val="auto"/>
        </w:rPr>
      </w:pPr>
    </w:p>
    <w:p>
      <w:pPr>
        <w:ind w:right="100" w:firstLine="671"/>
        <w:spacing w:after="0" w:line="297" w:lineRule="auto"/>
        <w:tabs>
          <w:tab w:leader="none" w:pos="93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Option Holder recognizes the substantial expenditure of time and effort which the Euronet Group devotes to the recruitment, hiring, orientation, training and retention of its employees. Accordingly, Option Holder agrees that, for a period beginning on the date hereof and ending two (2) years after termination of his/her employment, directorship or consultancy with the Company, regardless of the reason for such termination, Option Holder shall not, directly or indirectly, for himself or herself or on behalf of any other person or entity, solicit, offer employment to, hire or otherwise retain the services of any person who, during that two (2) year term, is an employee of the Euronet Group.</w:t>
      </w:r>
    </w:p>
    <w:p>
      <w:pPr>
        <w:spacing w:after="0" w:line="50" w:lineRule="exact"/>
        <w:rPr>
          <w:rFonts w:ascii="Arial" w:cs="Arial" w:eastAsia="Arial" w:hAnsi="Arial"/>
          <w:sz w:val="16"/>
          <w:szCs w:val="16"/>
          <w:color w:val="auto"/>
        </w:rPr>
      </w:pPr>
    </w:p>
    <w:p>
      <w:pPr>
        <w:ind w:firstLine="671"/>
        <w:spacing w:after="0" w:line="297" w:lineRule="auto"/>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Survival of Commitments; Potential Recapture of Options and Proceeds</w:t>
      </w:r>
      <w:r>
        <w:rPr>
          <w:rFonts w:ascii="Arial" w:cs="Arial" w:eastAsia="Arial" w:hAnsi="Arial"/>
          <w:sz w:val="16"/>
          <w:szCs w:val="16"/>
          <w:color w:val="auto"/>
        </w:rPr>
        <w:t>. Option Holder acknowledges and agrees that the terms and conditions of this Section 8 regarding confidentiality and non-solicitation shall survive both (i) the termination of his/her employment, directorship or consultancy with the Company for any reason, and (ii) the termination of the Plan for any reason. Option Holder acknowledges and agrees that the grant of Options in this Agreement is just and adequate consideration for the survival of the restrictions set forth herein, and that the Company may pursue any or all of the following remedies if Option Holder either violates the terms of this Section or succeeds for any reason in invalidating any part of it (it being</w:t>
      </w:r>
    </w:p>
    <w:p>
      <w:pPr>
        <w:spacing w:after="0" w:line="13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49" w:name="page50"/>
    <w:bookmarkEnd w:id="49"/>
    <w:p>
      <w:pPr>
        <w:ind w:left="220"/>
        <w:spacing w:after="0"/>
        <w:rPr>
          <w:sz w:val="20"/>
          <w:szCs w:val="20"/>
          <w:color w:val="auto"/>
        </w:rPr>
      </w:pPr>
      <w:r>
        <w:rPr>
          <w:rFonts w:ascii="Arial" w:cs="Arial" w:eastAsia="Arial" w:hAnsi="Arial"/>
          <w:sz w:val="18"/>
          <w:szCs w:val="18"/>
          <w:color w:val="auto"/>
        </w:rPr>
        <w:t>understood that the invalidity of any term hereof would result in a failure of consideration for the Options):</w:t>
      </w:r>
    </w:p>
    <w:p>
      <w:pPr>
        <w:spacing w:after="0" w:line="117" w:lineRule="exact"/>
        <w:rPr>
          <w:sz w:val="20"/>
          <w:szCs w:val="20"/>
          <w:color w:val="auto"/>
        </w:rPr>
      </w:pPr>
    </w:p>
    <w:p>
      <w:pPr>
        <w:ind w:left="1740" w:hanging="388"/>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declaration that the Option is null and void and of no further force or effect;</w:t>
      </w:r>
    </w:p>
    <w:p>
      <w:pPr>
        <w:spacing w:after="0" w:line="130" w:lineRule="exact"/>
        <w:rPr>
          <w:rFonts w:ascii="Arial" w:cs="Arial" w:eastAsia="Arial" w:hAnsi="Arial"/>
          <w:sz w:val="18"/>
          <w:szCs w:val="18"/>
          <w:color w:val="auto"/>
        </w:rPr>
      </w:pPr>
    </w:p>
    <w:p>
      <w:pPr>
        <w:ind w:left="1740" w:right="320" w:hanging="388"/>
        <w:spacing w:after="0" w:line="277" w:lineRule="auto"/>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recapture of any cash paid or Shares issued to Option Holder, or any designee or beneficiary of the Option Holder, pursuant to the Option; or</w:t>
      </w:r>
    </w:p>
    <w:p>
      <w:pPr>
        <w:spacing w:after="0" w:line="75" w:lineRule="exact"/>
        <w:rPr>
          <w:rFonts w:ascii="Arial" w:cs="Arial" w:eastAsia="Arial" w:hAnsi="Arial"/>
          <w:sz w:val="18"/>
          <w:szCs w:val="18"/>
          <w:color w:val="auto"/>
        </w:rPr>
      </w:pPr>
    </w:p>
    <w:p>
      <w:pPr>
        <w:ind w:left="1740" w:right="120" w:hanging="388"/>
        <w:spacing w:after="0" w:line="277" w:lineRule="auto"/>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recapture of the proceeds, plus reasonable interest, with respect to any Shares that are both issued pursuant to this Option and sold or otherwise disposed of by Option Holder, or any designee or beneficiary of Option Holder.</w:t>
      </w:r>
    </w:p>
    <w:p>
      <w:pPr>
        <w:spacing w:after="0" w:line="62"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color w:val="auto"/>
        </w:rPr>
        <w:t>The remedies provided above are not intended to be exclusive, and the Company may seek such other remedies as are provided by law, including equitable relief.</w:t>
      </w:r>
    </w:p>
    <w:p>
      <w:pPr>
        <w:spacing w:after="0" w:line="62" w:lineRule="exact"/>
        <w:rPr>
          <w:sz w:val="20"/>
          <w:szCs w:val="20"/>
          <w:color w:val="auto"/>
        </w:rPr>
      </w:pPr>
    </w:p>
    <w:p>
      <w:pPr>
        <w:ind w:left="-20" w:right="20" w:firstLine="683"/>
        <w:spacing w:after="0" w:line="264" w:lineRule="auto"/>
        <w:tabs>
          <w:tab w:leader="none" w:pos="88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Option Holder acknowledges and agrees that adherence to the foregoing requirements will not prevent him/her from engaging in his/her chosen occupation and earning a satisfactory livelihood following the termination of his/her employment, directorship or consultancy with the Company.</w:t>
      </w:r>
    </w:p>
    <w:p>
      <w:pPr>
        <w:spacing w:after="0" w:line="73" w:lineRule="exact"/>
        <w:rPr>
          <w:rFonts w:ascii="Arial" w:cs="Arial" w:eastAsia="Arial" w:hAnsi="Arial"/>
          <w:sz w:val="18"/>
          <w:szCs w:val="18"/>
          <w:color w:val="auto"/>
        </w:rPr>
      </w:pPr>
    </w:p>
    <w:p>
      <w:pPr>
        <w:ind w:left="-20" w:right="60" w:firstLine="683"/>
        <w:spacing w:after="0" w:line="312" w:lineRule="auto"/>
        <w:tabs>
          <w:tab w:leader="none" w:pos="91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Court May Modify Restrictions</w:t>
      </w:r>
      <w:r>
        <w:rPr>
          <w:rFonts w:ascii="Arial" w:cs="Arial" w:eastAsia="Arial" w:hAnsi="Arial"/>
          <w:sz w:val="16"/>
          <w:szCs w:val="16"/>
          <w:color w:val="auto"/>
        </w:rPr>
        <w:t>. Although the parties have attempted to reasonably limit Option Holder’s activities after the termination of his/her employment, directorship or consultancy with the Company, the parties agree that a Court may modify and enforce the restrictive covenants contained in this Section 8 to the extent that it believes such modifications are necessary for Option Holder’s restrictions under this Section 8 to be reasonable.</w:t>
      </w:r>
    </w:p>
    <w:p>
      <w:pPr>
        <w:spacing w:after="0" w:line="38" w:lineRule="exact"/>
        <w:rPr>
          <w:rFonts w:ascii="Arial" w:cs="Arial" w:eastAsia="Arial" w:hAnsi="Arial"/>
          <w:sz w:val="16"/>
          <w:szCs w:val="16"/>
          <w:color w:val="auto"/>
        </w:rPr>
      </w:pPr>
    </w:p>
    <w:p>
      <w:pPr>
        <w:ind w:left="-20" w:right="220" w:firstLine="683"/>
        <w:spacing w:after="0" w:line="264" w:lineRule="auto"/>
        <w:tabs>
          <w:tab w:leader="none" w:pos="91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parties agree that if any part of this Section 8 or the application of any part of this Section 8 is found by a court to be void, voidable, invalid, unenforceable, or in conflict with any federal or state law, then the remainder of this Agreement shall remain valid, fully enforceable, and shall otherwise be given full force and effect.</w:t>
      </w:r>
    </w:p>
    <w:p>
      <w:pPr>
        <w:spacing w:after="0" w:line="73" w:lineRule="exact"/>
        <w:rPr>
          <w:rFonts w:ascii="Arial" w:cs="Arial" w:eastAsia="Arial" w:hAnsi="Arial"/>
          <w:sz w:val="18"/>
          <w:szCs w:val="18"/>
          <w:color w:val="auto"/>
        </w:rPr>
      </w:pPr>
    </w:p>
    <w:p>
      <w:pPr>
        <w:ind w:left="-20" w:right="20" w:firstLine="458"/>
        <w:spacing w:after="0" w:line="272" w:lineRule="auto"/>
        <w:tabs>
          <w:tab w:leader="none" w:pos="61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under this Agreement to the Company will be addressed to the Secretary of the Company at Euronet Worldwide, Inc., 4601 College Blvd., Leawood, KS 66211, and any notice to be given to the Option Holder will be addressed to him or her at the address provided to the Company. By a notice given pursuant to this Section 9, either party may hereafter designate a different address for notices to be given to him or her. Any notice which is required to be given to the Option Holder will, if the Option Holder is then deceased, be given to the Option Holder’s personal representative if such representative has previously informed the Company of his or her status and address by written notice under this Section 9. Any notice will be deemed duly given when enclosed in a properly sealed envelope or wrapper addressed as aforesaid, deposited (with postage prepaid) in a post office or branch post office regularly maintained by the United States Postal Service.</w:t>
      </w:r>
    </w:p>
    <w:p>
      <w:pPr>
        <w:spacing w:after="0" w:line="69" w:lineRule="exact"/>
        <w:rPr>
          <w:rFonts w:ascii="Arial" w:cs="Arial" w:eastAsia="Arial" w:hAnsi="Arial"/>
          <w:sz w:val="17"/>
          <w:szCs w:val="17"/>
          <w:color w:val="auto"/>
        </w:rPr>
      </w:pPr>
    </w:p>
    <w:p>
      <w:pPr>
        <w:ind w:left="-20" w:firstLine="458"/>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Except as otherwise provided in this Agreement or in the Plan, the Option and the rights and privileges conferred hereby will not be transferred, assigned, pledged or hypothecated in any way (whether by operation of law or otherwise)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50" w:name="page51"/>
    <w:bookmarkEnd w:id="50"/>
    <w:p>
      <w:pPr>
        <w:jc w:val="both"/>
        <w:ind w:right="40"/>
        <w:spacing w:after="0" w:line="286" w:lineRule="auto"/>
        <w:rPr>
          <w:sz w:val="20"/>
          <w:szCs w:val="20"/>
          <w:color w:val="auto"/>
        </w:rPr>
      </w:pPr>
      <w:r>
        <w:rPr>
          <w:rFonts w:ascii="Arial" w:cs="Arial" w:eastAsia="Arial" w:hAnsi="Arial"/>
          <w:sz w:val="17"/>
          <w:szCs w:val="17"/>
          <w:color w:val="auto"/>
        </w:rPr>
        <w:t>will not be subject to execution, attachment, or similar process. Upon any attempt to transfer, assign, pledge, hypothecate or otherwise dispose of the Option, or any right or privilege conferred hereby, or upon the levy of any attachment or similar process upon the rights and privileges conferred hereby, contrary to the provisions hereby, this Option and the rights and privileges conferred hereby will immediately become null and void.</w:t>
      </w:r>
    </w:p>
    <w:p>
      <w:pPr>
        <w:spacing w:after="0" w:line="57" w:lineRule="exact"/>
        <w:rPr>
          <w:sz w:val="20"/>
          <w:szCs w:val="20"/>
          <w:color w:val="auto"/>
        </w:rPr>
      </w:pPr>
    </w:p>
    <w:p>
      <w:pPr>
        <w:ind w:right="40" w:firstLine="458"/>
        <w:spacing w:after="0" w:line="259" w:lineRule="auto"/>
        <w:tabs>
          <w:tab w:leader="none" w:pos="71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Status of Option Holder</w:t>
      </w:r>
      <w:r>
        <w:rPr>
          <w:rFonts w:ascii="Arial" w:cs="Arial" w:eastAsia="Arial" w:hAnsi="Arial"/>
          <w:sz w:val="18"/>
          <w:szCs w:val="18"/>
          <w:color w:val="auto"/>
        </w:rPr>
        <w:t>. The Option Holder shall not be deemed a stockholder of the Company with respect to any of the Shares subject to this Option, except for those Shares that have been purchased and issued to him or her. The Company shall not be required to issue or transfer any Shares purchased upon exercise of this Option until all applicable requirements of law have been complied with and, if applicable, such Shares shall have been duly listed on any securities exchange on which the Shares may then be listed.</w:t>
      </w:r>
    </w:p>
    <w:p>
      <w:pPr>
        <w:spacing w:after="0" w:line="78" w:lineRule="exact"/>
        <w:rPr>
          <w:rFonts w:ascii="Arial" w:cs="Arial" w:eastAsia="Arial" w:hAnsi="Arial"/>
          <w:sz w:val="18"/>
          <w:szCs w:val="18"/>
          <w:color w:val="auto"/>
        </w:rPr>
      </w:pPr>
    </w:p>
    <w:p>
      <w:pPr>
        <w:ind w:right="100" w:firstLine="458"/>
        <w:spacing w:after="0" w:line="297"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The Option Holder agrees to make appropriate arrangements with the Company for satisfaction of any minimum applicable Federal, state or local income tax or payroll tax withholding amounts required by law to be withheld, including the payment to the Company at the time of exercise of an Option of all such taxes and requirements. The Company is not required to issue Shares upon the exercise of this Option unless the Option Holder first satisfies such tax withholding obligations. The Company may, in its discretion, elect to withhold Shares otherwise eligible to be delivered to the Option Holder having a value equal to the minimum amount required to be withheld to cover such applicable tax withholding liability.</w:t>
      </w:r>
    </w:p>
    <w:p>
      <w:pPr>
        <w:spacing w:after="0" w:line="50" w:lineRule="exact"/>
        <w:rPr>
          <w:rFonts w:ascii="Arial" w:cs="Arial" w:eastAsia="Arial" w:hAnsi="Arial"/>
          <w:sz w:val="16"/>
          <w:szCs w:val="16"/>
          <w:color w:val="auto"/>
        </w:rPr>
      </w:pPr>
    </w:p>
    <w:p>
      <w:pPr>
        <w:ind w:left="720" w:hanging="262"/>
        <w:spacing w:after="0"/>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128" w:lineRule="exact"/>
        <w:rPr>
          <w:rFonts w:ascii="Arial" w:cs="Arial" w:eastAsia="Arial" w:hAnsi="Arial"/>
          <w:sz w:val="17"/>
          <w:szCs w:val="17"/>
          <w:color w:val="auto"/>
        </w:rPr>
      </w:pPr>
    </w:p>
    <w:p>
      <w:pPr>
        <w:ind w:right="240" w:firstLine="458"/>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only by a writing executed by the parties hereto which specifically states that it is amending this Agreement.</w:t>
      </w:r>
    </w:p>
    <w:p>
      <w:pPr>
        <w:spacing w:after="0" w:line="62" w:lineRule="exact"/>
        <w:rPr>
          <w:rFonts w:ascii="Arial" w:cs="Arial" w:eastAsia="Arial" w:hAnsi="Arial"/>
          <w:sz w:val="18"/>
          <w:szCs w:val="18"/>
          <w:color w:val="auto"/>
        </w:rPr>
      </w:pPr>
    </w:p>
    <w:p>
      <w:pPr>
        <w:ind w:firstLine="458"/>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will govern the interpretation, validity and performance of this Agreement regardless of the law that might be applied under principles of conflicts of laws.</w:t>
      </w:r>
    </w:p>
    <w:p>
      <w:pPr>
        <w:spacing w:after="0" w:line="62" w:lineRule="exact"/>
        <w:rPr>
          <w:rFonts w:ascii="Arial" w:cs="Arial" w:eastAsia="Arial" w:hAnsi="Arial"/>
          <w:sz w:val="18"/>
          <w:szCs w:val="18"/>
          <w:color w:val="auto"/>
        </w:rPr>
      </w:pPr>
    </w:p>
    <w:p>
      <w:pPr>
        <w:ind w:right="320" w:firstLine="458"/>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Except as expressly stated herein to the contrary, this Agreement will be binding upon and inure to the benefit of the respective heirs, legal representatives, successors and assigns of the parties hereto.</w:t>
      </w:r>
    </w:p>
    <w:p>
      <w:pPr>
        <w:spacing w:after="0" w:line="27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[Signature Page Immediately Follows]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shall be deemed fully executed and delivered by the parties hereto upon the electronic signature/acceptance of the Option Holder via email.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Rick Weller, Executive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469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Financial Officer</w:t>
      </w:r>
    </w:p>
    <w:p>
      <w:pPr>
        <w:spacing w:after="0" w:line="400"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8" w:right="1440" w:bottom="1440" w:gutter="0" w:footer="0" w:header="0"/>
        </w:sectPr>
      </w:pPr>
    </w:p>
    <w:bookmarkStart w:id="52" w:name="page53"/>
    <w:bookmarkEnd w:id="52"/>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2006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Designation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connection with the Non-Qualified Stock Option Agreement (the “</w:t>
      </w:r>
      <w:r>
        <w:rPr>
          <w:rFonts w:ascii="Arial" w:cs="Arial" w:eastAsia="Arial" w:hAnsi="Arial"/>
          <w:sz w:val="18"/>
          <w:szCs w:val="18"/>
          <w:u w:val="single" w:color="auto"/>
          <w:color w:val="auto"/>
        </w:rPr>
        <w:t>Award Agreement</w:t>
      </w:r>
      <w:r>
        <w:rPr>
          <w:rFonts w:ascii="Arial" w:cs="Arial" w:eastAsia="Arial" w:hAnsi="Arial"/>
          <w:sz w:val="18"/>
          <w:szCs w:val="18"/>
          <w:color w:val="auto"/>
        </w:rPr>
        <w:t>”) entered into on ___, 201___between Euronet Worldwide,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___, an individual residing at ___(the “</w:t>
      </w:r>
      <w:r>
        <w:rPr>
          <w:rFonts w:ascii="Arial" w:cs="Arial" w:eastAsia="Arial" w:hAnsi="Arial"/>
          <w:sz w:val="18"/>
          <w:szCs w:val="18"/>
          <w:u w:val="single" w:color="auto"/>
          <w:color w:val="auto"/>
        </w:rPr>
        <w:t>Recipient</w:t>
      </w:r>
      <w:r>
        <w:rPr>
          <w:rFonts w:ascii="Arial" w:cs="Arial" w:eastAsia="Arial" w:hAnsi="Arial"/>
          <w:sz w:val="18"/>
          <w:szCs w:val="18"/>
          <w:color w:val="auto"/>
        </w:rPr>
        <w:t>”), the Recipient hereby designates the person specified below as the beneficiary of the Recipient’s interest in the Options (as defined in the 2006 Stock Incentive Plan of the Company) awarded pursuant to the Award Agreement. This designation shall remain in effect until revoked in writing by the Recipient.</w:t>
      </w:r>
    </w:p>
    <w:p>
      <w:pPr>
        <w:spacing w:after="0" w:line="18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22123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1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22123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160655</wp:posOffset>
            </wp:positionV>
            <wp:extent cx="22123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306705</wp:posOffset>
            </wp:positionV>
            <wp:extent cx="22123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22123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11"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Recipient understands that this designation operates to entitle the above-named beneficiary to the rights conferred by the Award Agreement from the date this form is delivered to the Company until such date as this designation is revoked in writing by the Recipient, including by delivery to the Company of a written designation of beneficiary executed by the Recipient on a later date.</w:t>
      </w:r>
    </w:p>
    <w:p>
      <w:pPr>
        <w:spacing w:after="0" w:line="19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6350</wp:posOffset>
            </wp:positionV>
            <wp:extent cx="25126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[Recipient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County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14605</wp:posOffset>
            </wp:positionV>
            <wp:extent cx="25387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14605</wp:posOffset>
            </wp:positionV>
            <wp:extent cx="25387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Sworn to before me this ______day of ______, 201______</w:t>
      </w: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440" w:right="2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7"/>
              </w:rPr>
              <w:t>Pretax income (loss) from continuing operations before adjustment for income from unconsolidated subsidiaries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Adjusted pretax income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14,817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4,954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Total fixed charges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6,069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pretax income was inadequate to cover fixed charges by $7.1 million for the three months ended March 31, 2009.</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17"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2010</w:t>
      </w:r>
    </w:p>
    <w:p>
      <w:pPr>
        <w:spacing w:after="0" w:line="225"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17"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2010</w:t>
      </w:r>
    </w:p>
    <w:p>
      <w:pPr>
        <w:spacing w:after="0" w:line="225"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2010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6, 2010</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2010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6,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lowerRoman"/>
      <w:start w:val="1"/>
    </w:lvl>
    <w:lvl w:ilvl="1">
      <w:lvlJc w:val="left"/>
      <w:lvlText w:val="%2."/>
      <w:numFmt w:val="decimal"/>
      <w:start w:val="3"/>
    </w:lvl>
  </w:abstractNum>
  <w:abstractNum w:abstractNumId="16">
    <w:nsid w:val="8138641"/>
    <w:multiLevelType w:val="hybridMultilevel"/>
    <w:lvl w:ilvl="0">
      <w:lvlJc w:val="left"/>
      <w:lvlText w:val="(%1)"/>
      <w:numFmt w:val="lowerRoman"/>
      <w:start w:val="1"/>
    </w:lvl>
    <w:lvl w:ilvl="1">
      <w:lvlJc w:val="left"/>
      <w:lvlText w:val="%2"/>
      <w:numFmt w:val="decimal"/>
      <w:start w:val="1"/>
    </w:lvl>
  </w:abstractNum>
  <w:abstractNum w:abstractNumId="17">
    <w:nsid w:val="1E7FF521"/>
    <w:multiLevelType w:val="hybridMultilevel"/>
    <w:lvl w:ilvl="0">
      <w:lvlJc w:val="left"/>
      <w:lvlText w:val="(%1)"/>
      <w:numFmt w:val="lowerRoman"/>
      <w:start w:val="1"/>
    </w:lvl>
  </w:abstractNum>
  <w:abstractNum w:abstractNumId="18">
    <w:nsid w:val="7C3DBD3D"/>
    <w:multiLevelType w:val="hybridMultilevel"/>
    <w:lvl w:ilvl="0">
      <w:lvlJc w:val="left"/>
      <w:lvlText w:val="%1."/>
      <w:numFmt w:val="decimal"/>
      <w:start w:val="5"/>
    </w:lvl>
    <w:lvl w:ilvl="1">
      <w:lvlJc w:val="left"/>
      <w:lvlText w:val="(%2)"/>
      <w:numFmt w:val="lowerLetter"/>
      <w:start w:val="1"/>
    </w:lvl>
  </w:abstractNum>
  <w:abstractNum w:abstractNumId="19">
    <w:nsid w:val="737B8DDC"/>
    <w:multiLevelType w:val="hybridMultilevel"/>
    <w:lvl w:ilvl="0">
      <w:lvlJc w:val="left"/>
      <w:lvlText w:val="(%1)"/>
      <w:numFmt w:val="lowerLetter"/>
      <w:start w:val="2"/>
    </w:lvl>
  </w:abstractNum>
  <w:abstractNum w:abstractNumId="20">
    <w:nsid w:val="6CEAF087"/>
    <w:multiLevelType w:val="hybridMultilevel"/>
    <w:lvl w:ilvl="0">
      <w:lvlJc w:val="left"/>
      <w:lvlText w:val="%1"/>
      <w:numFmt w:val="lowerRoman"/>
      <w:start w:val="1"/>
    </w:lvl>
    <w:lvl w:ilvl="1">
      <w:lvlJc w:val="left"/>
      <w:lvlText w:val="(%2)"/>
      <w:numFmt w:val="lowerLetter"/>
      <w:start w:val="4"/>
    </w:lvl>
  </w:abstractNum>
  <w:abstractNum w:abstractNumId="21">
    <w:nsid w:val="22221A70"/>
    <w:multiLevelType w:val="hybridMultilevel"/>
    <w:lvl w:ilvl="0">
      <w:lvlJc w:val="left"/>
      <w:lvlText w:val="%1"/>
      <w:numFmt w:val="lowerRoman"/>
      <w:start w:val="1"/>
    </w:lvl>
    <w:lvl w:ilvl="1">
      <w:lvlJc w:val="left"/>
      <w:lvlText w:val="(%2)"/>
      <w:numFmt w:val="lowerLetter"/>
      <w:start w:val="9"/>
    </w:lvl>
  </w:abstractNum>
  <w:abstractNum w:abstractNumId="22">
    <w:nsid w:val="4516DDE9"/>
    <w:multiLevelType w:val="hybridMultilevel"/>
    <w:lvl w:ilvl="0">
      <w:lvlJc w:val="left"/>
      <w:lvlText w:val="%1"/>
      <w:numFmt w:val="lowerRoman"/>
      <w:start w:val="1"/>
    </w:lvl>
    <w:lvl w:ilvl="1">
      <w:lvlJc w:val="left"/>
      <w:lvlText w:val="(%2)"/>
      <w:numFmt w:val="lowerLetter"/>
      <w:start w:val="35"/>
    </w:lvl>
  </w:abstractNum>
  <w:abstractNum w:abstractNumId="23">
    <w:nsid w:val="3006C83E"/>
    <w:multiLevelType w:val="hybridMultilevel"/>
    <w:lvl w:ilvl="0">
      <w:lvlJc w:val="left"/>
      <w:lvlText w:val="%1"/>
      <w:numFmt w:val="lowerRoman"/>
      <w:start w:val="1"/>
    </w:lvl>
    <w:lvl w:ilvl="1">
      <w:lvlJc w:val="left"/>
      <w:lvlText w:val="(%2)"/>
      <w:numFmt w:val="lowerLetter"/>
      <w:start w:val="61"/>
    </w:lvl>
  </w:abstractNum>
  <w:abstractNum w:abstractNumId="24">
    <w:nsid w:val="614FD4A1"/>
    <w:multiLevelType w:val="hybridMultilevel"/>
    <w:lvl w:ilvl="0">
      <w:lvlJc w:val="left"/>
      <w:lvlText w:val="(%1)"/>
      <w:numFmt w:val="lowerLetter"/>
      <w:start w:val="6"/>
    </w:lvl>
  </w:abstractNum>
  <w:abstractNum w:abstractNumId="25">
    <w:nsid w:val="419AC241"/>
    <w:multiLevelType w:val="hybridMultilevel"/>
    <w:lvl w:ilvl="0">
      <w:lvlJc w:val="left"/>
      <w:lvlText w:val="%1"/>
      <w:numFmt w:val="decimal"/>
      <w:start w:val="1"/>
    </w:lvl>
    <w:lvl w:ilvl="1">
      <w:lvlJc w:val="left"/>
      <w:lvlText w:val="(%2)"/>
      <w:numFmt w:val="lowerLetter"/>
      <w:start w:val="8"/>
    </w:lvl>
  </w:abstractNum>
  <w:abstractNum w:abstractNumId="26">
    <w:nsid w:val="5577F8E1"/>
    <w:multiLevelType w:val="hybridMultilevel"/>
    <w:lvl w:ilvl="0">
      <w:lvlJc w:val="left"/>
      <w:lvlText w:val="%1."/>
      <w:numFmt w:val="decimal"/>
      <w:start w:val="9"/>
    </w:lvl>
    <w:lvl w:ilvl="1">
      <w:lvlJc w:val="left"/>
      <w:lvlText w:val="%2"/>
      <w:numFmt w:val="lowerLetter"/>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3"/>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5"/>
    </w:lvl>
    <w:lvl w:ilvl="1">
      <w:lvlJc w:val="left"/>
      <w:lvlText w:val="(%2)"/>
      <w:numFmt w:val="lowerLetter"/>
      <w:start w:val="1"/>
    </w:lvl>
  </w:abstractNum>
  <w:abstractNum w:abstractNumId="31">
    <w:nsid w:val="7724C67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2">
    <w:nsid w:val="5C482A9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33">
    <w:nsid w:val="2463B9EA"/>
    <w:multiLevelType w:val="hybridMultilevel"/>
    <w:lvl w:ilvl="0">
      <w:lvlJc w:val="left"/>
      <w:lvlText w:val="(%1)"/>
      <w:numFmt w:val="lowerLetter"/>
      <w:start w:val="4"/>
    </w:lvl>
  </w:abstractNum>
  <w:abstractNum w:abstractNumId="34">
    <w:nsid w:val="5E884ADC"/>
    <w:multiLevelType w:val="hybridMultilevel"/>
    <w:lvl w:ilvl="0">
      <w:lvlJc w:val="left"/>
      <w:lvlText w:val="(%1)"/>
      <w:numFmt w:val="lowerRoman"/>
      <w:start w:val="1"/>
    </w:lvl>
  </w:abstractNum>
  <w:abstractNum w:abstractNumId="35">
    <w:nsid w:val="51EAD36B"/>
    <w:multiLevelType w:val="hybridMultilevel"/>
    <w:lvl w:ilvl="0">
      <w:lvlJc w:val="left"/>
      <w:lvlText w:val="%1"/>
      <w:numFmt w:val="decimal"/>
      <w:start w:val="1"/>
    </w:lvl>
    <w:lvl w:ilvl="1">
      <w:lvlJc w:val="left"/>
      <w:lvlText w:val="(%2)"/>
      <w:numFmt w:val="lowerLetter"/>
      <w:start w:val="6"/>
    </w:lvl>
  </w:abstractNum>
  <w:abstractNum w:abstractNumId="36">
    <w:nsid w:val="2D517796"/>
    <w:multiLevelType w:val="hybridMultilevel"/>
    <w:lvl w:ilvl="0">
      <w:lvlJc w:val="left"/>
      <w:lvlText w:val="%1."/>
      <w:numFmt w:val="decimal"/>
      <w:start w:val="9"/>
    </w:lvl>
    <w:lvl w:ilvl="1">
      <w:lvlJc w:val="left"/>
      <w:lvlText w:val="%2"/>
      <w:numFmt w:val="lowerLetter"/>
      <w:start w:val="1"/>
    </w:lvl>
  </w:abstractNum>
  <w:abstractNum w:abstractNumId="37">
    <w:nsid w:val="580BD78F"/>
    <w:multiLevelType w:val="hybridMultilevel"/>
    <w:lvl w:ilvl="0">
      <w:lvlJc w:val="left"/>
      <w:lvlText w:val="%1."/>
      <w:numFmt w:val="decimal"/>
      <w:start w:val="11"/>
    </w:lvl>
  </w:abstractNum>
  <w:abstractNum w:abstractNumId="38">
    <w:nsid w:val="153EA438"/>
    <w:multiLevelType w:val="hybridMultilevel"/>
    <w:lvl w:ilvl="0">
      <w:lvlJc w:val="left"/>
      <w:lvlText w:val="(%1)"/>
      <w:numFmt w:val="upp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2019-12-10T15:05:11Z</dcterms:created>
  <dcterms:modified xsi:type="dcterms:W3CDTF">2019-12-10T15:05:11Z</dcterms:modified>
</cp:coreProperties>
</file>