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48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3500 COLLEGE BOULEVARD</w:t>
            </w:r>
          </w:p>
        </w:tc>
        <w:tc>
          <w:tcPr>
            <w:tcW w:w="3320" w:type="dxa"/>
            <w:vAlign w:val="bottom"/>
          </w:tcPr>
          <w:p>
            <w:pPr>
              <w:spacing w:after="0"/>
              <w:rPr>
                <w:sz w:val="24"/>
                <w:szCs w:val="24"/>
                <w:color w:val="auto"/>
              </w:rPr>
            </w:pPr>
          </w:p>
        </w:tc>
      </w:t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7"/>
              </w:rPr>
              <w:t>LEAWOOD, KANSAS</w:t>
            </w:r>
          </w:p>
        </w:tc>
        <w:tc>
          <w:tcPr>
            <w:tcW w:w="332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22" w:right="279" w:bottom="1440" w:gutter="0" w:footer="0" w:header="0"/>
        </w:sectPr>
      </w:pPr>
    </w:p>
    <w:p>
      <w:pPr>
        <w:spacing w:after="0" w:line="114"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40"/>
          </w:cols>
          <w:pgMar w:left="240" w:top="122"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July 31, 2010 was 50,990,720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10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w:t>
              </w:r>
            </w:hyperlink>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OPERATIONS</w:t>
              </w:r>
            </w:hyperlink>
          </w:p>
        </w:tc>
        <w:tc>
          <w:tcPr>
            <w:tcW w:w="846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 CONTROLS AND PROCEDURES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PART II—OTHER INFORMATION</w:t>
              </w:r>
            </w:hyperlink>
          </w:p>
        </w:tc>
        <w:tc>
          <w:tcPr>
            <w:tcW w:w="738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2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1. LEGAL PROCEEDINGS</w:t>
              </w:r>
            </w:hyperlink>
          </w:p>
        </w:tc>
        <w:tc>
          <w:tcPr>
            <w:tcW w:w="71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ITEM 1A. RISK FACTORS</w:t>
              </w:r>
            </w:hyperlink>
          </w:p>
        </w:tc>
        <w:tc>
          <w:tcPr>
            <w:tcW w:w="7680" w:type="dxa"/>
            <w:vAlign w:val="bottom"/>
            <w:gridSpan w:val="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 UNREGISTERED SALES OF EQUITY SECURITIES AND USE OF PROCEEDS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OTHER INFORMATION</w:t>
              </w:r>
            </w:hyperlink>
          </w:p>
        </w:tc>
        <w:tc>
          <w:tcPr>
            <w:tcW w:w="4320" w:type="dxa"/>
            <w:vAlign w:val="bottom"/>
            <w:tcBorders>
              <w:top w:val="single" w:sz="8" w:color="0000EE"/>
            </w:tcBorders>
            <w:gridSpan w:val="3"/>
          </w:tcPr>
          <w:p>
            <w:pPr>
              <w:spacing w:after="0"/>
              <w:rPr>
                <w:sz w:val="17"/>
                <w:szCs w:val="17"/>
                <w:color w:val="auto"/>
              </w:rPr>
            </w:pPr>
          </w:p>
        </w:tc>
        <w:tc>
          <w:tcPr>
            <w:tcW w:w="27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1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202,587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72,796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400"/>
              <w:spacing w:after="0" w:line="201" w:lineRule="exact"/>
              <w:rPr>
                <w:sz w:val="20"/>
                <w:szCs w:val="20"/>
                <w:color w:val="auto"/>
              </w:rPr>
            </w:pPr>
            <w:r>
              <w:rPr>
                <w:rFonts w:ascii="Arial" w:cs="Arial" w:eastAsia="Arial" w:hAnsi="Arial"/>
                <w:sz w:val="18"/>
                <w:szCs w:val="18"/>
                <w:color w:val="auto"/>
              </w:rPr>
              <w:t>Trade accounts receivable, net of allowances for doubtful accounts of $13,444 at June 30, 2010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$13,909 at December 31, 2009</w:t>
            </w: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226,105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$148,353 at June 30, 2010 and $153,255 at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81,916</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458,459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$92,047 at June 30, 2010 and $88,924 at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93,580</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7"/>
              </w:rPr>
              <w:t>Other assets, net of accumulated amortization of $18,495 at June 30, 2010 and $16,866 at December 31, 2009</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1,271,619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1,412,679</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207,956</w:t>
            </w:r>
          </w:p>
        </w:tc>
        <w:tc>
          <w:tcPr>
            <w:tcW w:w="160" w:type="dxa"/>
            <w:vAlign w:val="bottom"/>
          </w:tcPr>
          <w:p>
            <w:pPr>
              <w:spacing w:after="0"/>
              <w:rPr>
                <w:sz w:val="18"/>
                <w:szCs w:val="18"/>
                <w:color w:val="auto"/>
              </w:rPr>
            </w:pPr>
          </w:p>
        </w:tc>
        <w:tc>
          <w:tcPr>
            <w:tcW w:w="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212,683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15,756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283,567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762,511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846,176</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Common Stock, $0.02 par value. 90,000,000 shares authorized; 51,216,358 issued at June 30, 2010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51,101,833 issued at December 31, 2009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746,704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250,228 shares at June 30, 2010 and 241,644 shares at December 31, 2009</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(201,796)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reserve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(41,933)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509,108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1,271,619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46,488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45,592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95,054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epay Segment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137,689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145,253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60,051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57,769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116,108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244,228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248,614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482,311</w:t>
            </w:r>
          </w:p>
        </w:tc>
        <w:tc>
          <w:tcPr>
            <w:tcW w:w="0" w:type="dxa"/>
            <w:vAlign w:val="bottom"/>
          </w:tcPr>
          <w:p>
            <w:pPr>
              <w:spacing w:after="0"/>
              <w:rPr>
                <w:sz w:val="1"/>
                <w:szCs w:val="1"/>
                <w:color w:val="auto"/>
              </w:rPr>
            </w:pP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160,836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31,448</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31,085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63,620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21,850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Goodwill and acquired intagible assets impairment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227,686</w:t>
            </w:r>
          </w:p>
        </w:tc>
        <w:tc>
          <w:tcPr>
            <w:tcW w:w="6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230,590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459,460</w:t>
            </w:r>
          </w:p>
        </w:tc>
        <w:tc>
          <w:tcPr>
            <w:tcW w:w="6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16,542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34,771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27,722</w:t>
            </w:r>
          </w:p>
        </w:tc>
        <w:tc>
          <w:tcPr>
            <w:tcW w:w="0" w:type="dxa"/>
            <w:vAlign w:val="bottom"/>
          </w:tcPr>
          <w:p>
            <w:pPr>
              <w:spacing w:after="0"/>
              <w:rPr>
                <w:sz w:val="1"/>
                <w:szCs w:val="1"/>
                <w:color w:val="auto"/>
              </w:rPr>
            </w:pP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Loss on early retirement of debt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(14,423)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(22,280)</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Euronet Worldwide, Inc.</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stockholders — basic: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50,914,453</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50,425,261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50,857,812</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50,358,983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Earnings (loss) per share attributable to Euronet Worldwide, Inc.</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diluted:</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50,914,453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51,240,221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51,777,392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50,821,373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21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2"/>
              </w:rPr>
              <w:t>(41,652)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39,736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(63,631)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18,123</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Unrealized gain on interest rate swaps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(42,807)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56,913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(61,271)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6680" w:type="dxa"/>
            <w:vAlign w:val="bottom"/>
          </w:tcPr>
          <w:p>
            <w:pPr>
              <w:ind w:left="420"/>
              <w:spacing w:after="0"/>
              <w:rPr>
                <w:sz w:val="20"/>
                <w:szCs w:val="20"/>
                <w:color w:val="auto"/>
              </w:rPr>
            </w:pPr>
            <w:r>
              <w:rPr>
                <w:rFonts w:ascii="Arial" w:cs="Arial" w:eastAsia="Arial" w:hAnsi="Arial"/>
                <w:sz w:val="18"/>
                <w:szCs w:val="18"/>
                <w:color w:val="auto"/>
              </w:rPr>
              <w:t>Comprehensive income (loss) attributable to Euronet Worldwide, Inc.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(42,406</w:t>
            </w:r>
          </w:p>
        </w:tc>
        <w:tc>
          <w:tcPr>
            <w:tcW w:w="700" w:type="dxa"/>
            <w:vAlign w:val="bottom"/>
            <w:gridSpan w:val="2"/>
          </w:tcPr>
          <w:p>
            <w:pPr>
              <w:jc w:val="right"/>
              <w:ind w:right="6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56,088</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(61,156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loss,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(5,230)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34,211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3,764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88,038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(14,572)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(28,429)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108,000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(147,172)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(44,388)</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7"/>
              </w:rPr>
              <w:t>Cash and cash equivalents at beginning of period (includes cash of discontinued operations of $552 in 2009)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183,528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181,893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 (includes cash of discontinued operations of $1,086 in 2009)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202,587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161,602</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5,643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business segments. Euronet’s EFT Processing Segment provides end-to-end solutions relating to operations of automated teller machine (“ATM”) and point-of-sale (“POS”) networks, and debit and credit card processing in Europe, the Middle East and Asia Pacific. The epay Segment is one of the world’s largest providers of “top-up” services for prepaid products, primarily prepaid mobile airtime, distributing these products in Europe, the Middle East, Asia Pacific and North America. The Money Transfer Segment is comprised primarily of the Company’s RIA Envia, Inc. (“RIA”) subsidiary and its operating subsidiaries, which is the third-largest global money transfer company based upon revenues and volumes. The Money Transfer Segment provides services through a sending network of agents and Company-owned stores primarily in North America and Europe, disbursing money transfers through a worldwide correspondent network. See Note 8, Segment Information, for additional information about the Company’s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June 30, 2010, and the results of its operations for the three- and six-month periods ended June 30, 2010 and 2009 and its cash flows for the six-month periods ended June 30, 2010 and 2009.</w:t>
      </w:r>
    </w:p>
    <w:p>
      <w:pPr>
        <w:spacing w:after="0" w:line="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2009, including the notes thereto, set forth in the Company’s 2009 Annual Report on Form 10-K.</w:t>
      </w:r>
    </w:p>
    <w:p>
      <w:pPr>
        <w:spacing w:after="0" w:line="38"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six-month periods ended June 30, 2010 are not necessarily indicative of the results to be expected for the full year ending December 31, 2010. Certain amounts in the prior year have been reclassified to conform to current period presentation.</w:t>
      </w:r>
    </w:p>
    <w:p>
      <w:pPr>
        <w:spacing w:after="0" w:line="167"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Multiple-deliverable revenue arrangements</w:t>
      </w:r>
    </w:p>
    <w:p>
      <w:pPr>
        <w:ind w:right="140"/>
        <w:spacing w:after="0" w:line="255" w:lineRule="auto"/>
        <w:rPr>
          <w:sz w:val="20"/>
          <w:szCs w:val="20"/>
          <w:color w:val="auto"/>
        </w:rPr>
      </w:pPr>
      <w:r>
        <w:rPr>
          <w:rFonts w:ascii="Arial" w:cs="Arial" w:eastAsia="Arial" w:hAnsi="Arial"/>
          <w:sz w:val="18"/>
          <w:szCs w:val="18"/>
          <w:color w:val="auto"/>
        </w:rPr>
        <w:t xml:space="preserve">Effective January 1, 2010, the Company adopted the provisions of Financial Accounting Standards Board (“FASB”) Accounting Standards Update (“ASU”) 2009-13, </w:t>
      </w:r>
      <w:r>
        <w:rPr>
          <w:rFonts w:ascii="Arial" w:cs="Arial" w:eastAsia="Arial" w:hAnsi="Arial"/>
          <w:sz w:val="18"/>
          <w:szCs w:val="18"/>
          <w:i w:val="1"/>
          <w:iCs w:val="1"/>
          <w:color w:val="auto"/>
        </w:rPr>
        <w:t>Revenue Recognition (Topic 605): Multiple-Deliverable Revenue Arrangements — a consensus of the FASB Emerging Issues Task Force.</w:t>
      </w:r>
      <w:r>
        <w:rPr>
          <w:rFonts w:ascii="Arial" w:cs="Arial" w:eastAsia="Arial" w:hAnsi="Arial"/>
          <w:sz w:val="18"/>
          <w:szCs w:val="18"/>
          <w:color w:val="auto"/>
        </w:rPr>
        <w:t xml:space="preserve">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The adoption of ASU 2009-13 did not materially affect the Company’s unaudited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June 30, 2010, the Company’s money transfer settlement obligations were $28.1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560" w:type="dxa"/>
            <w:vAlign w:val="bottom"/>
            <w:gridSpan w:val="4"/>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50,914,453</w:t>
            </w:r>
          </w:p>
        </w:tc>
        <w:tc>
          <w:tcPr>
            <w:tcW w:w="6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50,425,261</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50,857,812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50,358,983</w:t>
            </w:r>
          </w:p>
        </w:tc>
      </w:tr>
      <w:tr>
        <w:trPr>
          <w:trHeight w:val="202"/>
        </w:trPr>
        <w:tc>
          <w:tcPr>
            <w:tcW w:w="57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Incremental shares from assumed conversion of stock options and</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814,960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919,580</w:t>
            </w:r>
          </w:p>
        </w:tc>
        <w:tc>
          <w:tcPr>
            <w:tcW w:w="6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462,390</w:t>
            </w: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74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50,914,453</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51,240,221</w:t>
            </w:r>
          </w:p>
        </w:tc>
        <w:tc>
          <w:tcPr>
            <w:tcW w:w="60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51,777,392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50,821,373</w:t>
            </w: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For the three months ended June 30, 2010, the Company incurred a net loss; therefore, diluted loss per share is the same as basic loss per share for the period. The calculation of diluted earnings (loss) per share excludes stock options or shares of restricted stock that are anti-dilutive to the Company’s weighted average common shares outstanding of approximately 4,963,000 and 2,252,000 for the three- and six-month periods ended June 30, 2010, respectively, and of approximately 1,989,000 and 3,868,000 for the three- and six-month periods ended June 30, 2009, respectively.</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3.50% debentures are convertible into 4.3 million shares of common stock only upon the occurrence of certain conditions. Under the if-converted method, the assumed conversion of the 3.50% debentures was anti-dilutive for the three- and six-month periods ended June 30, 2010 and 2009. The Company’s remaining 1.625% convertible debentures outstanding were repurchased in January 2010 and the assumed conversion of the then-outstanding debentures was anti-dilutive for the six-month period ended June 30, 2010 and for the three- and six-month periods ended June 30,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fourth quarter of 2009, the Company sold Euronet Essentis Limited (“Essentis”), a U.K. software entity, in order to focus its investments and resources on its transaction processing businesses. Accordingly, Essentis’s results of operations are shown as discontinued operations in the Unaudited Consolidated Statements of Operations. Previously, Essentis’s results were reported in the EFT Processing Segment. The segment results in Note 8, Segment Information, also reflect the classification of Essentis’s results in discontinued operations. The following amounts related to Essentis have been segregated from continuing operations and reported as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500" w:type="dxa"/>
            <w:vAlign w:val="bottom"/>
          </w:tcPr>
          <w:p>
            <w:pPr>
              <w:spacing w:after="0"/>
              <w:rPr>
                <w:sz w:val="14"/>
                <w:szCs w:val="14"/>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June 30, 2009</w:t>
            </w:r>
          </w:p>
        </w:tc>
        <w:tc>
          <w:tcPr>
            <w:tcW w:w="500" w:type="dxa"/>
            <w:vAlign w:val="bottom"/>
          </w:tcPr>
          <w:p>
            <w:pPr>
              <w:spacing w:after="0"/>
              <w:rPr>
                <w:sz w:val="14"/>
                <w:szCs w:val="14"/>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June 30, 2009</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4"/>
              </w:rPr>
              <w:t>1,835</w:t>
            </w:r>
          </w:p>
        </w:tc>
        <w:tc>
          <w:tcPr>
            <w:tcW w:w="5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8"/>
              </w:rPr>
              <w:t>3,259</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212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r>
      <w:tr>
        <w:trPr>
          <w:trHeight w:val="40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80" w:type="dxa"/>
            <w:vAlign w:val="bottom"/>
          </w:tcPr>
          <w:p>
            <w:pPr>
              <w:jc w:val="right"/>
              <w:ind w:right="169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112,948</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$ 504,650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$ 617,598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Decreases: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(11,295)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(8,073)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(46,191)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(54,264)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93,580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$ 458,459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$ 552,039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2010, is expected to total $22.1 million for 2010, $18.2 million for 2011, $16.0 million for 2012, $12.0 million for 2013, $9.6 million for 2014 and $4.5 million for 2015.</w:t>
      </w:r>
    </w:p>
    <w:p>
      <w:pPr>
        <w:spacing w:after="0" w:line="6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The Company completed the impairment testing in the first quarter of 2009 and recorded an additional non-cash goodwill impairment charge of $8.8 million and a $1.1 million non-cash impairment charge related to a money transfer intangible asset in the first quarter of 2009. The annual impairment test completed in the fourth quarter of 2009 resulted in no impairment charges.</w:t>
      </w:r>
    </w:p>
    <w:p>
      <w:pPr>
        <w:spacing w:after="0" w:line="5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1.625%</w:t>
            </w:r>
          </w:p>
        </w:tc>
        <w:tc>
          <w:tcPr>
            <w:tcW w:w="300" w:type="dxa"/>
            <w:vAlign w:val="bottom"/>
          </w:tcPr>
          <w:p>
            <w:pPr>
              <w:spacing w:after="0"/>
              <w:rPr>
                <w:sz w:val="14"/>
                <w:szCs w:val="14"/>
                <w:color w:val="auto"/>
              </w:rPr>
            </w:pPr>
          </w:p>
        </w:tc>
        <w:tc>
          <w:tcPr>
            <w:tcW w:w="98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Due 2024</w:t>
            </w:r>
          </w:p>
        </w:tc>
        <w:tc>
          <w:tcPr>
            <w:tcW w:w="2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Loan</w:t>
            </w: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39,164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1,227</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$ 153,927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$ 129,000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(39,172)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3,461</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Foreign currency exchange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400"/>
              <w:spacing w:after="0"/>
              <w:rPr>
                <w:sz w:val="20"/>
                <w:szCs w:val="20"/>
                <w:color w:val="auto"/>
              </w:rPr>
            </w:pPr>
            <w:r>
              <w:rPr>
                <w:rFonts w:ascii="Arial" w:cs="Arial" w:eastAsia="Arial" w:hAnsi="Arial"/>
                <w:sz w:val="18"/>
                <w:szCs w:val="18"/>
                <w:color w:val="auto"/>
              </w:rPr>
              <w:t>(gain) loss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157,388</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289,165</w:t>
            </w: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Long-term obligations at June 30,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$ 157,388</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$ 126,100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$ 284,840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January 2010, the Company elected to redeem the remaining $1.2 million of outstanding 1.625% debentures at par. Contractual interest expense for the 1.625% convertible debentures was $1 thousand for the six months ended June 30, 2010. Contractual interest expense was $0.2 million and $0.5 million and discount accretion was $0.7 million and $1.6 million for the three and six months ended June 30, 2009, respectively. The effective interest rate was 1.625% for the period the debentures were outstanding during 2010 and 7.1% for the three and six months ended June 30, 2009.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$17.6 million and</w:t>
      </w:r>
    </w:p>
    <w:p>
      <w:pPr>
        <w:spacing w:after="0" w:line="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$21.1 million as of June 30, 2010 and December 31, 2009, respectively. The discount will be amortized through October 15, 2012. Contractual interest expense was $1.5 million and $3.1 million for the respective three- and six-month periods ended June 30, 2010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2009. Discount accretion was $1.7 million and $3.5 million for the three and six months ended June 30, 2010, respectively, and $1.6 million and $3.2 million for the three and six months ended June 30, 2009, respectively. The effective interest rate was 8.4% for the three and six months ended June 30, 2010 and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2010, the Company had foreign currency forward contracts outstanding with a notional value of $41.3 million, primarily in euros and U.S. dollars, which were not designated as hedges and had a weighted average remaining maturity of 4.1 days. Although the Company enters into foreign currency forward contracts to offset foreign currency exposure related to the notional value of money transfer transactions collected in currencies other than the U.S. dollar, they are not designated as hedges under ASC Topic 815. This is mainly due to the relatively short duration of the contracts, typically 1 to 14 days, and the frequency with which the Company enters into them.</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its fair value is recorded in the Unaudited Consolidated Balance Sheets.</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for derivative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 Balance</w:t>
            </w: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92"/>
              </w:rPr>
              <w:t>Instruments</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540" w:type="dxa"/>
            <w:vAlign w:val="bottom"/>
            <w:vMerge w:val="restart"/>
          </w:tcPr>
          <w:p>
            <w:pPr>
              <w:spacing w:after="0"/>
              <w:rPr>
                <w:sz w:val="10"/>
                <w:szCs w:val="10"/>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1"/>
              </w:rPr>
              <w:t>Sheet Location</w:t>
            </w:r>
          </w:p>
        </w:tc>
        <w:tc>
          <w:tcPr>
            <w:tcW w:w="54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left="258"/>
              <w:spacing w:after="0" w:line="142" w:lineRule="exact"/>
              <w:rPr>
                <w:sz w:val="20"/>
                <w:szCs w:val="20"/>
                <w:color w:val="auto"/>
              </w:rPr>
            </w:pPr>
            <w:r>
              <w:rPr>
                <w:rFonts w:ascii="Arial" w:cs="Arial" w:eastAsia="Arial" w:hAnsi="Arial"/>
                <w:sz w:val="14"/>
                <w:szCs w:val="14"/>
                <w:b w:val="1"/>
                <w:bCs w:val="1"/>
                <w:color w:val="auto"/>
                <w:w w:val="90"/>
              </w:rPr>
              <w:t>Asset Derivatives</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56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under ASC Topic 815</w:t>
            </w:r>
          </w:p>
        </w:tc>
        <w:tc>
          <w:tcPr>
            <w:tcW w:w="5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Foreign currency derivative contracts - gross gains</w:t>
            </w:r>
          </w:p>
        </w:tc>
        <w:tc>
          <w:tcPr>
            <w:tcW w:w="5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Cash and cash equivalents</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 contracts - gross losses</w:t>
            </w:r>
          </w:p>
        </w:tc>
        <w:tc>
          <w:tcPr>
            <w:tcW w:w="56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Cash and cash equivalents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860" w:type="dxa"/>
            <w:vAlign w:val="bottom"/>
          </w:tcPr>
          <w:p>
            <w:pPr>
              <w:ind w:left="4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Liability Derivatives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Embedded derivative in foreign lease</w:t>
            </w:r>
          </w:p>
        </w:tc>
        <w:tc>
          <w:tcPr>
            <w:tcW w:w="56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long-term liabilities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580" w:type="dxa"/>
            <w:vAlign w:val="bottom"/>
            <w:gridSpan w:val="2"/>
            <w:vMerge w:val="restart"/>
          </w:tcPr>
          <w:p>
            <w:pPr>
              <w:jc w:val="right"/>
              <w:ind w:right="2557"/>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6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12"/>
          </w:tcPr>
          <w:p>
            <w:pPr>
              <w:jc w:val="center"/>
              <w:ind w:right="680"/>
              <w:spacing w:after="0"/>
              <w:rPr>
                <w:sz w:val="20"/>
                <w:szCs w:val="20"/>
                <w:color w:val="auto"/>
              </w:rPr>
            </w:pPr>
            <w:r>
              <w:rPr>
                <w:rFonts w:ascii="Arial" w:cs="Arial" w:eastAsia="Arial" w:hAnsi="Arial"/>
                <w:sz w:val="14"/>
                <w:szCs w:val="14"/>
                <w:b w:val="1"/>
                <w:bCs w:val="1"/>
                <w:color w:val="auto"/>
                <w:w w:val="93"/>
              </w:rPr>
              <w:t>Amount of Gain Recognized in</w:t>
            </w:r>
          </w:p>
        </w:tc>
        <w:tc>
          <w:tcPr>
            <w:tcW w:w="21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Amount of Gain Recognized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gridSpan w:val="1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OCI on Derivative (Effective</w:t>
            </w:r>
          </w:p>
        </w:tc>
        <w:tc>
          <w:tcPr>
            <w:tcW w:w="120" w:type="dxa"/>
            <w:vAlign w:val="bottom"/>
          </w:tcPr>
          <w:p>
            <w:pPr>
              <w:spacing w:after="0"/>
              <w:rPr>
                <w:sz w:val="12"/>
                <w:szCs w:val="12"/>
                <w:color w:val="auto"/>
              </w:rPr>
            </w:pPr>
          </w:p>
        </w:tc>
        <w:tc>
          <w:tcPr>
            <w:tcW w:w="202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OCI on Derivative (Effective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6"/>
              </w:rPr>
              <w:t>Portion)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gridSpan w:val="10"/>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b w:val="1"/>
                <w:bCs w:val="1"/>
                <w:color w:val="auto"/>
              </w:rPr>
              <w:t>Derivatives in ASC Topic 815 Cash Flow Hedging Relationships</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w w:val="89"/>
              </w:rPr>
              <w:t>Interest rate swaps related to floating rate debt</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w:t>
            </w: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5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0"/>
          </w:tcPr>
          <w:p>
            <w:pPr>
              <w:jc w:val="center"/>
              <w:ind w:right="580"/>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24"/>
                <w:szCs w:val="24"/>
                <w:color w:val="auto"/>
              </w:rPr>
            </w:pPr>
          </w:p>
        </w:tc>
        <w:tc>
          <w:tcPr>
            <w:tcW w:w="20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10"/>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20" w:type="dxa"/>
            <w:vAlign w:val="bottom"/>
          </w:tcPr>
          <w:p>
            <w:pPr>
              <w:spacing w:after="0"/>
              <w:rPr>
                <w:sz w:val="12"/>
                <w:szCs w:val="12"/>
                <w:color w:val="auto"/>
              </w:rPr>
            </w:pPr>
          </w:p>
        </w:tc>
        <w:tc>
          <w:tcPr>
            <w:tcW w:w="202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jc w:val="center"/>
              <w:ind w:left="321"/>
              <w:spacing w:after="0"/>
              <w:rPr>
                <w:sz w:val="20"/>
                <w:szCs w:val="20"/>
                <w:color w:val="auto"/>
              </w:rPr>
            </w:pPr>
            <w:r>
              <w:rPr>
                <w:rFonts w:ascii="Arial" w:cs="Arial" w:eastAsia="Arial" w:hAnsi="Arial"/>
                <w:sz w:val="14"/>
                <w:szCs w:val="14"/>
                <w:b w:val="1"/>
                <w:bCs w:val="1"/>
                <w:color w:val="auto"/>
                <w:w w:val="93"/>
              </w:rPr>
              <w:t>Location of Gain (Loss)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center"/>
              <w:ind w:left="68"/>
              <w:spacing w:after="0"/>
              <w:rPr>
                <w:sz w:val="20"/>
                <w:szCs w:val="20"/>
                <w:color w:val="auto"/>
              </w:rPr>
            </w:pPr>
            <w:r>
              <w:rPr>
                <w:rFonts w:ascii="Arial" w:cs="Arial" w:eastAsia="Arial" w:hAnsi="Arial"/>
                <w:sz w:val="14"/>
                <w:szCs w:val="14"/>
                <w:b w:val="1"/>
                <w:bCs w:val="1"/>
                <w:color w:val="auto"/>
                <w:w w:val="95"/>
              </w:rPr>
              <w:t>Derivative</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jc w:val="center"/>
              <w:ind w:left="321"/>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9"/>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center"/>
              <w:ind w:right="16"/>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380" w:type="dxa"/>
            <w:vAlign w:val="bottom"/>
          </w:tcPr>
          <w:p>
            <w:pPr>
              <w:jc w:val="center"/>
              <w:ind w:left="341"/>
              <w:spacing w:after="0" w:line="142" w:lineRule="exact"/>
              <w:rPr>
                <w:sz w:val="20"/>
                <w:szCs w:val="20"/>
                <w:color w:val="auto"/>
              </w:rPr>
            </w:pPr>
            <w:r>
              <w:rPr>
                <w:rFonts w:ascii="Arial" w:cs="Arial" w:eastAsia="Arial" w:hAnsi="Arial"/>
                <w:sz w:val="14"/>
                <w:szCs w:val="14"/>
                <w:b w:val="1"/>
                <w:bCs w:val="1"/>
                <w:color w:val="auto"/>
                <w:w w:val="95"/>
              </w:rPr>
              <w:t>Derivative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6"/>
              </w:rPr>
              <w:t>Derivatives not designated as hedging</w:t>
            </w: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 under ASC Topic 815</w:t>
            </w:r>
          </w:p>
        </w:tc>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1"/>
              </w:rPr>
              <w:t>Foreign currency exchange gain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Foreign currency derivative contracts</w:t>
            </w:r>
          </w:p>
        </w:tc>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880" w:type="dxa"/>
            <w:vAlign w:val="bottom"/>
            <w:gridSpan w:val="4"/>
          </w:tcPr>
          <w:p>
            <w:pPr>
              <w:ind w:left="780"/>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ind w:right="300"/>
              <w:spacing w:after="0"/>
              <w:rPr>
                <w:sz w:val="20"/>
                <w:szCs w:val="20"/>
                <w:color w:val="auto"/>
              </w:rPr>
            </w:pPr>
            <w:r>
              <w:rPr>
                <w:rFonts w:ascii="Arial" w:cs="Arial" w:eastAsia="Arial" w:hAnsi="Arial"/>
                <w:sz w:val="18"/>
                <w:szCs w:val="18"/>
                <w:color w:val="auto"/>
              </w:rPr>
              <w:t>(44)</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Foreign currency exchange gain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80" w:type="dxa"/>
            <w:vAlign w:val="bottom"/>
            <w:gridSpan w:val="3"/>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ind w:right="300"/>
              <w:spacing w:after="0"/>
              <w:rPr>
                <w:sz w:val="20"/>
                <w:szCs w:val="20"/>
                <w:color w:val="auto"/>
              </w:rPr>
            </w:pPr>
            <w:r>
              <w:rPr>
                <w:rFonts w:ascii="Arial" w:cs="Arial" w:eastAsia="Arial" w:hAnsi="Arial"/>
                <w:sz w:val="18"/>
                <w:szCs w:val="18"/>
                <w:color w:val="auto"/>
              </w:rPr>
              <w:t>(85)</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318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660" w:right="28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93" w:lineRule="exact"/>
        <w:rPr>
          <w:rFonts w:ascii="Arial" w:cs="Arial" w:eastAsia="Arial" w:hAnsi="Arial"/>
          <w:sz w:val="18"/>
          <w:szCs w:val="18"/>
          <w:color w:val="auto"/>
        </w:rPr>
      </w:pPr>
    </w:p>
    <w:p>
      <w:pPr>
        <w:ind w:left="660" w:right="4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and North America.</w:t>
      </w:r>
    </w:p>
    <w:p>
      <w:pPr>
        <w:spacing w:after="0" w:line="75" w:lineRule="exact"/>
        <w:rPr>
          <w:rFonts w:ascii="Arial" w:cs="Arial" w:eastAsia="Arial" w:hAnsi="Arial"/>
          <w:sz w:val="18"/>
          <w:szCs w:val="18"/>
          <w:color w:val="auto"/>
        </w:rPr>
      </w:pPr>
    </w:p>
    <w:p>
      <w:pPr>
        <w:jc w:val="both"/>
        <w:ind w:left="660" w:right="3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and bill payment services through a sending network of agents and Company-owned stores primarily in North America and Europe, disbursing money transfers through a worldwide correspondent network. Bill payment services are offered primarily in the U.S.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2010 and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For the Three Months Ended June 30, 2010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epay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0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$ 46,488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137,689</w:t>
            </w:r>
          </w:p>
        </w:tc>
        <w:tc>
          <w:tcPr>
            <w:tcW w:w="16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$ 60,051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244,228</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8"/>
              </w:rPr>
              <w:t>22,790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109,754</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28,292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7,154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13,886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7,429</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38,255</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128,159</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8,233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4,240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(5,461)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3"/>
              </w:rPr>
              <w:t>For the Three Months Ended June 30, 2009</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epay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0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$ 45,592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145,253</w:t>
            </w:r>
          </w:p>
        </w:tc>
        <w:tc>
          <w:tcPr>
            <w:tcW w:w="16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$ 57,769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248,614</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8"/>
              </w:rPr>
              <w:t>19,656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117,342</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5,409</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35,793</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133,142</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9,799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12,111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2,681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(6,567)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2"/>
              </w:rPr>
              <w:t>For the Six Months Ended June 30, 2010</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82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epay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$ 95,054</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283,069</w:t>
            </w:r>
          </w:p>
        </w:tc>
        <w:tc>
          <w:tcPr>
            <w:tcW w:w="340" w:type="dxa"/>
            <w:vAlign w:val="bottom"/>
            <w:tcBorders>
              <w:left w:val="single" w:sz="8" w:color="CCEEFF"/>
            </w:tcBorders>
            <w:shd w:val="clear" w:color="auto" w:fill="CCEEFF"/>
          </w:tcPr>
          <w:p>
            <w:pPr>
              <w:spacing w:after="0"/>
              <w:rPr>
                <w:sz w:val="18"/>
                <w:szCs w:val="18"/>
                <w:color w:val="auto"/>
              </w:rPr>
            </w:pPr>
          </w:p>
        </w:tc>
        <w:tc>
          <w:tcPr>
            <w:tcW w:w="16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116,108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494,231</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46,718</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225,353</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54,626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13,104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6,954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7,870</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77,102</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261,469</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110,376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459,460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$ 17,952</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21,600</w:t>
            </w: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5,732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(10,513)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4"/>
                <w:szCs w:val="14"/>
                <w:b w:val="1"/>
                <w:bCs w:val="1"/>
                <w:color w:val="auto"/>
              </w:rPr>
              <w:t>For the Six Months Ended June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epay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91,798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279,776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110,737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482,311</w:t>
            </w:r>
          </w:p>
        </w:tc>
        <w:tc>
          <w:tcPr>
            <w:tcW w:w="0" w:type="dxa"/>
            <w:vAlign w:val="bottom"/>
          </w:tcPr>
          <w:p>
            <w:pPr>
              <w:spacing w:after="0"/>
              <w:rPr>
                <w:sz w:val="1"/>
                <w:szCs w:val="1"/>
                <w:color w:val="auto"/>
              </w:rPr>
            </w:pPr>
          </w:p>
        </w:tc>
      </w:tr>
      <w:tr>
        <w:trPr>
          <w:trHeight w:val="439"/>
        </w:trPr>
        <w:tc>
          <w:tcPr>
            <w:tcW w:w="5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226,377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53,613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14,455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24,923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7,086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70,089</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256,789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115,927</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11,784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454,589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(11,784)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2014 and revolving credit agreements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185"/>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936"/>
              <w:spacing w:after="0" w:line="142" w:lineRule="exact"/>
              <w:rPr>
                <w:sz w:val="20"/>
                <w:szCs w:val="20"/>
                <w:color w:val="auto"/>
              </w:rPr>
            </w:pPr>
            <w:r>
              <w:rPr>
                <w:rFonts w:ascii="Arial" w:cs="Arial" w:eastAsia="Arial" w:hAnsi="Arial"/>
                <w:sz w:val="14"/>
                <w:szCs w:val="14"/>
                <w:b w:val="1"/>
                <w:bCs w:val="1"/>
                <w:color w:val="auto"/>
                <w:w w:val="92"/>
              </w:rPr>
              <w:t>June 30, 2010</w:t>
            </w:r>
          </w:p>
        </w:tc>
        <w:tc>
          <w:tcPr>
            <w:tcW w:w="440" w:type="dxa"/>
            <w:vAlign w:val="bottom"/>
          </w:tcPr>
          <w:p>
            <w:pPr>
              <w:spacing w:after="0"/>
              <w:rPr>
                <w:sz w:val="12"/>
                <w:szCs w:val="12"/>
                <w:color w:val="auto"/>
              </w:rPr>
            </w:pPr>
          </w:p>
        </w:tc>
        <w:tc>
          <w:tcPr>
            <w:tcW w:w="2900" w:type="dxa"/>
            <w:vAlign w:val="bottom"/>
            <w:tcBorders>
              <w:bottom w:val="single" w:sz="8" w:color="auto"/>
            </w:tcBorders>
            <w:gridSpan w:val="3"/>
          </w:tcPr>
          <w:p>
            <w:pPr>
              <w:jc w:val="right"/>
              <w:ind w:right="779"/>
              <w:spacing w:after="0" w:line="142" w:lineRule="exact"/>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0"/>
                <w:szCs w:val="10"/>
                <w:color w:val="auto"/>
              </w:rPr>
            </w:pPr>
          </w:p>
        </w:tc>
        <w:tc>
          <w:tcPr>
            <w:tcW w:w="1220" w:type="dxa"/>
            <w:vAlign w:val="bottom"/>
          </w:tcPr>
          <w:p>
            <w:pPr>
              <w:jc w:val="right"/>
              <w:ind w:right="245"/>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00" w:type="dxa"/>
            <w:vAlign w:val="bottom"/>
          </w:tcPr>
          <w:p>
            <w:pPr>
              <w:jc w:val="right"/>
              <w:ind w:right="13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45"/>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(157,388)</w:t>
            </w: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(160,125)</w:t>
            </w:r>
          </w:p>
        </w:tc>
        <w:tc>
          <w:tcPr>
            <w:tcW w:w="4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8"/>
                <w:szCs w:val="18"/>
                <w:color w:val="auto"/>
              </w:rPr>
              <w:t>(153,927)</w:t>
            </w:r>
          </w:p>
        </w:tc>
        <w:tc>
          <w:tcPr>
            <w:tcW w:w="4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(162,313)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880" w:type="dxa"/>
            <w:vAlign w:val="bottom"/>
            <w:gridSpan w:val="3"/>
          </w:tcPr>
          <w:p>
            <w:pPr>
              <w:jc w:val="right"/>
              <w:ind w:right="216"/>
              <w:spacing w:after="0"/>
              <w:rPr>
                <w:sz w:val="20"/>
                <w:szCs w:val="20"/>
                <w:color w:val="auto"/>
              </w:rPr>
            </w:pPr>
            <w:r>
              <w:rPr>
                <w:rFonts w:ascii="Arial" w:cs="Arial" w:eastAsia="Arial" w:hAnsi="Arial"/>
                <w:sz w:val="18"/>
                <w:szCs w:val="18"/>
                <w:color w:val="auto"/>
              </w:rPr>
              <w:t>39</w:t>
            </w:r>
          </w:p>
        </w:tc>
        <w:tc>
          <w:tcPr>
            <w:tcW w:w="1660" w:type="dxa"/>
            <w:vAlign w:val="bottom"/>
            <w:gridSpan w:val="2"/>
          </w:tcPr>
          <w:p>
            <w:pPr>
              <w:jc w:val="right"/>
              <w:ind w:right="205"/>
              <w:spacing w:after="0"/>
              <w:rPr>
                <w:sz w:val="20"/>
                <w:szCs w:val="20"/>
                <w:color w:val="auto"/>
              </w:rPr>
            </w:pPr>
            <w:r>
              <w:rPr>
                <w:rFonts w:ascii="Arial" w:cs="Arial" w:eastAsia="Arial" w:hAnsi="Arial"/>
                <w:sz w:val="18"/>
                <w:szCs w:val="18"/>
                <w:color w:val="auto"/>
              </w:rPr>
              <w:t>36</w:t>
            </w:r>
          </w:p>
        </w:tc>
        <w:tc>
          <w:tcPr>
            <w:tcW w:w="1680" w:type="dxa"/>
            <w:vAlign w:val="bottom"/>
            <w:gridSpan w:val="2"/>
          </w:tcPr>
          <w:p>
            <w:pPr>
              <w:jc w:val="right"/>
              <w:ind w:right="19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8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(198)</w:t>
            </w:r>
          </w:p>
        </w:tc>
        <w:tc>
          <w:tcPr>
            <w:tcW w:w="16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(220)</w:t>
            </w:r>
          </w:p>
        </w:tc>
        <w:tc>
          <w:tcPr>
            <w:tcW w:w="1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5"/>
              <w:spacing w:after="0"/>
              <w:rPr>
                <w:sz w:val="20"/>
                <w:szCs w:val="20"/>
                <w:color w:val="auto"/>
              </w:rPr>
            </w:pPr>
            <w:r>
              <w:rPr>
                <w:rFonts w:ascii="Arial" w:cs="Arial" w:eastAsia="Arial" w:hAnsi="Arial"/>
                <w:sz w:val="18"/>
                <w:szCs w:val="18"/>
                <w:color w:val="auto"/>
              </w:rPr>
              <w:t>(1,227)</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5,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As of June 30, 2010, the Company had $53.9 million of stand-by letters of credit/bank guarantees issued on its behalf, of which $10.1 million are collateralized by cash deposits held by the respective issuing banks.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2010, the Company granted off balance sheet guarantees for cash in various ATM networks amounting to $18.3 million over the terms of the cash supply agreements and performance guarantees amounting to approximately $27.0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2010, the balance of ATM network cash for which the Company was responsible was approximately $230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8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Company has obtained surety bonds in compliance with money transfer licensing requirements of the applicable governmental authorities.</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June 30, 2010 or December 31,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tax rates for continuing operations were 136.2% and 28.7% for the three-month periods ended June 30, 2010 and 2009, respectively, and were 81.1% and 74.6% for the six-month periods ended June 30, 2010 and 2009, respectively. The effective tax rates were significantly influenced by the foreign currency exchange gains and losses in the respective periods and by the goodwill and acquired intangible assets impairment charge in the first quarter of 2009. Excluding foreign currency exchange results and the impairment charge from pre-tax income, as well as the related tax effects for these items, the Company’s effective tax rates were 36.2% and 46.8% for the three months ended June 30, 2010 and 2009, respectively, and 39.0% and 44.1% for the six months ended June 30, 2010 and 2009, respectively.</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the effective tax rate, as adjusted, for the second quarter of 2010 compared to the applicable statutory rate of 35% is primarily related to the Company’s U.S. tax position. For the three- and six-month periods ended June 30, 2010, the Company has recorded a valuation allowance against its U.S. federal tax net operating losses as it is more likely than not that a tax benefit will not be realized. Accordingly, the federal income tax benefit associated with pre-tax book losses generated by the Company’s U.S. entities has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 been recognized in these periods. For the second quarter of 2010, this increase was partly offset by a $1.0 million adjustment to the reserve related to deferred tax assets generated from prior U.S. net operating losses. Additionally, the effective tax rate for the first half of 2010 is lower due to a $0.8 million adjustment related to a foreign tax law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2007. CES foreign exchange transactions between the U.S and the D.R. generated approximately 0.3% of the Company’s 2009 consolidated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CES are fully cooperating with the DOJ in its investigation.</w:t>
      </w:r>
    </w:p>
    <w:p>
      <w:pPr>
        <w:spacing w:after="0" w:line="10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 As of June 30, 2010, we operate in the following three principal business segments:</w:t>
      </w:r>
    </w:p>
    <w:p>
      <w:pPr>
        <w:spacing w:after="0" w:line="46" w:lineRule="exact"/>
        <w:rPr>
          <w:sz w:val="20"/>
          <w:szCs w:val="20"/>
          <w:color w:val="auto"/>
        </w:rPr>
      </w:pPr>
    </w:p>
    <w:p>
      <w:pPr>
        <w:ind w:left="660" w:right="60" w:hanging="436"/>
        <w:spacing w:after="0" w:line="25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EFT Processing Segment, which processes transactions for a network of 10,408 ATMs and approximately 57,000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93" w:lineRule="exact"/>
        <w:rPr>
          <w:rFonts w:ascii="Arial" w:cs="Arial" w:eastAsia="Arial" w:hAnsi="Arial"/>
          <w:sz w:val="18"/>
          <w:szCs w:val="18"/>
          <w:b w:val="1"/>
          <w:bCs w:val="1"/>
          <w:color w:val="auto"/>
        </w:rPr>
      </w:pPr>
    </w:p>
    <w:p>
      <w:pPr>
        <w:ind w:left="660" w:right="14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epay Segment, which provides distribution of prepaid mobile airtime and other electronic payment products and collection services for various prepaid products, cards and services. Including terminals operated by unconsolidated subsidiaries, we operate a network of approximately 515,000 POS terminals providing electronic processing of prepaid mobile airtime top-up services in Europe, the Middle East, Asia Pacific and North America.</w:t>
      </w:r>
    </w:p>
    <w:p>
      <w:pPr>
        <w:spacing w:after="0" w:line="92" w:lineRule="exact"/>
        <w:rPr>
          <w:rFonts w:ascii="Arial" w:cs="Arial" w:eastAsia="Arial" w:hAnsi="Arial"/>
          <w:sz w:val="18"/>
          <w:szCs w:val="18"/>
          <w:b w:val="1"/>
          <w:bCs w:val="1"/>
          <w:color w:val="auto"/>
        </w:rPr>
      </w:pPr>
    </w:p>
    <w:p>
      <w:pPr>
        <w:ind w:left="66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Money Transfer Segment, which provides global consumer-to-consumer money transfer and bill payment services through a sending network of agents and Company-owned stores primarily in North America and Europe, disbursing money transfers through a worldwide correspondent network. The Money Transfer Segment originates and terminates transactions through a network of approximately 104,400 locations, which include sending agents and Company-owned stores, and an extensive correspondent network in 120 countries. Bill payment services are offered primarily in the U.S.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six processing centers in Europe, two in Asia Pacific and two in North America. We have 25 principal offices in Europe, seven in North America, six in Asia Pacific and one in the Middle East. Our executive offices are located in Leawood, Kansas, USA. With approximately 76% of our revenues denominated in currencies other than the U.S. dollar, any significant changes in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total consolidated revenues for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are derived from fees charged for transactions made by cardholders on our proprietary network of ATMs, as well as fixed management fees and transaction fees we charge to banks for operating ATMs and processing debit and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57% of total consolidated revenues for the first half of 2010,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products offered by this segment include prepaid long distance calling card plans, prepaid Internet plans, prepaid debit cards, prepaid gift cards, prepaid vouchers, transport payments, lottery payments, bill payment, money transfer and prepaid content such as music and games.</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24% of total consolidated revenues for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2010, are primarily derived from charging a transaction fee and retaining the difference between the price of foreign currency purchased at wholesale exchange rates and sold to consumers at retail exchange rates. We have an origination network in place comprised of agents and Company-owned stores primarily in North America and Europe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maintain pricing and interchange fees at current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continued use of third-party providers such as ourselves to supply electronic processing solutions for prepaid content;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fully recover monies collected by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ectPr>
          <w:pgSz w:w="11900" w:h="16838" w:orient="portrait"/>
          <w:cols w:equalWidth="0" w:num="1">
            <w:col w:w="11320"/>
          </w:cols>
          <w:pgMar w:left="240" w:top="419" w:right="339" w:bottom="1" w:gutter="0" w:footer="0" w:header="0"/>
        </w:sectPr>
      </w:pP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business segments, including share-based compensation expense. These services are not directly identifiable with our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six-month periods ended June 30, 2010 and 2009 are summarized in the tables below:</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Year-over-Year Change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Revenues for the Three</w:t>
            </w:r>
          </w:p>
        </w:tc>
        <w:tc>
          <w:tcPr>
            <w:tcW w:w="460" w:type="dxa"/>
            <w:vAlign w:val="bottom"/>
          </w:tcPr>
          <w:p>
            <w:pPr>
              <w:spacing w:after="0"/>
              <w:rPr>
                <w:sz w:val="12"/>
                <w:szCs w:val="12"/>
                <w:color w:val="auto"/>
              </w:rPr>
            </w:pPr>
          </w:p>
        </w:tc>
        <w:tc>
          <w:tcPr>
            <w:tcW w:w="76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Increase</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Revenues for the Six</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Year-over-Year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Months Ended June 30,</w:t>
            </w:r>
          </w:p>
        </w:tc>
        <w:tc>
          <w:tcPr>
            <w:tcW w:w="7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2"/>
                <w:szCs w:val="12"/>
                <w:color w:val="auto"/>
              </w:rPr>
            </w:pPr>
          </w:p>
        </w:tc>
        <w:tc>
          <w:tcPr>
            <w:tcW w:w="10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206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Months Ended June 30,</w:t>
            </w:r>
          </w:p>
        </w:tc>
        <w:tc>
          <w:tcPr>
            <w:tcW w:w="24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Increase</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4"/>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7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2"/>
                <w:szCs w:val="12"/>
                <w:color w:val="auto"/>
              </w:rPr>
            </w:pPr>
          </w:p>
        </w:tc>
        <w:tc>
          <w:tcPr>
            <w:tcW w:w="10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6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3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$ 95,054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epay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137,689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145,253</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(7,564)</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283,069</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279,776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3,293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60,051</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57,769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116,108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110,737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5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244,228</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248,614</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(4,386)</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$ 494,231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482,311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11,920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Operating Income (Loss)</w:t>
            </w:r>
          </w:p>
        </w:tc>
        <w:tc>
          <w:tcPr>
            <w:tcW w:w="120" w:type="dxa"/>
            <w:vAlign w:val="bottom"/>
          </w:tcPr>
          <w:p>
            <w:pPr>
              <w:spacing w:after="0"/>
              <w:rPr>
                <w:sz w:val="24"/>
                <w:szCs w:val="24"/>
                <w:color w:val="auto"/>
              </w:rPr>
            </w:pPr>
          </w:p>
        </w:tc>
        <w:tc>
          <w:tcPr>
            <w:tcW w:w="2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Year-over-Year Change</w:t>
            </w:r>
          </w:p>
        </w:tc>
        <w:tc>
          <w:tcPr>
            <w:tcW w:w="160" w:type="dxa"/>
            <w:vAlign w:val="bottom"/>
          </w:tcPr>
          <w:p>
            <w:pPr>
              <w:spacing w:after="0"/>
              <w:rPr>
                <w:sz w:val="24"/>
                <w:szCs w:val="24"/>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Operating Income (Loss)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5"/>
          </w:tcPr>
          <w:p>
            <w:pPr>
              <w:jc w:val="center"/>
              <w:ind w:right="560"/>
              <w:spacing w:after="0" w:line="119" w:lineRule="exact"/>
              <w:rPr>
                <w:sz w:val="20"/>
                <w:szCs w:val="20"/>
                <w:color w:val="auto"/>
              </w:rPr>
            </w:pPr>
            <w:r>
              <w:rPr>
                <w:rFonts w:ascii="Arial" w:cs="Arial" w:eastAsia="Arial" w:hAnsi="Arial"/>
                <w:sz w:val="13"/>
                <w:szCs w:val="13"/>
                <w:b w:val="1"/>
                <w:bCs w:val="1"/>
                <w:color w:val="auto"/>
              </w:rPr>
              <w:t>for the Three Months</w:t>
            </w:r>
          </w:p>
        </w:tc>
        <w:tc>
          <w:tcPr>
            <w:tcW w:w="76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Increase</w:t>
            </w: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rPr>
              <w:t>for the Six Months Ended</w:t>
            </w: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8"/>
              </w:rPr>
              <w:t>Increase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Ended June 30,</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4"/>
                <w:szCs w:val="14"/>
                <w:color w:val="auto"/>
              </w:rPr>
            </w:pPr>
          </w:p>
        </w:tc>
        <w:tc>
          <w:tcPr>
            <w:tcW w:w="1240" w:type="dxa"/>
            <w:vAlign w:val="bottom"/>
            <w:gridSpan w:val="3"/>
          </w:tcPr>
          <w:p>
            <w:pPr>
              <w:jc w:val="center"/>
              <w:ind w:left="486"/>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0"/>
              </w:rPr>
              <w:t>(Decrease)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2580" w:type="dxa"/>
            <w:vAlign w:val="bottom"/>
            <w:gridSpan w:val="4"/>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7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2"/>
                <w:szCs w:val="12"/>
                <w:color w:val="auto"/>
              </w:rPr>
            </w:pPr>
          </w:p>
        </w:tc>
        <w:tc>
          <w:tcPr>
            <w:tcW w:w="10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$ 17,952</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21,709</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(3,757)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epay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(2,581)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22,987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10,922</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22,003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(2,588)</w:t>
            </w:r>
          </w:p>
        </w:tc>
        <w:tc>
          <w:tcPr>
            <w:tcW w:w="10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45,284</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39,506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5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3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(11,784)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560" w:type="dxa"/>
            <w:vAlign w:val="bottom"/>
            <w:gridSpan w:val="3"/>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16,542</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18,024</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(1,482)</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$ 34,771</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27,722</w:t>
            </w: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7,049</w:t>
            </w:r>
          </w:p>
        </w:tc>
        <w:tc>
          <w:tcPr>
            <w:tcW w:w="5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58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center"/>
              <w:ind w:right="50"/>
              <w:spacing w:after="0"/>
              <w:rPr>
                <w:sz w:val="20"/>
                <w:szCs w:val="20"/>
                <w:color w:val="auto"/>
              </w:rPr>
            </w:pPr>
            <w:r>
              <w:rPr>
                <w:rFonts w:ascii="Arial" w:cs="Arial" w:eastAsia="Arial" w:hAnsi="Arial"/>
                <w:sz w:val="18"/>
                <w:szCs w:val="18"/>
                <w:color w:val="auto"/>
                <w:w w:val="89"/>
              </w:rPr>
              <w:t>18</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Compared to most of the currencies of the foreign countries in which we operate, the U.S. dollar was weaker during the first half of 2010 than it was in the first half of 2009. Because our revenues and local expenses are recorded in the functional currencies of our operating entities, amounts we earned for the first half of 2010 are positively impacted by the weaker U.S. dollar. For the second quarter of 2010, the U.S. dollar was weaker than some currencies of the foreign countries in which we operate and was stronger than others compared to the second quarter of 2009. Considering the results by country and the associated functional currency, we estimate that our operating income for the first half of 2010 benefitted by approximately 8% when compared to the first half of 2009 as a result of changes in foreign currency exchange rates. The impact of changes in foreign currency exchange rates on our consolidated operating income was negligible for the second quarter of 2010 compared to the second quarter of 2009. If significant, in our discussion we will refer to the impact of fluctuation in foreign currency exchange rates in our comparison of operating segment results for the three- and six-month periods ended June 30, 2010 and 2009. To provide further perspective on the impact of foreign currency exchange rates, the following table shows the changes in values relative to the U.S. dollar from the second quarter and first half of 2009 to the second quarter and first half of 2010 of the currencies of the countries in which we have our most significant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3"/>
                <w:szCs w:val="13"/>
                <w:b w:val="1"/>
                <w:bCs w:val="1"/>
                <w:color w:val="auto"/>
              </w:rPr>
              <w:t>Average Translation Rate</w:t>
            </w:r>
          </w:p>
        </w:tc>
        <w:tc>
          <w:tcPr>
            <w:tcW w:w="2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Increase</w:t>
            </w:r>
          </w:p>
        </w:tc>
        <w:tc>
          <w:tcPr>
            <w:tcW w:w="20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b w:val="1"/>
                <w:bCs w:val="1"/>
                <w:color w:val="auto"/>
              </w:rPr>
              <w:t>Average Translation Rate</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jc w:val="right"/>
              <w:ind w:right="12"/>
              <w:spacing w:after="0" w:line="110"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9"/>
                <w:szCs w:val="9"/>
                <w:color w:val="auto"/>
              </w:rPr>
            </w:pPr>
          </w:p>
        </w:tc>
        <w:tc>
          <w:tcPr>
            <w:tcW w:w="1320" w:type="dxa"/>
            <w:vAlign w:val="bottom"/>
          </w:tcPr>
          <w:p>
            <w:pPr>
              <w:jc w:val="right"/>
              <w:ind w:right="16"/>
              <w:spacing w:after="0" w:line="110" w:lineRule="exact"/>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9"/>
                <w:szCs w:val="9"/>
                <w:color w:val="auto"/>
              </w:rPr>
            </w:pPr>
          </w:p>
        </w:tc>
        <w:tc>
          <w:tcPr>
            <w:tcW w:w="8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(Decrease)</w:t>
            </w:r>
          </w:p>
        </w:tc>
        <w:tc>
          <w:tcPr>
            <w:tcW w:w="9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2"/>
              </w:rPr>
              <w:t>Six Months Ended</w:t>
            </w:r>
          </w:p>
        </w:tc>
        <w:tc>
          <w:tcPr>
            <w:tcW w:w="100" w:type="dxa"/>
            <w:vAlign w:val="bottom"/>
          </w:tcPr>
          <w:p>
            <w:pPr>
              <w:spacing w:after="0"/>
              <w:rPr>
                <w:sz w:val="9"/>
                <w:szCs w:val="9"/>
                <w:color w:val="auto"/>
              </w:rPr>
            </w:pPr>
          </w:p>
        </w:tc>
        <w:tc>
          <w:tcPr>
            <w:tcW w:w="10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4"/>
              </w:rPr>
              <w:t>Six Months Ended</w:t>
            </w:r>
          </w:p>
        </w:tc>
        <w:tc>
          <w:tcPr>
            <w:tcW w:w="24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4"/>
              </w:rPr>
              <w:t>Increase</w:t>
            </w:r>
          </w:p>
        </w:tc>
      </w:tr>
      <w:tr>
        <w:trPr>
          <w:trHeight w:val="153"/>
        </w:trPr>
        <w:tc>
          <w:tcPr>
            <w:tcW w:w="4760" w:type="dxa"/>
            <w:vAlign w:val="bottom"/>
            <w:gridSpan w:val="3"/>
          </w:tcPr>
          <w:p>
            <w:pPr>
              <w:spacing w:after="0"/>
              <w:rPr>
                <w:sz w:val="20"/>
                <w:szCs w:val="20"/>
                <w:color w:val="auto"/>
              </w:rPr>
            </w:pPr>
            <w:r>
              <w:rPr>
                <w:rFonts w:ascii="Arial" w:cs="Arial" w:eastAsia="Arial" w:hAnsi="Arial"/>
                <w:sz w:val="13"/>
                <w:szCs w:val="13"/>
                <w:b w:val="1"/>
                <w:bCs w:val="1"/>
                <w:color w:val="auto"/>
              </w:rPr>
              <w:t>Currency</w:t>
            </w:r>
          </w:p>
        </w:tc>
        <w:tc>
          <w:tcPr>
            <w:tcW w:w="1320" w:type="dxa"/>
            <w:vAlign w:val="bottom"/>
          </w:tcPr>
          <w:p>
            <w:pPr>
              <w:jc w:val="right"/>
              <w:ind w:right="232"/>
              <w:spacing w:after="0"/>
              <w:rPr>
                <w:sz w:val="20"/>
                <w:szCs w:val="20"/>
                <w:color w:val="auto"/>
              </w:rPr>
            </w:pPr>
            <w:r>
              <w:rPr>
                <w:rFonts w:ascii="Arial" w:cs="Arial" w:eastAsia="Arial" w:hAnsi="Arial"/>
                <w:sz w:val="13"/>
                <w:szCs w:val="13"/>
                <w:b w:val="1"/>
                <w:bCs w:val="1"/>
                <w:color w:val="auto"/>
              </w:rPr>
              <w:t>June 30, 2010</w:t>
            </w:r>
          </w:p>
        </w:tc>
        <w:tc>
          <w:tcPr>
            <w:tcW w:w="100" w:type="dxa"/>
            <w:vAlign w:val="bottom"/>
          </w:tcPr>
          <w:p>
            <w:pPr>
              <w:spacing w:after="0"/>
              <w:rPr>
                <w:sz w:val="13"/>
                <w:szCs w:val="13"/>
                <w:color w:val="auto"/>
              </w:rPr>
            </w:pPr>
          </w:p>
        </w:tc>
        <w:tc>
          <w:tcPr>
            <w:tcW w:w="1320" w:type="dxa"/>
            <w:vAlign w:val="bottom"/>
          </w:tcPr>
          <w:p>
            <w:pPr>
              <w:jc w:val="right"/>
              <w:ind w:right="236"/>
              <w:spacing w:after="0"/>
              <w:rPr>
                <w:sz w:val="20"/>
                <w:szCs w:val="20"/>
                <w:color w:val="auto"/>
              </w:rPr>
            </w:pPr>
            <w:r>
              <w:rPr>
                <w:rFonts w:ascii="Arial" w:cs="Arial" w:eastAsia="Arial" w:hAnsi="Arial"/>
                <w:sz w:val="13"/>
                <w:szCs w:val="13"/>
                <w:b w:val="1"/>
                <w:bCs w:val="1"/>
                <w:color w:val="auto"/>
              </w:rPr>
              <w:t>June 30, 2009</w:t>
            </w:r>
          </w:p>
        </w:tc>
        <w:tc>
          <w:tcPr>
            <w:tcW w:w="2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Percent</w:t>
            </w: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w w:val="99"/>
              </w:rPr>
              <w:t>June 30, 2010</w:t>
            </w:r>
          </w:p>
        </w:tc>
        <w:tc>
          <w:tcPr>
            <w:tcW w:w="1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June 30, 2009</w:t>
            </w: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Percent</w:t>
            </w:r>
          </w:p>
        </w:tc>
      </w:tr>
      <w:tr>
        <w:trPr>
          <w:trHeight w:val="142"/>
        </w:trPr>
        <w:tc>
          <w:tcPr>
            <w:tcW w:w="20" w:type="dxa"/>
            <w:vAlign w:val="bottom"/>
          </w:tcPr>
          <w:p>
            <w:pPr>
              <w:spacing w:after="0"/>
              <w:rPr>
                <w:sz w:val="12"/>
                <w:szCs w:val="12"/>
                <w:color w:val="auto"/>
              </w:rPr>
            </w:pPr>
          </w:p>
        </w:tc>
        <w:tc>
          <w:tcPr>
            <w:tcW w:w="4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Australian dollar</w:t>
            </w:r>
          </w:p>
        </w:tc>
        <w:tc>
          <w:tcPr>
            <w:tcW w:w="160" w:type="dxa"/>
            <w:vAlign w:val="bottom"/>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$0.8834</w:t>
            </w:r>
          </w:p>
        </w:tc>
        <w:tc>
          <w:tcPr>
            <w:tcW w:w="100" w:type="dxa"/>
            <w:vAlign w:val="bottom"/>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396"/>
              <w:spacing w:after="0" w:line="142" w:lineRule="exact"/>
              <w:rPr>
                <w:sz w:val="20"/>
                <w:szCs w:val="20"/>
                <w:color w:val="auto"/>
              </w:rPr>
            </w:pPr>
            <w:r>
              <w:rPr>
                <w:rFonts w:ascii="Arial" w:cs="Arial" w:eastAsia="Arial" w:hAnsi="Arial"/>
                <w:sz w:val="14"/>
                <w:szCs w:val="14"/>
                <w:color w:val="auto"/>
              </w:rPr>
              <w:t>$0.7615</w:t>
            </w:r>
          </w:p>
        </w:tc>
        <w:tc>
          <w:tcPr>
            <w:tcW w:w="2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16"/>
              <w:spacing w:after="0" w:line="142" w:lineRule="exact"/>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$0.8932</w:t>
            </w:r>
          </w:p>
        </w:tc>
        <w:tc>
          <w:tcPr>
            <w:tcW w:w="100" w:type="dxa"/>
            <w:vAlign w:val="bottom"/>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236"/>
              <w:spacing w:after="0" w:line="142" w:lineRule="exact"/>
              <w:rPr>
                <w:sz w:val="20"/>
                <w:szCs w:val="20"/>
                <w:color w:val="auto"/>
              </w:rPr>
            </w:pPr>
            <w:r>
              <w:rPr>
                <w:rFonts w:ascii="Arial" w:cs="Arial" w:eastAsia="Arial" w:hAnsi="Arial"/>
                <w:sz w:val="14"/>
                <w:szCs w:val="14"/>
                <w:color w:val="auto"/>
              </w:rPr>
              <w:t>$0.7133</w:t>
            </w:r>
          </w:p>
        </w:tc>
        <w:tc>
          <w:tcPr>
            <w:tcW w:w="2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British pound</w:t>
            </w: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$1.4916</w:t>
            </w:r>
          </w:p>
        </w:tc>
        <w:tc>
          <w:tcPr>
            <w:tcW w:w="1420" w:type="dxa"/>
            <w:vAlign w:val="bottom"/>
            <w:gridSpan w:val="2"/>
          </w:tcPr>
          <w:p>
            <w:pPr>
              <w:jc w:val="right"/>
              <w:ind w:right="396"/>
              <w:spacing w:after="0" w:line="149" w:lineRule="exact"/>
              <w:rPr>
                <w:sz w:val="20"/>
                <w:szCs w:val="20"/>
                <w:color w:val="auto"/>
              </w:rPr>
            </w:pPr>
            <w:r>
              <w:rPr>
                <w:rFonts w:ascii="Arial" w:cs="Arial" w:eastAsia="Arial" w:hAnsi="Arial"/>
                <w:sz w:val="14"/>
                <w:szCs w:val="14"/>
                <w:color w:val="auto"/>
              </w:rPr>
              <w:t>$1.5521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$1.5257</w:t>
            </w:r>
          </w:p>
        </w:tc>
        <w:tc>
          <w:tcPr>
            <w:tcW w:w="110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$1.4953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euro</w:t>
            </w: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$1.2739</w:t>
            </w:r>
          </w:p>
        </w:tc>
        <w:tc>
          <w:tcPr>
            <w:tcW w:w="1420" w:type="dxa"/>
            <w:vAlign w:val="bottom"/>
            <w:gridSpan w:val="2"/>
            <w:shd w:val="clear" w:color="auto" w:fill="CCEEFF"/>
          </w:tcPr>
          <w:p>
            <w:pPr>
              <w:jc w:val="right"/>
              <w:ind w:right="396"/>
              <w:spacing w:after="0" w:line="149" w:lineRule="exact"/>
              <w:rPr>
                <w:sz w:val="20"/>
                <w:szCs w:val="20"/>
                <w:color w:val="auto"/>
              </w:rPr>
            </w:pPr>
            <w:r>
              <w:rPr>
                <w:rFonts w:ascii="Arial" w:cs="Arial" w:eastAsia="Arial" w:hAnsi="Arial"/>
                <w:sz w:val="14"/>
                <w:szCs w:val="14"/>
                <w:color w:val="auto"/>
              </w:rPr>
              <w:t>$1.3633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$1.3286</w:t>
            </w:r>
          </w:p>
        </w:tc>
        <w:tc>
          <w:tcPr>
            <w:tcW w:w="1100" w:type="dxa"/>
            <w:vAlign w:val="bottom"/>
            <w:gridSpan w:val="2"/>
            <w:shd w:val="clear" w:color="auto" w:fill="CCEEFF"/>
          </w:tcPr>
          <w:p>
            <w:pPr>
              <w:jc w:val="right"/>
              <w:ind w:right="236"/>
              <w:spacing w:after="0" w:line="149" w:lineRule="exact"/>
              <w:rPr>
                <w:sz w:val="20"/>
                <w:szCs w:val="20"/>
                <w:color w:val="auto"/>
              </w:rPr>
            </w:pPr>
            <w:r>
              <w:rPr>
                <w:rFonts w:ascii="Arial" w:cs="Arial" w:eastAsia="Arial" w:hAnsi="Arial"/>
                <w:sz w:val="14"/>
                <w:szCs w:val="14"/>
                <w:color w:val="auto"/>
              </w:rPr>
              <w:t>$1.3346</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Hungarian forint</w:t>
            </w:r>
          </w:p>
        </w:tc>
        <w:tc>
          <w:tcPr>
            <w:tcW w:w="132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$0.0047</w:t>
            </w:r>
          </w:p>
        </w:tc>
        <w:tc>
          <w:tcPr>
            <w:tcW w:w="1420" w:type="dxa"/>
            <w:vAlign w:val="bottom"/>
            <w:gridSpan w:val="2"/>
          </w:tcPr>
          <w:p>
            <w:pPr>
              <w:jc w:val="right"/>
              <w:ind w:right="396"/>
              <w:spacing w:after="0" w:line="149" w:lineRule="exact"/>
              <w:rPr>
                <w:sz w:val="20"/>
                <w:szCs w:val="20"/>
                <w:color w:val="auto"/>
              </w:rPr>
            </w:pPr>
            <w:r>
              <w:rPr>
                <w:rFonts w:ascii="Arial" w:cs="Arial" w:eastAsia="Arial" w:hAnsi="Arial"/>
                <w:sz w:val="14"/>
                <w:szCs w:val="14"/>
                <w:color w:val="auto"/>
              </w:rPr>
              <w:t>$0.0048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$0.0049</w:t>
            </w:r>
          </w:p>
        </w:tc>
        <w:tc>
          <w:tcPr>
            <w:tcW w:w="110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$0.0046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Indian rupee</w:t>
            </w:r>
          </w:p>
        </w:tc>
        <w:tc>
          <w:tcPr>
            <w:tcW w:w="132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$0.0220</w:t>
            </w:r>
          </w:p>
        </w:tc>
        <w:tc>
          <w:tcPr>
            <w:tcW w:w="1420" w:type="dxa"/>
            <w:vAlign w:val="bottom"/>
            <w:gridSpan w:val="2"/>
            <w:shd w:val="clear" w:color="auto" w:fill="CCEEFF"/>
          </w:tcPr>
          <w:p>
            <w:pPr>
              <w:jc w:val="right"/>
              <w:ind w:right="396"/>
              <w:spacing w:after="0" w:line="149" w:lineRule="exact"/>
              <w:rPr>
                <w:sz w:val="20"/>
                <w:szCs w:val="20"/>
                <w:color w:val="auto"/>
              </w:rPr>
            </w:pPr>
            <w:r>
              <w:rPr>
                <w:rFonts w:ascii="Arial" w:cs="Arial" w:eastAsia="Arial" w:hAnsi="Arial"/>
                <w:sz w:val="14"/>
                <w:szCs w:val="14"/>
                <w:color w:val="auto"/>
              </w:rPr>
              <w:t>$0.0206</w:t>
            </w:r>
          </w:p>
        </w:tc>
        <w:tc>
          <w:tcPr>
            <w:tcW w:w="820" w:type="dxa"/>
            <w:vAlign w:val="bottom"/>
            <w:gridSpan w:val="2"/>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$0.0219</w:t>
            </w:r>
          </w:p>
        </w:tc>
        <w:tc>
          <w:tcPr>
            <w:tcW w:w="1100" w:type="dxa"/>
            <w:vAlign w:val="bottom"/>
            <w:gridSpan w:val="2"/>
            <w:shd w:val="clear" w:color="auto" w:fill="CCEEFF"/>
          </w:tcPr>
          <w:p>
            <w:pPr>
              <w:jc w:val="right"/>
              <w:ind w:right="236"/>
              <w:spacing w:after="0" w:line="149" w:lineRule="exact"/>
              <w:rPr>
                <w:sz w:val="20"/>
                <w:szCs w:val="20"/>
                <w:color w:val="auto"/>
              </w:rPr>
            </w:pPr>
            <w:r>
              <w:rPr>
                <w:rFonts w:ascii="Arial" w:cs="Arial" w:eastAsia="Arial" w:hAnsi="Arial"/>
                <w:sz w:val="14"/>
                <w:szCs w:val="14"/>
                <w:color w:val="auto"/>
              </w:rPr>
              <w:t>$0.0204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82"/>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Polish zloty</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$0.3182</w:t>
            </w:r>
          </w:p>
        </w:tc>
        <w:tc>
          <w:tcPr>
            <w:tcW w:w="1420" w:type="dxa"/>
            <w:vAlign w:val="bottom"/>
            <w:gridSpan w:val="2"/>
          </w:tcPr>
          <w:p>
            <w:pPr>
              <w:jc w:val="right"/>
              <w:ind w:right="396"/>
              <w:spacing w:after="0"/>
              <w:rPr>
                <w:sz w:val="20"/>
                <w:szCs w:val="20"/>
                <w:color w:val="auto"/>
              </w:rPr>
            </w:pPr>
            <w:r>
              <w:rPr>
                <w:rFonts w:ascii="Arial" w:cs="Arial" w:eastAsia="Arial" w:hAnsi="Arial"/>
                <w:sz w:val="14"/>
                <w:szCs w:val="14"/>
                <w:color w:val="auto"/>
              </w:rPr>
              <w:t>$0.3073</w:t>
            </w:r>
          </w:p>
        </w:tc>
        <w:tc>
          <w:tcPr>
            <w:tcW w:w="820" w:type="dxa"/>
            <w:vAlign w:val="bottom"/>
            <w:gridSpan w:val="2"/>
          </w:tcPr>
          <w:p>
            <w:pPr>
              <w:jc w:val="right"/>
              <w:ind w:right="16"/>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4"/>
                <w:szCs w:val="14"/>
                <w:color w:val="auto"/>
              </w:rPr>
              <w:t>$0.3327</w:t>
            </w:r>
          </w:p>
        </w:tc>
        <w:tc>
          <w:tcPr>
            <w:tcW w:w="1100" w:type="dxa"/>
            <w:vAlign w:val="bottom"/>
            <w:gridSpan w:val="2"/>
          </w:tcPr>
          <w:p>
            <w:pPr>
              <w:jc w:val="right"/>
              <w:ind w:right="236"/>
              <w:spacing w:after="0"/>
              <w:rPr>
                <w:sz w:val="20"/>
                <w:szCs w:val="20"/>
                <w:color w:val="auto"/>
              </w:rPr>
            </w:pPr>
            <w:r>
              <w:rPr>
                <w:rFonts w:ascii="Arial" w:cs="Arial" w:eastAsia="Arial" w:hAnsi="Arial"/>
                <w:sz w:val="14"/>
                <w:szCs w:val="14"/>
                <w:color w:val="auto"/>
              </w:rPr>
              <w:t>$0.2992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2010 and 2009 for our EFT Processing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w w:val="88"/>
              </w:rPr>
              <w:t>Year-over-Year Change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91"/>
              </w:rPr>
              <w:t>Year-over-Year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4"/>
          </w:tcPr>
          <w:p>
            <w:pPr>
              <w:jc w:val="right"/>
              <w:ind w:right="89"/>
              <w:spacing w:after="0" w:line="110" w:lineRule="exact"/>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gridSpan w:val="3"/>
          </w:tcPr>
          <w:p>
            <w:pPr>
              <w:jc w:val="right"/>
              <w:ind w:right="300"/>
              <w:spacing w:after="0" w:line="110" w:lineRule="exact"/>
              <w:rPr>
                <w:sz w:val="20"/>
                <w:szCs w:val="20"/>
                <w:color w:val="auto"/>
              </w:rPr>
            </w:pPr>
            <w:r>
              <w:rPr>
                <w:rFonts w:ascii="Arial" w:cs="Arial" w:eastAsia="Arial" w:hAnsi="Arial"/>
                <w:sz w:val="12"/>
                <w:szCs w:val="12"/>
                <w:b w:val="1"/>
                <w:bCs w:val="1"/>
                <w:color w:val="auto"/>
                <w:w w:val="98"/>
              </w:rPr>
              <w:t>Increase</w:t>
            </w: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Increase</w:t>
            </w:r>
          </w:p>
        </w:tc>
        <w:tc>
          <w:tcPr>
            <w:tcW w:w="520" w:type="dxa"/>
            <w:vAlign w:val="bottom"/>
          </w:tcPr>
          <w:p>
            <w:pPr>
              <w:spacing w:after="0"/>
              <w:rPr>
                <w:sz w:val="9"/>
                <w:szCs w:val="9"/>
                <w:color w:val="auto"/>
              </w:rPr>
            </w:pPr>
          </w:p>
        </w:tc>
        <w:tc>
          <w:tcPr>
            <w:tcW w:w="1460" w:type="dxa"/>
            <w:vAlign w:val="bottom"/>
            <w:tcBorders>
              <w:top w:val="single" w:sz="8" w:color="auto"/>
            </w:tcBorders>
            <w:gridSpan w:val="3"/>
          </w:tcPr>
          <w:p>
            <w:pPr>
              <w:jc w:val="right"/>
              <w:ind w:right="240"/>
              <w:spacing w:after="0" w:line="110" w:lineRule="exact"/>
              <w:rPr>
                <w:sz w:val="20"/>
                <w:szCs w:val="20"/>
                <w:color w:val="auto"/>
              </w:rPr>
            </w:pPr>
            <w:r>
              <w:rPr>
                <w:rFonts w:ascii="Arial" w:cs="Arial" w:eastAsia="Arial" w:hAnsi="Arial"/>
                <w:sz w:val="12"/>
                <w:szCs w:val="12"/>
                <w:b w:val="1"/>
                <w:bCs w:val="1"/>
                <w:color w:val="auto"/>
              </w:rPr>
              <w:t>Six Months Ended</w:t>
            </w:r>
          </w:p>
        </w:tc>
        <w:tc>
          <w:tcPr>
            <w:tcW w:w="440" w:type="dxa"/>
            <w:vAlign w:val="bottom"/>
          </w:tcPr>
          <w:p>
            <w:pPr>
              <w:spacing w:after="0"/>
              <w:rPr>
                <w:sz w:val="9"/>
                <w:szCs w:val="9"/>
                <w:color w:val="auto"/>
              </w:rPr>
            </w:pPr>
          </w:p>
        </w:tc>
        <w:tc>
          <w:tcPr>
            <w:tcW w:w="1000" w:type="dxa"/>
            <w:vAlign w:val="bottom"/>
            <w:tcBorders>
              <w:top w:val="single" w:sz="8" w:color="auto"/>
            </w:tcBorders>
            <w:gridSpan w:val="3"/>
          </w:tcPr>
          <w:p>
            <w:pPr>
              <w:jc w:val="right"/>
              <w:ind w:right="480"/>
              <w:spacing w:after="0" w:line="110" w:lineRule="exact"/>
              <w:rPr>
                <w:sz w:val="20"/>
                <w:szCs w:val="20"/>
                <w:color w:val="auto"/>
              </w:rPr>
            </w:pPr>
            <w:r>
              <w:rPr>
                <w:rFonts w:ascii="Arial" w:cs="Arial" w:eastAsia="Arial" w:hAnsi="Arial"/>
                <w:sz w:val="12"/>
                <w:szCs w:val="12"/>
                <w:b w:val="1"/>
                <w:bCs w:val="1"/>
                <w:color w:val="auto"/>
              </w:rPr>
              <w:t>Increase</w:t>
            </w:r>
          </w:p>
        </w:tc>
        <w:tc>
          <w:tcPr>
            <w:tcW w:w="6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Increase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w w:val="80"/>
              </w:rPr>
              <w:t>June 30,</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tcPr>
          <w:p>
            <w:pPr>
              <w:ind w:left="220"/>
              <w:spacing w:after="0"/>
              <w:rPr>
                <w:sz w:val="20"/>
                <w:szCs w:val="20"/>
                <w:color w:val="auto"/>
              </w:rPr>
            </w:pPr>
            <w:r>
              <w:rPr>
                <w:rFonts w:ascii="Arial" w:cs="Arial" w:eastAsia="Arial" w:hAnsi="Arial"/>
                <w:sz w:val="13"/>
                <w:szCs w:val="13"/>
                <w:b w:val="1"/>
                <w:bCs w:val="1"/>
                <w:color w:val="auto"/>
              </w:rPr>
              <w:t>(Decrease)</w:t>
            </w:r>
          </w:p>
        </w:tc>
        <w:tc>
          <w:tcPr>
            <w:tcW w:w="12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4"/>
              </w:rPr>
              <w:t>(Decrease)</w:t>
            </w:r>
          </w:p>
        </w:tc>
        <w:tc>
          <w:tcPr>
            <w:tcW w:w="500" w:type="dxa"/>
            <w:vAlign w:val="bottom"/>
          </w:tcPr>
          <w:p>
            <w:pPr>
              <w:spacing w:after="0"/>
              <w:rPr>
                <w:sz w:val="13"/>
                <w:szCs w:val="13"/>
                <w:color w:val="auto"/>
              </w:rPr>
            </w:pPr>
          </w:p>
        </w:tc>
        <w:tc>
          <w:tcPr>
            <w:tcW w:w="1400" w:type="dxa"/>
            <w:vAlign w:val="bottom"/>
            <w:gridSpan w:val="3"/>
          </w:tcPr>
          <w:p>
            <w:pPr>
              <w:jc w:val="right"/>
              <w:ind w:right="940"/>
              <w:spacing w:after="0"/>
              <w:rPr>
                <w:sz w:val="20"/>
                <w:szCs w:val="20"/>
                <w:color w:val="auto"/>
              </w:rPr>
            </w:pPr>
            <w:r>
              <w:rPr>
                <w:rFonts w:ascii="Arial" w:cs="Arial" w:eastAsia="Arial" w:hAnsi="Arial"/>
                <w:sz w:val="13"/>
                <w:szCs w:val="13"/>
                <w:b w:val="1"/>
                <w:bCs w:val="1"/>
                <w:color w:val="auto"/>
                <w:w w:val="84"/>
              </w:rPr>
              <w:t>June 30,</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(Decrease)</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129"/>
        </w:trPr>
        <w:tc>
          <w:tcPr>
            <w:tcW w:w="3660" w:type="dxa"/>
            <w:vAlign w:val="bottom"/>
            <w:gridSpan w:val="3"/>
          </w:tcPr>
          <w:p>
            <w:pPr>
              <w:spacing w:after="0" w:line="129" w:lineRule="exact"/>
              <w:rPr>
                <w:sz w:val="20"/>
                <w:szCs w:val="20"/>
                <w:color w:val="auto"/>
              </w:rPr>
            </w:pPr>
            <w:r>
              <w:rPr>
                <w:rFonts w:ascii="Arial" w:cs="Arial" w:eastAsia="Arial" w:hAnsi="Arial"/>
                <w:sz w:val="13"/>
                <w:szCs w:val="13"/>
                <w:color w:val="auto"/>
              </w:rPr>
              <w:t>(dollar amounts in thousands)</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96"/>
              </w:rPr>
              <w:t>2010</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9"/>
              <w:spacing w:after="0" w:line="129" w:lineRule="exact"/>
              <w:rPr>
                <w:sz w:val="20"/>
                <w:szCs w:val="20"/>
                <w:color w:val="auto"/>
              </w:rPr>
            </w:pPr>
            <w:r>
              <w:rPr>
                <w:rFonts w:ascii="Arial" w:cs="Arial" w:eastAsia="Arial" w:hAnsi="Arial"/>
                <w:sz w:val="13"/>
                <w:szCs w:val="13"/>
                <w:b w:val="1"/>
                <w:bCs w:val="1"/>
                <w:color w:val="auto"/>
                <w:w w:val="89"/>
              </w:rPr>
              <w:t>2009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right"/>
              <w:ind w:right="300"/>
              <w:spacing w:after="0" w:line="12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1"/>
                <w:szCs w:val="11"/>
                <w:color w:val="auto"/>
              </w:rPr>
            </w:pPr>
          </w:p>
        </w:tc>
        <w:tc>
          <w:tcPr>
            <w:tcW w:w="1080" w:type="dxa"/>
            <w:vAlign w:val="bottom"/>
            <w:gridSpan w:val="2"/>
          </w:tcPr>
          <w:p>
            <w:pPr>
              <w:jc w:val="center"/>
              <w:ind w:right="520"/>
              <w:spacing w:after="0" w:line="129" w:lineRule="exact"/>
              <w:rPr>
                <w:sz w:val="20"/>
                <w:szCs w:val="20"/>
                <w:color w:val="auto"/>
              </w:rPr>
            </w:pPr>
            <w:r>
              <w:rPr>
                <w:rFonts w:ascii="Arial" w:cs="Arial" w:eastAsia="Arial" w:hAnsi="Arial"/>
                <w:sz w:val="13"/>
                <w:szCs w:val="13"/>
                <w:b w:val="1"/>
                <w:bCs w:val="1"/>
                <w:color w:val="auto"/>
                <w:w w:val="83"/>
              </w:rPr>
              <w:t>Percent</w:t>
            </w:r>
          </w:p>
        </w:tc>
        <w:tc>
          <w:tcPr>
            <w:tcW w:w="500" w:type="dxa"/>
            <w:vAlign w:val="bottom"/>
            <w:tcBorders>
              <w:top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2010</w:t>
            </w:r>
          </w:p>
        </w:tc>
        <w:tc>
          <w:tcPr>
            <w:tcW w:w="96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1"/>
                <w:szCs w:val="11"/>
                <w:color w:val="auto"/>
              </w:rPr>
            </w:pPr>
          </w:p>
        </w:tc>
        <w:tc>
          <w:tcPr>
            <w:tcW w:w="1000" w:type="dxa"/>
            <w:vAlign w:val="bottom"/>
            <w:gridSpan w:val="3"/>
          </w:tcPr>
          <w:p>
            <w:pPr>
              <w:jc w:val="right"/>
              <w:ind w:right="500"/>
              <w:spacing w:after="0" w:line="129" w:lineRule="exact"/>
              <w:rPr>
                <w:sz w:val="20"/>
                <w:szCs w:val="20"/>
                <w:color w:val="auto"/>
              </w:rPr>
            </w:pPr>
            <w:r>
              <w:rPr>
                <w:rFonts w:ascii="Arial" w:cs="Arial" w:eastAsia="Arial" w:hAnsi="Arial"/>
                <w:sz w:val="13"/>
                <w:szCs w:val="13"/>
                <w:b w:val="1"/>
                <w:bCs w:val="1"/>
                <w:color w:val="auto"/>
                <w:w w:val="97"/>
              </w:rPr>
              <w:t>Amount</w:t>
            </w: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46,488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3"/>
              </w:rPr>
              <w:t>45,592</w:t>
            </w:r>
          </w:p>
        </w:tc>
        <w:tc>
          <w:tcPr>
            <w:tcW w:w="3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896</w:t>
            </w:r>
          </w:p>
        </w:tc>
        <w:tc>
          <w:tcPr>
            <w:tcW w:w="2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$ 95,054</w:t>
            </w:r>
          </w:p>
        </w:tc>
        <w:tc>
          <w:tcPr>
            <w:tcW w:w="1400" w:type="dxa"/>
            <w:vAlign w:val="bottom"/>
            <w:gridSpan w:val="3"/>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$ 91,798</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3,256</w:t>
            </w:r>
          </w:p>
        </w:tc>
        <w:tc>
          <w:tcPr>
            <w:tcW w:w="8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04"/>
        </w:trPr>
        <w:tc>
          <w:tcPr>
            <w:tcW w:w="366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 operating costs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22,790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19,656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3,134</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46,718</w:t>
            </w:r>
          </w:p>
        </w:tc>
        <w:tc>
          <w:tcPr>
            <w:tcW w:w="14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38,611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8,107</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Salaries and benefits</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6,863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(580)</w:t>
            </w:r>
          </w:p>
        </w:tc>
        <w:tc>
          <w:tcPr>
            <w:tcW w:w="12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13,104</w:t>
            </w:r>
          </w:p>
        </w:tc>
        <w:tc>
          <w:tcPr>
            <w:tcW w:w="14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14,455</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(1,351)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4,157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w:t>
            </w:r>
          </w:p>
        </w:tc>
        <w:tc>
          <w:tcPr>
            <w:tcW w:w="12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7,870</w:t>
            </w:r>
          </w:p>
        </w:tc>
        <w:tc>
          <w:tcPr>
            <w:tcW w:w="14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8,304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4,486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12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9,410</w:t>
            </w:r>
          </w:p>
        </w:tc>
        <w:tc>
          <w:tcPr>
            <w:tcW w:w="14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8,719</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4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38,255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35,793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2,462</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77,102</w:t>
            </w:r>
          </w:p>
        </w:tc>
        <w:tc>
          <w:tcPr>
            <w:tcW w:w="14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70,089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7,013</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640" w:type="dxa"/>
            <w:vAlign w:val="bottom"/>
            <w:gridSpan w:val="2"/>
          </w:tcPr>
          <w:p>
            <w:pPr>
              <w:ind w:left="600"/>
              <w:spacing w:after="0"/>
              <w:rPr>
                <w:sz w:val="20"/>
                <w:szCs w:val="20"/>
                <w:color w:val="auto"/>
              </w:rPr>
            </w:pPr>
            <w:r>
              <w:rPr>
                <w:rFonts w:ascii="Arial" w:cs="Arial" w:eastAsia="Arial" w:hAnsi="Arial"/>
                <w:sz w:val="14"/>
                <w:szCs w:val="14"/>
                <w:color w:val="auto"/>
              </w:rPr>
              <w:t>Operating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8,233</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9,799</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(1,566)</w:t>
            </w:r>
          </w:p>
        </w:tc>
        <w:tc>
          <w:tcPr>
            <w:tcW w:w="1280" w:type="dxa"/>
            <w:vAlign w:val="bottom"/>
            <w:gridSpan w:val="3"/>
          </w:tcPr>
          <w:p>
            <w:pPr>
              <w:jc w:val="right"/>
              <w:ind w:right="360"/>
              <w:spacing w:after="0"/>
              <w:rPr>
                <w:sz w:val="20"/>
                <w:szCs w:val="20"/>
                <w:color w:val="auto"/>
              </w:rPr>
            </w:pPr>
            <w:r>
              <w:rPr>
                <w:rFonts w:ascii="Arial" w:cs="Arial" w:eastAsia="Arial" w:hAnsi="Arial"/>
                <w:sz w:val="14"/>
                <w:szCs w:val="14"/>
                <w:color w:val="auto"/>
              </w:rPr>
              <w:t>(16)%</w:t>
            </w:r>
          </w:p>
        </w:tc>
        <w:tc>
          <w:tcPr>
            <w:tcW w:w="500" w:type="dxa"/>
            <w:vAlign w:val="bottom"/>
          </w:tcPr>
          <w:p>
            <w:pPr>
              <w:jc w:val="right"/>
              <w:spacing w:after="0"/>
              <w:rPr>
                <w:sz w:val="20"/>
                <w:szCs w:val="20"/>
                <w:color w:val="auto"/>
              </w:rPr>
            </w:pPr>
            <w:r>
              <w:rPr>
                <w:rFonts w:ascii="Arial" w:cs="Arial" w:eastAsia="Arial" w:hAnsi="Arial"/>
                <w:sz w:val="14"/>
                <w:szCs w:val="14"/>
                <w:color w:val="auto"/>
                <w:w w:val="88"/>
              </w:rPr>
              <w:t>$ 17,952</w:t>
            </w:r>
          </w:p>
        </w:tc>
        <w:tc>
          <w:tcPr>
            <w:tcW w:w="1400" w:type="dxa"/>
            <w:vAlign w:val="bottom"/>
            <w:gridSpan w:val="3"/>
          </w:tcPr>
          <w:p>
            <w:pPr>
              <w:jc w:val="right"/>
              <w:ind w:right="440"/>
              <w:spacing w:after="0"/>
              <w:rPr>
                <w:sz w:val="20"/>
                <w:szCs w:val="20"/>
                <w:color w:val="auto"/>
              </w:rPr>
            </w:pPr>
            <w:r>
              <w:rPr>
                <w:rFonts w:ascii="Arial" w:cs="Arial" w:eastAsia="Arial" w:hAnsi="Arial"/>
                <w:sz w:val="14"/>
                <w:szCs w:val="14"/>
                <w:color w:val="auto"/>
              </w:rPr>
              <w:t>$ 21,709</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(3,757)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Transactions processed (millions)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23.0</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w:t>
            </w:r>
          </w:p>
        </w:tc>
        <w:tc>
          <w:tcPr>
            <w:tcW w:w="14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327.6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57.1</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ATMs as of June 30</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10,408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1,072</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10,408</w:t>
            </w:r>
          </w:p>
        </w:tc>
        <w:tc>
          <w:tcPr>
            <w:tcW w:w="14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9,336</w:t>
            </w:r>
          </w:p>
        </w:tc>
        <w:tc>
          <w:tcPr>
            <w:tcW w:w="1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1,072</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ATMs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10,370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1,090</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10,288</w:t>
            </w:r>
          </w:p>
        </w:tc>
        <w:tc>
          <w:tcPr>
            <w:tcW w:w="14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9,339</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for the first half of 2010 increased when compared to the first half of 2009 primarily due to the increased transaction fees in Germany, growth in transaction volumes on Cashnet – Euronet’s shared ATM network in India, and the impact of the weaker U.S. dollar. Because our revenues are recorded in the functional currencies of our operating entities, amounts we earn in foreign currencies are positively impacted by the weaker U.S. dollar. These increases were partly offset by contract termination fees totaling $4.4 million during the first quarter of 2009, reductions in interchange fee revenues in Poland beginning in the second quarter of 2010 and by a decrease in revenues from our software business, mainly due to the sale of a significant license during the first quarter of 2009 to an entity in which Euronet has a 10% stake.</w:t>
      </w:r>
    </w:p>
    <w:p>
      <w:pPr>
        <w:spacing w:after="0" w:line="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Average monthly revenue per ATM was $1,494 for the second quarter and $1,540 for the first half of 2010, compared to $1,638 for the second quarter and first half of 2009. The decrease in the second quarter of 2010 from the same period in 2009 is primarily due to the reduction in Visa Europe and MasterCard interchange fee revenues in Poland that took effect in the second quarter of 2010. The decrease in the first half of 2010 from the same period in 2009 was also impacted by the non-recurring contract termination fees discussed above. Revenue per transaction was $0.24 for the second quarter and $0.25 for the first half of 2010, compared to $0.26 for the second quarter and $0.28 for the first half of 2009. These decreases are primarily the result of the reduction in interchange fee revenues and the non-recurring contract termination fees discussed above, as well as the growth of Cashnet transactions which generate lower revenues per transaction than those on owned or outsourced ATMs. Partly offsetting these decreases are the increase in transaction fees in Germany and the impact of the weaker U.S. dollar. We were able to increase transaction fees in Germany beginning in mid-2009, but we are uncertain if we will be able to maintain the current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costs for the first half of 2010, compared to the first half of 2009, is attributed to the increase in the number of ATMs under operation and the impact of the weaker U.S.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Gross profit, which is calculated as revenues less direct operating costs, decreased to $23.7 million for the second quarter and $48.3 million for the first half of 2010 from $25.9 million for the second quarter and $53.2 million for the first half of 2009. These decreases are mainly attributable to the reduced interchange fees in Poland and the first quarter 2009 contract termination fee revenues discussed above. Partly offsetting these decreases are the increased transaction fees in Germany, growth in Cashnet transaction volumes and the impact of the weaker U.S. dollar. Gross profit as a percentage of revenues (“gross margin”) was 51% for the second quarter and first half of 2010 compared to 57% for the second quarter and 58% for the first half of 2009. The decrease in the second quarter gross margin is primarily due to the previously mentioned interchange fee revenue reductions while the decrease in the first half gross margin is also impacted by the $4.4 million contract termination fees discussed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decrease in salaries and benefits for the first half of 2010 compared to the first half of 2009 is primarily due to lower bonus expense related to reduced operating income, partly offset by the impact of the weaker U.S. dollar discussed above. As a percentage of revenues, these costs decreased to 14% of revenues for the first half of 2010 compared to 16% for the first half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half of 2010 compared to the first half of 2009 is due to general cost control measures, partly offset by the impact of the weaker U.S. dollar discussed above. As a percentage of revenues, selling, general and administrative expenses decreased slightly to 8% for the first half of 2010 compared to 9% for the first half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depreciation and amortization expense for the first half of 2010 compared to the first half of 2009 is due primarily to the growth in the number of ATMs and the impact of the weaker U.S. dollar described above. As a percentage of revenues, depreciation and amortization expense was 10% for the first half of 2010 compared to 9% for the first half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decrease in operating income for the first half of 2010 compared to the first half of 2009 is primarily due to the reduced interchange fee revenues and the first quarter 2009 contract termination fees, partly offset by the increased transaction fees in Germany, growth in Cashnet volumes and the impact of the weaker U.S. dollar. Operating income as a percentage of revenues (“operating margin”) for the first half of 2010 was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19% compared to 24% for the first half of 2009. Operating income per transaction was $0.05 for the first half of 2010 compared to $0.07 for the first 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six-month periods ended June 30, 2010 and 2009 for our epay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Year-over-Year Change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Year-over-Year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gridSpan w:val="5"/>
          </w:tcPr>
          <w:p>
            <w:pPr>
              <w:jc w:val="right"/>
              <w:ind w:right="269"/>
              <w:spacing w:after="0" w:line="110" w:lineRule="exact"/>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420"/>
              <w:spacing w:after="0" w:line="110" w:lineRule="exact"/>
              <w:rPr>
                <w:sz w:val="20"/>
                <w:szCs w:val="20"/>
                <w:color w:val="auto"/>
              </w:rPr>
            </w:pPr>
            <w:r>
              <w:rPr>
                <w:rFonts w:ascii="Arial" w:cs="Arial" w:eastAsia="Arial" w:hAnsi="Arial"/>
                <w:sz w:val="12"/>
                <w:szCs w:val="12"/>
                <w:b w:val="1"/>
                <w:bCs w:val="1"/>
                <w:color w:val="auto"/>
                <w:w w:val="94"/>
              </w:rPr>
              <w:t>Increase</w:t>
            </w: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Increase</w:t>
            </w:r>
          </w:p>
        </w:tc>
        <w:tc>
          <w:tcPr>
            <w:tcW w:w="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700" w:type="dxa"/>
            <w:vAlign w:val="bottom"/>
            <w:tcBorders>
              <w:top w:val="single" w:sz="8" w:color="auto"/>
            </w:tcBorders>
            <w:gridSpan w:val="4"/>
          </w:tcPr>
          <w:p>
            <w:pPr>
              <w:jc w:val="right"/>
              <w:ind w:right="369"/>
              <w:spacing w:after="0" w:line="110" w:lineRule="exact"/>
              <w:rPr>
                <w:sz w:val="20"/>
                <w:szCs w:val="20"/>
                <w:color w:val="auto"/>
              </w:rPr>
            </w:pPr>
            <w:r>
              <w:rPr>
                <w:rFonts w:ascii="Arial" w:cs="Arial" w:eastAsia="Arial" w:hAnsi="Arial"/>
                <w:sz w:val="12"/>
                <w:szCs w:val="12"/>
                <w:b w:val="1"/>
                <w:bCs w:val="1"/>
                <w:color w:val="auto"/>
              </w:rPr>
              <w:t>Six Months Ended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94"/>
              </w:rPr>
              <w:t>Increase</w:t>
            </w:r>
          </w:p>
        </w:tc>
        <w:tc>
          <w:tcPr>
            <w:tcW w:w="7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Increase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(Decrease)</w:t>
            </w: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(Decrease)</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(Decrease)</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129"/>
        </w:trPr>
        <w:tc>
          <w:tcPr>
            <w:tcW w:w="2500" w:type="dxa"/>
            <w:vAlign w:val="bottom"/>
            <w:gridSpan w:val="2"/>
          </w:tcPr>
          <w:p>
            <w:pPr>
              <w:spacing w:after="0" w:line="129" w:lineRule="exact"/>
              <w:rPr>
                <w:sz w:val="20"/>
                <w:szCs w:val="20"/>
                <w:color w:val="auto"/>
              </w:rPr>
            </w:pPr>
            <w:r>
              <w:rPr>
                <w:rFonts w:ascii="Arial" w:cs="Arial" w:eastAsia="Arial" w:hAnsi="Arial"/>
                <w:sz w:val="13"/>
                <w:szCs w:val="13"/>
                <w:color w:val="auto"/>
              </w:rPr>
              <w:t>(dollar amounts in thousands)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1"/>
              <w:spacing w:after="0" w:line="129" w:lineRule="exact"/>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69"/>
              <w:spacing w:after="0" w:line="129" w:lineRule="exact"/>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3"/>
                <w:szCs w:val="13"/>
                <w:b w:val="1"/>
                <w:bCs w:val="1"/>
                <w:color w:val="auto"/>
                <w:w w:val="89"/>
              </w:rPr>
              <w:t>Amount</w:t>
            </w: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3"/>
                <w:szCs w:val="13"/>
                <w:b w:val="1"/>
                <w:bCs w:val="1"/>
                <w:color w:val="auto"/>
                <w:w w:val="87"/>
              </w:rPr>
              <w:t>Percent</w:t>
            </w:r>
          </w:p>
        </w:tc>
        <w:tc>
          <w:tcPr>
            <w:tcW w:w="160" w:type="dxa"/>
            <w:vAlign w:val="bottom"/>
          </w:tcPr>
          <w:p>
            <w:pPr>
              <w:spacing w:after="0"/>
              <w:rPr>
                <w:sz w:val="11"/>
                <w:szCs w:val="11"/>
                <w:color w:val="auto"/>
              </w:rPr>
            </w:pPr>
          </w:p>
        </w:tc>
        <w:tc>
          <w:tcPr>
            <w:tcW w:w="580" w:type="dxa"/>
            <w:vAlign w:val="bottom"/>
          </w:tcPr>
          <w:p>
            <w:pPr>
              <w:jc w:val="right"/>
              <w:ind w:right="171"/>
              <w:spacing w:after="0" w:line="129" w:lineRule="exact"/>
              <w:rPr>
                <w:sz w:val="20"/>
                <w:szCs w:val="20"/>
                <w:color w:val="auto"/>
              </w:rPr>
            </w:pPr>
            <w:r>
              <w:rPr>
                <w:rFonts w:ascii="Arial" w:cs="Arial" w:eastAsia="Arial" w:hAnsi="Arial"/>
                <w:sz w:val="13"/>
                <w:szCs w:val="13"/>
                <w:b w:val="1"/>
                <w:bCs w:val="1"/>
                <w:color w:val="auto"/>
              </w:rPr>
              <w:t>2010</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69"/>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440"/>
              <w:spacing w:after="0" w:line="129" w:lineRule="exact"/>
              <w:rPr>
                <w:sz w:val="20"/>
                <w:szCs w:val="20"/>
                <w:color w:val="auto"/>
              </w:rPr>
            </w:pPr>
            <w:r>
              <w:rPr>
                <w:rFonts w:ascii="Arial" w:cs="Arial" w:eastAsia="Arial" w:hAnsi="Arial"/>
                <w:sz w:val="13"/>
                <w:szCs w:val="13"/>
                <w:b w:val="1"/>
                <w:bCs w:val="1"/>
                <w:color w:val="auto"/>
                <w:w w:val="89"/>
              </w:rPr>
              <w:t>Amount</w:t>
            </w: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4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137,689</w:t>
            </w:r>
          </w:p>
        </w:tc>
        <w:tc>
          <w:tcPr>
            <w:tcW w:w="3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145,253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(7,564)</w:t>
            </w:r>
          </w:p>
        </w:tc>
        <w:tc>
          <w:tcPr>
            <w:tcW w:w="11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283,069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279,776</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3,293</w:t>
            </w:r>
          </w:p>
        </w:tc>
        <w:tc>
          <w:tcPr>
            <w:tcW w:w="9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04"/>
        </w:trPr>
        <w:tc>
          <w:tcPr>
            <w:tcW w:w="25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 operating costs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109,754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117,342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(7,588)</w:t>
            </w: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225,353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226,377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(1,024)</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00"/>
              <w:spacing w:after="0" w:line="149" w:lineRule="exact"/>
              <w:rPr>
                <w:sz w:val="20"/>
                <w:szCs w:val="20"/>
                <w:color w:val="auto"/>
              </w:rPr>
            </w:pPr>
            <w:r>
              <w:rPr>
                <w:rFonts w:ascii="Arial" w:cs="Arial" w:eastAsia="Arial" w:hAnsi="Arial"/>
                <w:sz w:val="14"/>
                <w:szCs w:val="14"/>
                <w:color w:val="auto"/>
              </w:rPr>
              <w:t>Salaries and benefits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7,154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6,793</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3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15,479</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2,262</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5,409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2,020</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12,660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2,709</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3,598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3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7,977</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733</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128,159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133,142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(4,983)</w:t>
            </w: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261,469</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256,789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4,680</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Pr>
          <w:p>
            <w:pPr>
              <w:ind w:left="600"/>
              <w:spacing w:after="0"/>
              <w:rPr>
                <w:sz w:val="20"/>
                <w:szCs w:val="20"/>
                <w:color w:val="auto"/>
              </w:rPr>
            </w:pPr>
            <w:r>
              <w:rPr>
                <w:rFonts w:ascii="Arial" w:cs="Arial" w:eastAsia="Arial" w:hAnsi="Arial"/>
                <w:sz w:val="14"/>
                <w:szCs w:val="14"/>
                <w:color w:val="auto"/>
              </w:rPr>
              <w:t>Operating income</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9,530</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12,111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(2,581)</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21,600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22,987</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(1,387)</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Transactions processed (millions)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404.2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25.7</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increase in revenues for the first half of 2010 compared to the first half of 2009 was primarily due to the impact of the weaker U.S. dollar in the first half of 2010 compared to the same period in 2009 relative to most of the currencies of the countries in which we operate, particularly the Australian dollar. Revenues also improved due to the increase, primarily in Germany, in total transactions processed. These increases were partly offset by mobile operator commission rate decreases in certain markets, declines in transactions processed in the U.K., Australia and Spain due to economic pressures, and changes in the mix of transactions to lower revenue transactions. The epay Segment offers different levels of service with associated differences in revenues and costs per transaction. In the second quarter of 2010, transactions processed increased, but a shift in the mix of transactions contributed to lower revenues. However, due to higher profit margins for these transactions, our gross profits remained constant. Additionally, the impact of the weaker U.S. dollar was less pronounced in the second quarter of 2010 than the first; therefore, the second quarter 2010 revenues benefitted less from the changes in foreign currency exchange rates and decreased compared to the second quarter 2009 revenues.</w:t>
      </w:r>
    </w:p>
    <w:p>
      <w:pPr>
        <w:spacing w:after="0" w:line="7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certain more mature markets, such as the U.K., New Zealand and Spain, revenues have remained flat or declined because conversion from scratch cards to electronic top-up is substantially complete and certain mobile operators and retailers are driving competitive reductions in pricing and margins. We expect most of our future revenue growth in this segment to be derived from: (i) additional products sold over the base of prepaid processing terminals,</w:t>
      </w:r>
    </w:p>
    <w:p>
      <w:pPr>
        <w:ind w:right="220" w:firstLine="8"/>
        <w:spacing w:after="0" w:line="26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markets or markets in which there is organic growth in the prepaid sector overall, (iii) continued conversion from scratch cards to electronic top-up in less mature markets, and (iv) acquisitions, if available.</w:t>
      </w:r>
    </w:p>
    <w:p>
      <w:pPr>
        <w:spacing w:after="0" w:line="76"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Revenues per transaction were $0.67 for the second quarter and $0.70 for the first half of 2010 compared to $0.75 for the second quarter and $0.74 for the first half of 2009. The decreases in revenues per transaction are due mainly to the decrease in mobile operator commission rates and changes in the mix of transactions, particularly growth in India where revenues per transaction are considerably lower than average.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Direct operating costs in the epay Segment include the commissions we pay to retail merchants for the distribution and sale of prepaid mobile airtime and other prepaid products, as well as expenses required to operate POS terminals. The decrease in direct operating costs is generally attributable to the decrease in mobile operator commission revenues discussed above being largely passed on to retail merchants resulting in lower commission costs, and changes in the mix of transactions to more lower-cost transactions. This decrease was partly offset by the increase in transactions processed and the impact of the weaker U.S. dollar. The decrease in direct operating costs for the first half of 2010 was less than the decrease for the second quarter of 2010 because the impact of the weaker U.S. dollar was less pronounced in the second quarter of 2010 than in the first half of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profit, which represents revenues less direct costs, was $27.9 million for the second quarter and $57.7 million for the first half of 2010 compared to $27.9 million for the second quarter and $53.4 million for the first half of 2009. The primary cause of the increase in gross profit for the first half of 2010 compared to the first half of 2009 is the impact of the weaker U.S. dollar, increased transaction volume in Germany and favorable product mix changes in the U.S., partly offset by the impact of mobile operator commission rate decreases, primarily in Australia, and transaction volume declines in the U.K. and Spain. Gross margin increased slightly to 20% for the second quarter and first half of 2010 compared to 19% for the same periods in 2009. Gross profit per transaction remained flat at $0.14 for the second quarter and first half of 2010 and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salaries and benefits for the first half of 2010 compared to the first half of 2009 is primarily due to additional overhead to support development in new and growing markets, certain severance costs and the impact of the weaker U.S. dollar. As a percentage of revenues, salaries and benefits increased to 5.5% for the first half of 2010 from 4.7% for the first half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selling, general and administrative expenses for the first half of 2010 compared to the first half of 2009 is mainly due to the additional overhead to support development in new and growing markets, the impact of the weaker U.S. dollar, professional fees related to due diligence, recruiting and legal matters, and certain rebranding and marketing expenses incurred in the first half of 2010. As a percentage of revenues, these expenses increased to 4.5% for the first half of 2010 compared to 3.6% for the first half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the first half of 2010 compared to the first half of 2009 mainly due to the growth in installed POS terminals in new and growing markets, primarily Italy, and the impact of the weaker U.S. dollar. As a percentage of revenues, these expenses increased slightly to 2.8% for the first half of 2010 from 2.6% for the first half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Operating margin was 6.9% for the second quarter and 7.6% for the first half of 2010 compared to 8.3% for the second quarter and 8.2% for the first half of 2009. Operating income per transaction was $0.05 for the second quarter and first half of 2010 compared to $0.06 for the second quarter and first half of</w:t>
      </w:r>
    </w:p>
    <w:p>
      <w:pPr>
        <w:ind w:right="160"/>
        <w:spacing w:after="0" w:line="261" w:lineRule="auto"/>
        <w:rPr>
          <w:sz w:val="20"/>
          <w:szCs w:val="20"/>
          <w:color w:val="auto"/>
        </w:rPr>
      </w:pPr>
      <w:r>
        <w:rPr>
          <w:rFonts w:ascii="Arial" w:cs="Arial" w:eastAsia="Arial" w:hAnsi="Arial"/>
          <w:sz w:val="18"/>
          <w:szCs w:val="18"/>
          <w:color w:val="auto"/>
        </w:rPr>
        <w:t>2009. The decreases in operating income, operating margin and operating income per transaction for the first half of 2010 compared to the first half of 2009 are mainly due to the increase in operating expenses discussed above, partly offset by the impact of the weaker U.S. dollar.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results of operations for the three- and six-month periods ended June 30, 2010 and 2009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w w:val="95"/>
              </w:rPr>
              <w:t>Year-over-Year Change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Year-over-Year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gridSpan w:val="5"/>
          </w:tcPr>
          <w:p>
            <w:pPr>
              <w:jc w:val="right"/>
              <w:ind w:right="229"/>
              <w:spacing w:after="0" w:line="110" w:lineRule="exact"/>
              <w:rPr>
                <w:sz w:val="20"/>
                <w:szCs w:val="20"/>
                <w:color w:val="auto"/>
              </w:rPr>
            </w:pPr>
            <w:r>
              <w:rPr>
                <w:rFonts w:ascii="Arial" w:cs="Arial" w:eastAsia="Arial" w:hAnsi="Arial"/>
                <w:sz w:val="12"/>
                <w:szCs w:val="12"/>
                <w:b w:val="1"/>
                <w:bCs w:val="1"/>
                <w:color w:val="auto"/>
              </w:rPr>
              <w:t>Three Months Ended</w:t>
            </w: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460"/>
              <w:spacing w:after="0" w:line="110" w:lineRule="exact"/>
              <w:rPr>
                <w:sz w:val="20"/>
                <w:szCs w:val="20"/>
                <w:color w:val="auto"/>
              </w:rPr>
            </w:pPr>
            <w:r>
              <w:rPr>
                <w:rFonts w:ascii="Arial" w:cs="Arial" w:eastAsia="Arial" w:hAnsi="Arial"/>
                <w:sz w:val="12"/>
                <w:szCs w:val="12"/>
                <w:b w:val="1"/>
                <w:bCs w:val="1"/>
                <w:color w:val="auto"/>
                <w:w w:val="94"/>
              </w:rPr>
              <w:t>Increase</w:t>
            </w: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Increase</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gridSpan w:val="5"/>
          </w:tcPr>
          <w:p>
            <w:pPr>
              <w:jc w:val="right"/>
              <w:ind w:right="329"/>
              <w:spacing w:after="0" w:line="110" w:lineRule="exact"/>
              <w:rPr>
                <w:sz w:val="20"/>
                <w:szCs w:val="20"/>
                <w:color w:val="auto"/>
              </w:rPr>
            </w:pPr>
            <w:r>
              <w:rPr>
                <w:rFonts w:ascii="Arial" w:cs="Arial" w:eastAsia="Arial" w:hAnsi="Arial"/>
                <w:sz w:val="12"/>
                <w:szCs w:val="12"/>
                <w:b w:val="1"/>
                <w:bCs w:val="1"/>
                <w:color w:val="auto"/>
              </w:rPr>
              <w:t>Six Months Ended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420"/>
              <w:spacing w:after="0" w:line="110" w:lineRule="exact"/>
              <w:rPr>
                <w:sz w:val="20"/>
                <w:szCs w:val="20"/>
                <w:color w:val="auto"/>
              </w:rPr>
            </w:pPr>
            <w:r>
              <w:rPr>
                <w:rFonts w:ascii="Arial" w:cs="Arial" w:eastAsia="Arial" w:hAnsi="Arial"/>
                <w:sz w:val="12"/>
                <w:szCs w:val="12"/>
                <w:b w:val="1"/>
                <w:bCs w:val="1"/>
                <w:color w:val="auto"/>
                <w:w w:val="94"/>
              </w:rPr>
              <w:t>Increase</w:t>
            </w:r>
          </w:p>
        </w:tc>
        <w:tc>
          <w:tcPr>
            <w:tcW w:w="7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Increase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0"/>
              </w:rPr>
              <w:t>(Decrease)</w:t>
            </w: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(Decrease)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(Decrease)</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129"/>
        </w:trPr>
        <w:tc>
          <w:tcPr>
            <w:tcW w:w="2880" w:type="dxa"/>
            <w:vAlign w:val="bottom"/>
            <w:gridSpan w:val="2"/>
          </w:tcPr>
          <w:p>
            <w:pPr>
              <w:spacing w:after="0" w:line="129" w:lineRule="exact"/>
              <w:rPr>
                <w:sz w:val="20"/>
                <w:szCs w:val="20"/>
                <w:color w:val="auto"/>
              </w:rPr>
            </w:pPr>
            <w:r>
              <w:rPr>
                <w:rFonts w:ascii="Arial" w:cs="Arial" w:eastAsia="Arial" w:hAnsi="Arial"/>
                <w:sz w:val="13"/>
                <w:szCs w:val="13"/>
                <w:color w:val="auto"/>
              </w:rPr>
              <w:t>(dollar amounts in thousands)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51"/>
              <w:spacing w:after="0" w:line="129" w:lineRule="exact"/>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49"/>
              <w:spacing w:after="0" w:line="129"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w w:val="89"/>
              </w:rPr>
              <w:t>Amount</w:t>
            </w:r>
          </w:p>
        </w:tc>
        <w:tc>
          <w:tcPr>
            <w:tcW w:w="9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83"/>
              </w:rPr>
              <w:t>Percent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1"/>
              <w:spacing w:after="0" w:line="129"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69"/>
              <w:spacing w:after="0" w:line="129" w:lineRule="exact"/>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3"/>
                <w:szCs w:val="13"/>
                <w:b w:val="1"/>
                <w:bCs w:val="1"/>
                <w:color w:val="auto"/>
                <w:w w:val="89"/>
              </w:rPr>
              <w:t>Amount</w:t>
            </w: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60,051</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57,769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2,282</w:t>
            </w:r>
          </w:p>
        </w:tc>
        <w:tc>
          <w:tcPr>
            <w:tcW w:w="9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116,108</w:t>
            </w:r>
          </w:p>
        </w:tc>
        <w:tc>
          <w:tcPr>
            <w:tcW w:w="3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110,737</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5,371</w:t>
            </w:r>
          </w:p>
        </w:tc>
        <w:tc>
          <w:tcPr>
            <w:tcW w:w="9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 operating costs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28,055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54,626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53,613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1,013</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Salaries and benefits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13,103</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783</w:t>
            </w:r>
          </w:p>
        </w:tc>
        <w:tc>
          <w:tcPr>
            <w:tcW w:w="3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28,083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24,923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3,160</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8,847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17,610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17,662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ind w:left="200"/>
              <w:spacing w:after="0" w:line="130" w:lineRule="exact"/>
              <w:rPr>
                <w:sz w:val="20"/>
                <w:szCs w:val="20"/>
                <w:color w:val="auto"/>
              </w:rPr>
            </w:pPr>
            <w:r>
              <w:rPr>
                <w:rFonts w:ascii="Arial" w:cs="Arial" w:eastAsia="Arial" w:hAnsi="Arial"/>
                <w:sz w:val="14"/>
                <w:szCs w:val="14"/>
                <w:color w:val="auto"/>
              </w:rPr>
              <w:t>Goodwill and acquired intangible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9,884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(9,884)</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5,083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10,057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212</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Total operating expenses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55,811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55,088</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110,376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115,927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(5,551)</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Operating income (loss)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4,240</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1,559</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5,732</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(5,190)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10,922</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2860" w:type="dxa"/>
            <w:vAlign w:val="bottom"/>
          </w:tcPr>
          <w:p>
            <w:pPr>
              <w:ind w:left="200"/>
              <w:spacing w:after="0"/>
              <w:rPr>
                <w:sz w:val="20"/>
                <w:szCs w:val="20"/>
                <w:color w:val="auto"/>
              </w:rPr>
            </w:pPr>
            <w:r>
              <w:rPr>
                <w:rFonts w:ascii="Arial" w:cs="Arial" w:eastAsia="Arial" w:hAnsi="Arial"/>
                <w:sz w:val="14"/>
                <w:szCs w:val="14"/>
                <w:color w:val="auto"/>
              </w:rPr>
              <w:t>Transactions processed (millions)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0.2</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0.5</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the price of foreign currency purchased at wholesale exchange rates and sold to customers at retail exchange rates. The increase in revenues for the first half of 2010 compared to revenues for the first half of 2009 is primarily due to the increase in the number of transactions processed. For the first half of 2010, money transfers to Mexico, which represented 22% of total money transfers, decreased by 12% while transfers to all other countries increased 12% when compared to the first half of 2009. The increase in transfers to countries other than Mexico is due to the expansion of our agent and correspondent payout networks in non-U.S. markets.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 We cannot predict how long these issues will continue to impact the U.S. market or whether other markets will experience similar issues and we cannot predict whether we will change our pricing strategy over the short or long term in order to protect or increase market share.</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Revenues per transaction decreased to $12.78 for the second quarter and $12.90 for the first half of 2010 from $12.84 for the second quarter and $13.03 for the first half of 2009. The growth rate of revenues slightly lagged the transaction growth rate for the first half of 2010 largely as a result of lower average amount transferred per transaction. This decrease was partly offset by the continued shift in transaction mix to non-U.S. locations which generally have higher-than-average revenues per transaction. For the six months ended June 30, 2010, 62% of our money transfers were initiated in the U.S. and 38% in non-U.S. markets compared to 66% initiated in the U.S. and 34% in non-U.S. markets for the six months ended June 30, 2009. We expect that the U.S. will continue to represent our highest volume market; however, future growth is expected to be derived from the addition of new products and the expansion of our agent and correspondent payout networks in new and existing markets, primarily outside the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costs and bank fees to collect money from originating agents. The increase in direct operating costs in the first half of 2010 compared to the same period in 2009 is primarily due to the growth in transactions processed.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Gross profit, which represents revenues less direct costs, was $31.8 million for the second quarter and $61.5 million for the first half of 2010 compared to gross profit of $29.7 million for the second quarter and $57.1 million for the first half of 2009. The improvements are primarily due to the growth in money transfer transactions, the shift in transaction mix to transfers from non-U.S. sources and the addition of new products. Gross margin was 53% for the second quarter and first half of 2010 compared to 51% for the second quarter and 52% for the first half of 2009. This improvement primarily reflects the shift in transaction mix to transfers from non-U.S. sources, partly offset by lower revenues per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salaries and benefits for the first half of 2010 compared to the same period in 2009 is due to the increased expenditures we incurred to support expansion of our operations, primarily internationally. As a percentage of revenues, salaries and benefits increased to 24% for the first half of 2010 from 23% for the same period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Selling, general and administrative expenses for the first half of 2010 were nearly unchanged compared to the first half of 2009, primarily as the result of our ability to leverage fixed operating costs while expanding the business. As a percentage of revenues, selling, general and administrative expenses decreased to 15% for the first half of 2010 from 16% for the same period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fourth quarter of 2008, we recorded a non-cash impairment charge of $169.4 million related to certain goodwill and intangible assets of the RIA money transfer business. This charge was an estimate based on the assessment performed up to the filing date of our 2008 Annual Report on Form 10-K. We completed the assessment in the first quarter of 2009 and recorded an additional $9.9 million non-cash impairment charge in the first quarter of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also includes depreciation of money transfer terminals, computers and software, leasehold improvements and office equipment. For the second quarter and first half of 2010, depreciation and amortization has remained relatively flat compared to the same periods in 2009, reflecting a shift in achieving expansion more through agents which requires less capital expenditures than expansion from adding company stores. As a percentage of revenues, depreciation and amortization remained flat at 9% for the first half of 2010 and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Excluding the goodwill and acquired intangible assets impairment charge, operating income for the first half of 2010 increased $1.0 million compared to the first half of 2009. This increase reflects the growth in transactions processed, the shift in transactions to non-U.S. markets, the addition of new products and the leveraging of fixed costs, partly offset by increased salaries and benefits expenses to expand internationally. Operating margin, excluding the goodwill and acquired intangible assets impairment charge, increased to 5% for the first half of 2010 from 4% for the same period in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2010 and 2009 for Corporate Services: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174"/>
              <w:spacing w:after="0" w:line="142" w:lineRule="exact"/>
              <w:rPr>
                <w:sz w:val="20"/>
                <w:szCs w:val="20"/>
                <w:color w:val="auto"/>
              </w:rPr>
            </w:pPr>
            <w:r>
              <w:rPr>
                <w:rFonts w:ascii="Arial" w:cs="Arial" w:eastAsia="Arial" w:hAnsi="Arial"/>
                <w:sz w:val="14"/>
                <w:szCs w:val="14"/>
                <w:b w:val="1"/>
                <w:bCs w:val="1"/>
                <w:color w:val="auto"/>
                <w:w w:val="99"/>
              </w:rPr>
              <w:t>Three Months Ended</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96"/>
              <w:spacing w:after="0" w:line="142" w:lineRule="exact"/>
              <w:rPr>
                <w:sz w:val="20"/>
                <w:szCs w:val="20"/>
                <w:color w:val="auto"/>
              </w:rPr>
            </w:pPr>
            <w:r>
              <w:rPr>
                <w:rFonts w:ascii="Arial" w:cs="Arial" w:eastAsia="Arial" w:hAnsi="Arial"/>
                <w:sz w:val="14"/>
                <w:szCs w:val="14"/>
                <w:b w:val="1"/>
                <w:bCs w:val="1"/>
                <w:color w:val="auto"/>
                <w:w w:val="94"/>
              </w:rPr>
              <w:t>Year-over-Year Change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234"/>
              <w:spacing w:after="0" w:line="142"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Increase</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45"/>
              <w:spacing w:after="0" w:line="142" w:lineRule="exact"/>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Decrease</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Decrease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2" w:lineRule="exact"/>
              <w:rPr>
                <w:sz w:val="20"/>
                <w:szCs w:val="20"/>
                <w:color w:val="auto"/>
              </w:rPr>
            </w:pPr>
            <w:r>
              <w:rPr>
                <w:rFonts w:ascii="Arial" w:cs="Arial" w:eastAsia="Arial" w:hAnsi="Arial"/>
                <w:sz w:val="14"/>
                <w:szCs w:val="14"/>
                <w:color w:val="auto"/>
              </w:rPr>
              <w:t>(dollar amounts 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2,498</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2,903</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w w:val="98"/>
              </w:rPr>
              <w:t>Total operating expenses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5,461</w:t>
            </w: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6,567</w:t>
            </w: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(1,106)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10,513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11,784</w:t>
            </w:r>
          </w:p>
        </w:tc>
        <w:tc>
          <w:tcPr>
            <w:tcW w:w="22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expenses for Corporate Services decreased for the first half of 2010 compared to the first half of 2009. The decrease in salaries and benefits is primarily the result of lower incentive compensation accruals, largely offset by higher salaries and share-based compensation. The increase in share-based compensation is due to the reversal of expense related to certain performance-based awards during the first half of 2009. The decrease in selling, general and administrative expenses is due mainly to lower legal and acquisition-related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6"/>
              </w:rPr>
              <w:t>Year-over-Year 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71"/>
        </w:trPr>
        <w:tc>
          <w:tcPr>
            <w:tcW w:w="224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1,622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(9,985)</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Income from unconsolidated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Loss on early retirement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exchange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(loss), net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(9,341)</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(18,991)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(14,423)</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(13,482)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w w:val="87"/>
              </w:rPr>
              <w:t>Other income (expense), net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(13,353)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4,248</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(17,601)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(22,280)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(10,254)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decrease in interest income for the second quarter and first half of 2010 from the second quarter and first half of 2009 is primarily due to a decline in short-term interest rates and a decrease in average cash balances on hand during the respective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decrease in interest expense for the second quarter and first half of 2010 from the second quarter and first half of 2009 is primarily related to the reductions in debt from scheduled and early repayments on our term loan and repurchases of convertible debentures and reductions in amounts outstanding under the revolving credit facility. The decrease in interest expense is also due to lower interest rates on our floating-rate debt obligations in the second quarter and first half of 2010 compared to the same periods in 2009.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The decrease in income is mainly the result of lower profitability of Euronet Middle East largely offset by improved profitability of epay Malaysia.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half of 2009, we repurchased in privately negotiated transactions $25.8 million in principal amount of the 1.625% convertible debentures due 2024. Loss on early retirement of debt of $0.3 million for the first half of 2009 represents the difference in the amounts paid for the convertible debentures over their carrying amounts, as well as the pro-rata write-off of deferred financing costs associated with the portion of the term loan that was prepaid during the first half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recorded net foreign currency exchange losses of $9.3 million and $14.4 million in the second quarter and first half of 2010, respectively, compared to a net foreign currency gain of $9.7 million in the second quarter of 2009 and a $0.9 million loss in the first half of 2009. These realized and unrealized foreign currency exchange gains and losses reflect the respective weakening and strengthening of the U.S. dollar against most of the currencies of the countries in which we operate during the respective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22,272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12,491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6,397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15,875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22,272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12,491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(14,423)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12,530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12,622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26,914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10,131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11,714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2"/>
              </w:rPr>
              <w:t>Adjust: Income tax expense (benefit) attributable to foreign currency exchange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gain (loss), net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as adjusted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10,507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11,700</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 as adjusted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effective tax rates for continuing operations were 136.2% and 28.7% for the three-month periods ended June 30, 2010 and 2009, respectively, and were 81.1% and 74.6% for the six-month periods ended June 30, 2010 and 2009, respectively. The effective tax rates were significantly influenced by the foreign currency exchange gains and losses in the respective periods and by the goodwill and acquired intangible assets impairment charge in the first quarter of 2009. Excluding foreign currency exchange results and the impairment charge from pre-tax income, as well as the related tax effects for these items, our effective tax rates were 36.2% and 46.8% for the three</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2010 and 2009, respectively, and 39.0% and 44.1% for the six months ended June 30, 2010 and 2009, respectively.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increase in the effective tax rate, as adjusted, for the second quarter of 2010 compared to the applicable statutory rate of 35% is primarily related to our U.S. tax position. For the three- and six-month periods ended June 30, 2010,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in these periods. For the second quarter of 2010, this increase was partly offset by a $1.0 million adjustment to the reserve related to deferred tax assets generated from prior U.S. net operating losses. Additionally, the effective tax rate for the first half of 2010 is lower due to a $0.8 million adjustment related to a foreign tax law change.</w:t>
      </w:r>
    </w:p>
    <w:p>
      <w:pPr>
        <w:spacing w:after="0" w:line="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fourth quarter of 2009, we sold Essentis in order to focus our investments and resources on our transaction processing businesses. Accordingly, Essentis’s results of operations are shown as discontinued operations in the Unaudited Consolidated Statements of Operations for the three and six months ended June 30,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attributable to noncontrolling interests was $0.3 million for the second quarter and $1.0 million for the first half of 2010 compared to $0.5 million for the second quarter and $0.8 million for the first half of 2009. Noncontrolling interests represents the elimination of net income or loss attributable to the minority shareholders’ portion of our consolidated subsidiaries that are not wholly-owned. Our subsidiaries which are not wholly-owned are summarized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2420" w:type="dxa"/>
            <w:vAlign w:val="bottom"/>
          </w:tcPr>
          <w:p>
            <w:pPr>
              <w:spacing w:after="0"/>
              <w:rPr>
                <w:sz w:val="14"/>
                <w:szCs w:val="14"/>
                <w:color w:val="auto"/>
              </w:rPr>
            </w:pPr>
          </w:p>
        </w:tc>
        <w:tc>
          <w:tcPr>
            <w:tcW w:w="1580" w:type="dxa"/>
            <w:vAlign w:val="bottom"/>
          </w:tcPr>
          <w:p>
            <w:pPr>
              <w:jc w:val="right"/>
              <w:ind w:right="482"/>
              <w:spacing w:after="0"/>
              <w:rPr>
                <w:sz w:val="20"/>
                <w:szCs w:val="20"/>
                <w:color w:val="auto"/>
              </w:rPr>
            </w:pPr>
            <w:r>
              <w:rPr>
                <w:rFonts w:ascii="Arial" w:cs="Arial" w:eastAsia="Arial" w:hAnsi="Arial"/>
                <w:sz w:val="14"/>
                <w:szCs w:val="14"/>
                <w:b w:val="1"/>
                <w:bCs w:val="1"/>
                <w:color w:val="auto"/>
              </w:rPr>
              <w:t>Percent</w:t>
            </w:r>
          </w:p>
        </w:tc>
        <w:tc>
          <w:tcPr>
            <w:tcW w:w="2420" w:type="dxa"/>
            <w:vAlign w:val="bottom"/>
          </w:tcPr>
          <w:p>
            <w:pPr>
              <w:spacing w:after="0"/>
              <w:rPr>
                <w:sz w:val="14"/>
                <w:szCs w:val="14"/>
                <w:color w:val="auto"/>
              </w:rPr>
            </w:pPr>
          </w:p>
        </w:tc>
        <w:tc>
          <w:tcPr>
            <w:tcW w:w="26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71"/>
        </w:trPr>
        <w:tc>
          <w:tcPr>
            <w:tcW w:w="232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1580" w:type="dxa"/>
            <w:vAlign w:val="bottom"/>
          </w:tcPr>
          <w:p>
            <w:pPr>
              <w:jc w:val="right"/>
              <w:ind w:right="482"/>
              <w:spacing w:after="0"/>
              <w:rPr>
                <w:sz w:val="20"/>
                <w:szCs w:val="20"/>
                <w:color w:val="auto"/>
              </w:rPr>
            </w:pPr>
            <w:r>
              <w:rPr>
                <w:rFonts w:ascii="Arial" w:cs="Arial" w:eastAsia="Arial" w:hAnsi="Arial"/>
                <w:sz w:val="14"/>
                <w:szCs w:val="14"/>
                <w:b w:val="1"/>
                <w:bCs w:val="1"/>
                <w:color w:val="auto"/>
              </w:rPr>
              <w:t>Owned</w:t>
            </w:r>
          </w:p>
        </w:tc>
        <w:tc>
          <w:tcPr>
            <w:tcW w:w="24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Movilcarga</w:t>
            </w:r>
          </w:p>
        </w:tc>
        <w:tc>
          <w:tcPr>
            <w:tcW w:w="24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80%</w:t>
            </w:r>
          </w:p>
        </w:tc>
        <w:tc>
          <w:tcPr>
            <w:tcW w:w="242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e-pay SRL</w:t>
            </w:r>
          </w:p>
        </w:tc>
        <w:tc>
          <w:tcPr>
            <w:tcW w:w="4000" w:type="dxa"/>
            <w:vAlign w:val="bottom"/>
            <w:gridSpan w:val="2"/>
          </w:tcPr>
          <w:p>
            <w:pPr>
              <w:jc w:val="right"/>
              <w:ind w:right="282"/>
              <w:spacing w:after="0"/>
              <w:rPr>
                <w:sz w:val="20"/>
                <w:szCs w:val="20"/>
                <w:color w:val="auto"/>
              </w:rPr>
            </w:pPr>
            <w:r>
              <w:rPr>
                <w:rFonts w:ascii="Arial" w:cs="Arial" w:eastAsia="Arial" w:hAnsi="Arial"/>
                <w:sz w:val="18"/>
                <w:szCs w:val="18"/>
                <w:color w:val="auto"/>
              </w:rPr>
              <w:t>51%</w:t>
            </w:r>
          </w:p>
        </w:tc>
        <w:tc>
          <w:tcPr>
            <w:tcW w:w="24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40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51%</w:t>
            </w:r>
          </w:p>
        </w:tc>
        <w:tc>
          <w:tcPr>
            <w:tcW w:w="24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Euronet China</w:t>
            </w:r>
          </w:p>
        </w:tc>
        <w:tc>
          <w:tcPr>
            <w:tcW w:w="4000" w:type="dxa"/>
            <w:vAlign w:val="bottom"/>
            <w:gridSpan w:val="2"/>
          </w:tcPr>
          <w:p>
            <w:pPr>
              <w:jc w:val="right"/>
              <w:ind w:right="282"/>
              <w:spacing w:after="0"/>
              <w:rPr>
                <w:sz w:val="20"/>
                <w:szCs w:val="20"/>
                <w:color w:val="auto"/>
              </w:rPr>
            </w:pPr>
            <w:r>
              <w:rPr>
                <w:rFonts w:ascii="Arial" w:cs="Arial" w:eastAsia="Arial" w:hAnsi="Arial"/>
                <w:sz w:val="18"/>
                <w:szCs w:val="18"/>
                <w:color w:val="auto"/>
              </w:rPr>
              <w:t>75%</w:t>
            </w:r>
          </w:p>
        </w:tc>
        <w:tc>
          <w:tcPr>
            <w:tcW w:w="24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loss attributable to Euronet Worldwide, Inc. was $1.5 million for the second quarter of 2010 and net income attributable to Euronet Worldwide, Inc. was $1.3 million for the first half of 2010 compared to net income of $15.5 million for the second quarter and $3.2 million for the first half of 2009. As more fully discussed above, the decrease of $1.9 million for the first half of 2010 as compared to the same period in 2009 was primarily the result of the $13.5 million increase in foreign currency exchange losses, partly offset by the $7.0 increase in operating income which is largely the result of the $9.9 million goodwill and acquired intangible assets impairment charge in the first half of 2009. Additionally, net interest expense decreased $3.0 million and income tax expense decreased $1.6 million in the first half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2010, we had working capital, which is calculated as the difference between total current assets and total current liabilities, of $149.3 million, compared to working capital of $167.0 million as of December 31, 2009. Our ratio of current assets to current liabilities was 1.33 as of June 30, 2010, compared to 1.34 as of December 31, 2009. The decrease in working capital was primarily due to the use of cash to reduce revolving credit facility borrowings.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June 30, 2010, working capital in the Money Transfer Segment was $60.5 million. We expect that working capital needs will increase as we expand this business. The epay Segment produces positive working capital, but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much of it is restricted in connection with the administration of its customer collection and vendor remittance activities. The EFT Processing Segment does not require substantial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flows provided by operating activities were $88.0 million for the first half of 2010 compared to $50.0 million for the first half of 2009. The increase is primarily due to fluctuations in working capital primarily associated with the timing of the settlement processes with mobile operators in the epay Segment and with correspondents in the Money Transfer Segment, in addition to payments made in the first half of 2009 to secure an exclusive, long-term distribution agreement with a vendor in Australia.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used in investing activities were $14.6 million for the first half of 2010, compared to $28.4 million for the first half of 2009. Our investing activities included $12.4 million and $16.8 million for purchases of property and equipment in the first half of 2010 and 2009, respectively. Additionally, the first half of 2009 included $10.0 million in cash used for acquisitions. Finally, cash used for software development and other investing activities totaled $2.1 million in the first half of 2010 and $1.6 million in the first half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flows used in financing activities were $42.3 million during the first half of 2010 compared to $44.4 million during the first half of 2009. Our financing activities for the first half of 2010 consisted primarily of net repayments of debt obligations of $42.7 million compared to $42.1 million for the first half of 2009.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half of 2010 we had a total of $108.0 million in borrowings and $147.2 million in repayments under our revolving credit facility. During the first half of 2010, we paid $2.2 million for repayments and early retirements of debt obligations and $1.3 million for capital lease obligations. Additionally, we paid $1.7 million and $2.4 million of dividends to noncontrolling interests stockholders in the first half of 2010 and 2009,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$190 million seven-year term loan, which was fully drawn at closing, and a $100 million five-year revolving credit facility (together, the “Credit Facility”). The term loan bears interest at LIBOR plus 200 basis points or prime plus 100 basis points and requires that we repay $1.9 million of the balance each year, with the remaining balance payable at the end of the seven-year term. We have prepaid amounts on this loan and we estimate that we will be able to repay the remaining $128.0 term loan prior to its maturity date through cash flows available from operations, provided our operating cash flows are not required for future business developments. Up front financing costs of $4.8 million were deferred and are being amortized over the terms of the respective loans.</w:t>
      </w:r>
    </w:p>
    <w:p>
      <w:pPr>
        <w:spacing w:after="0" w:line="5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dates, the first being October 15, 2012, under our $175 million 3.50% Convertible Debentures Due 2025, unless we are able to demonstrate that either: (i) we could borrow unsubordinated funded debt equal to the principal amount of the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2010, we had borrowings of $128.0 million outstanding under the term loan. We had no borrowings and $35.9 million of stand-by letters of credit outstanding under the revolving credit facility. The remaining $64.1 million under the revolving credit facility was available for borrowing. Borrowings under the revolving credit facility are being used to fund short-term working capital requirements in the U.S. and India. As of June 30, 2010, our weighted average interest rate was 2.3% under the term loan, excluding amortization of deferred financing costs.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June 30, 2010 were primarily comprised of the $1.9 million annual repayment requirement under the term loan. Certain of our subsidiaries also have available credit lines and overdraft facilities to supplement short-term working capital requirements, when necessary, and there were $0.6 million outstanding under these facilities as of June 30, 2010.</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 governing the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we would have to pay a total of $2.5 million in cash or 75,489 shares of Euronet common stock, at the option of the seller. However, Brodos Romania failed to achieve the performance criteria by January 2010 for the first $1.25 million and based on its current performance, it is unlikely to achieve the performance criteria during 2010 for the remaining amounts.</w:t>
      </w:r>
    </w:p>
    <w:p>
      <w:pPr>
        <w:spacing w:after="0" w:line="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Total capital expenditures for the first half of 2010 were $12.8 million. These capital 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2010 are currently estimated to be approximately $30 million to $40 million.</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epay Segment, approximately 107,000 of the approximately 515,000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ATM outsourcing agreements</w:t>
      </w:r>
      <w:r>
        <w:rPr>
          <w:rFonts w:ascii="Arial" w:cs="Arial" w:eastAsia="Arial" w:hAnsi="Arial"/>
          <w:sz w:val="18"/>
          <w:szCs w:val="18"/>
          <w:color w:val="auto"/>
        </w:rPr>
        <w:t xml:space="preserve"> – 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obtain renewal of, or restructure, our ATM outsourcing agreements. 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occasion, we grant guarantees of the obligations of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2010, there were no material changes from the disclosure in our Annual Report on Form 10-K for the year ended December 31, 2009. To date, we are not aware of any significant claims made by the indemnified parties or parties to whom we have provided guarantees on behalf of our subsidiaries and, accordingly, no liabilities have been recorded as of June 30, 2010. See also Note 10, Guarantees, to the Unaudited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2010, the only material change from the disclosure relating to contractual obligations contained in our Annual Report on Form 10-K for the year ended December 31, 2009, is the $39.2 million net reduction of debt under our revolving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2009 and Part II, Item 1A of our Quarterly Report on Form 10-Q for the three months ended March 31, 2010. We do not intend, and do not undertake, any obligation to update any forward looking statements to reflect future events or circumstances after the date of such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80"/>
        <w:spacing w:after="0" w:line="255" w:lineRule="auto"/>
        <w:rPr>
          <w:sz w:val="20"/>
          <w:szCs w:val="20"/>
          <w:color w:val="auto"/>
        </w:rPr>
      </w:pPr>
      <w:r>
        <w:rPr>
          <w:rFonts w:ascii="Arial" w:cs="Arial" w:eastAsia="Arial" w:hAnsi="Arial"/>
          <w:sz w:val="18"/>
          <w:szCs w:val="18"/>
          <w:color w:val="auto"/>
        </w:rPr>
        <w:t>As of June 30, 2010, our total debt outstanding was $289.2 million. Of this amount, $157.4 million, or 54% of our total debt obligations, relates to contingent convertible debentures having a fixed coupon rate. Our $175 million principal amount of contingent convertible debentures, issued in October 2005, accrue cash interest at a rate of 3.50% of the principal amount per annum. Based on quoted market prices, as of June 30, 2010, the fair value of our fixed rate convertible debentures was $160.1 million, compared to a carrying value of $157.4 million. Interest expense for these debentures, including accretion and amortization of deferred debt issuance costs, totals approximately $13.8 million per year, or a weighted average interest rate of 8.9% annually. Additionally, approximately $3.1 million, or 1% of our total debt obligations, relate to capitalized leases with fixed payment and interest terms that expire between 2010 and 2014.</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remaining $128.7 million, or 45%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$2.2 million. This computation excludes the potential additional $150.0 million under the term loan because of the limited circumstances under which the additional amounts would be available to us for borrowing.</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first half of 2010, 76% of our revenues were generated in non-U.S. dollar countries compared to 74% for the first half of 2009. We expect to continue generating a significant portion of our revenues in countries with currencies other than the U.S. dollar.</w:t>
      </w:r>
    </w:p>
    <w:p>
      <w:pPr>
        <w:spacing w:after="0" w:line="62"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euro, British pound, Australian dollar and Polish zloty. As of June 30, 2010, we estimate that a 10% fluctuation in these foreign currency exchange rates would have the combined annualized effect on reported net income and working capital of approximately $20 million to $30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$40 million to</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June 30, 2010, we had foreign currency forward contracts outstanding with a notional value of $41.3 million, primarily in euros and U.S. dollars, that were not designated as hedges and mature in a weighted average of 4.1 days. The fair value of these forward contracts as of June 30, 2010 was an unrealized gain of less than $0.1 million, which was partially offset by the unrealized loss on the related foreign currency receivables.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2010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2009,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i w:val="1"/>
          <w:iCs w:val="1"/>
          <w:color w:val="auto"/>
        </w:rPr>
        <w:t>There have been no material changes from the risk factors previously disclosed in the Company’s Annual Report on Form 10-K for the year ended December 31, 2009 and Quarterly Report on Form 10-Q for the three months ended March 31, 2010, as filed with the SEC.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30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spacing w:after="0" w:line="286" w:lineRule="auto"/>
        <w:rPr>
          <w:sz w:val="20"/>
          <w:szCs w:val="20"/>
          <w:color w:val="auto"/>
        </w:rPr>
      </w:pPr>
      <w:r>
        <w:rPr>
          <w:rFonts w:ascii="Arial" w:cs="Arial" w:eastAsia="Arial" w:hAnsi="Arial"/>
          <w:sz w:val="17"/>
          <w:szCs w:val="17"/>
          <w:color w:val="auto"/>
        </w:rPr>
        <w:t>For the three months ended June 30, 2010, the Company purchased, in accordance with the 2006 Stock Incentive Plan (Amended and Restated), 876 shares of its common stock for participant income tax withholding in conjunction with the lapse of restrictions on stock awards, as requested by the participants. The following table sets forth information with respect to those shares (all purchases occurred during May 2010):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Share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1 - May 31</w:t>
            </w:r>
          </w:p>
        </w:tc>
        <w:tc>
          <w:tcPr>
            <w:tcW w:w="5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14.67</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876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14.67</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We acquired all of the stock of RIA Envia, Inc., the parent of CES, in April 2007. CES foreign exchange transactions between the U.S and the D.R. generated approximately 0.3% of our 2009 consolidated revenues. The Company and CES are fully cooperating with the DOJ in its investigation.</w:t>
      </w:r>
    </w:p>
    <w:p>
      <w:pPr>
        <w:spacing w:after="0" w:line="85"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4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5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March 8, 2010 between Euronet Worldwide, Inc. and Charles T. Piper (1)</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0500" w:type="dxa"/>
            <w:vAlign w:val="bottom"/>
            <w:gridSpan w:val="3"/>
          </w:tcPr>
          <w:p>
            <w:pPr>
              <w:ind w:left="58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w w:val="90"/>
              </w:rPr>
              <w:t>Section 906</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w w:val="90"/>
              </w:rPr>
              <w:t>Section 906</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202" w:lineRule="exact"/>
        <w:rPr>
          <w:sz w:val="20"/>
          <w:szCs w:val="20"/>
          <w:color w:val="auto"/>
        </w:rPr>
      </w:pPr>
    </w:p>
    <w:p>
      <w:pPr>
        <w:ind w:left="1500" w:right="120" w:hanging="1168"/>
        <w:spacing w:after="0" w:line="297"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June 30, 2010, formatted in XBRL (eXtensible Business Reporting Language): (i) Consolidated Balance Sheets at June 30, 2010 and 2009, (ii) Consolidated Statements of Operations for the three and six months ended June 30, 2010 and 2009, (iii) Consolidated Statements of Comprehensive Income (Loss) for the three and six months ended June 30, 2010 and 2009, (iv) Consolidated Statements of Cash Flows for the six months ended June 30, 2010 and 2009, and (v) Notes to the Unaudited Consolidated Financial Statements, tagged as blocks of text. (3)</w:t>
      </w:r>
    </w:p>
    <w:p>
      <w:pPr>
        <w:spacing w:after="0" w:line="320"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76"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puposes of Sections 11 or 12 of the Securities Act of 1933, as amended, are deemed not filed for purposes of Section 18 of the Securities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09"/>
        </w:trPr>
        <w:tc>
          <w:tcPr>
            <w:tcW w:w="4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30"/>
        </w:trPr>
        <w:tc>
          <w:tcPr>
            <w:tcW w:w="4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4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4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419"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This Employment Agreement (the “Agreement”) is made as of March 8, 2010 (the “Effective Date”) by and between Euronet Worldwide, Inc., a Delaware corporation (“Employer”), and Charles T. Piper residing at 364 Borica Drive, Danville, CA 94526 (“Employee”).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Employer desires to employ Employee in a position and on terms and conditions set forth below, and Employee desires to accept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and Employee desire to enter into this Agreement embodying the terms of such employment;</w:t>
      </w:r>
    </w:p>
    <w:p>
      <w:pPr>
        <w:spacing w:after="0" w:line="117"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820" w:firstLine="225"/>
        <w:spacing w:after="0" w:line="282"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w:t>
      </w:r>
    </w:p>
    <w:p>
      <w:pPr>
        <w:spacing w:after="0" w:line="54" w:lineRule="exact"/>
        <w:rPr>
          <w:sz w:val="20"/>
          <w:szCs w:val="20"/>
          <w:color w:val="auto"/>
        </w:rPr>
      </w:pPr>
    </w:p>
    <w:p>
      <w:pPr>
        <w:ind w:right="400" w:firstLine="233"/>
        <w:spacing w:after="0" w:line="266" w:lineRule="auto"/>
        <w:tabs>
          <w:tab w:leader="none" w:pos="40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serve as Vice President, Managing Director, Prepaid Division and,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regarding constructive termination without cause, in such other positions as requested by Employer. Employee shall perform such services as normally are associated with such positions.</w:t>
      </w:r>
    </w:p>
    <w:p>
      <w:pPr>
        <w:spacing w:after="0" w:line="68" w:lineRule="exact"/>
        <w:rPr>
          <w:rFonts w:ascii="Arial" w:cs="Arial" w:eastAsia="Arial" w:hAnsi="Arial"/>
          <w:sz w:val="18"/>
          <w:szCs w:val="18"/>
          <w:b w:val="1"/>
          <w:bCs w:val="1"/>
          <w:color w:val="auto"/>
        </w:rPr>
      </w:pPr>
    </w:p>
    <w:p>
      <w:pPr>
        <w:ind w:left="420" w:hanging="187"/>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264" w:lineRule="auto"/>
        <w:tabs>
          <w:tab w:leader="none" w:pos="69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as compensation for services rendered by Employee under this Agreement, Employer shall pay Employee an annual base salary of $275,000 per annum, which shall be payable in installments and increased from time to time in accordance with Employer’s general payroll practices (as in effect from time to time, “Base Salary”).</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During the Term, Employee shall be entitled to such comparable fringe benefits and perquisites as may be provided to Employer’s executive level employees pursuant to policies established from time to time by Employer. Employee’s cash incentive bonus opportunity thresholds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80"/>
        <w:spacing w:after="0" w:line="279" w:lineRule="auto"/>
        <w:rPr>
          <w:sz w:val="20"/>
          <w:szCs w:val="20"/>
          <w:color w:val="auto"/>
        </w:rPr>
      </w:pPr>
      <w:r>
        <w:rPr>
          <w:rFonts w:ascii="Arial" w:cs="Arial" w:eastAsia="Arial" w:hAnsi="Arial"/>
          <w:sz w:val="17"/>
          <w:szCs w:val="17"/>
          <w:color w:val="auto"/>
        </w:rPr>
        <w:t>performance goals for such thresholds will be established annually by Employer. Employee shall be eligible for equity incentive bonuses under a bonus plan established annually by Employer, subject to such performance or other targets as are set by Employer with respect to such bonuses. Employee will participate with other Euronet executives in the equity award program that is expected to be implemented by the Compensation Committee in December 2010, with vesting during years 2011 and following.</w:t>
      </w:r>
    </w:p>
    <w:p>
      <w:pPr>
        <w:spacing w:after="0" w:line="77" w:lineRule="exact"/>
        <w:rPr>
          <w:sz w:val="20"/>
          <w:szCs w:val="20"/>
          <w:color w:val="auto"/>
        </w:rPr>
      </w:pPr>
    </w:p>
    <w:p>
      <w:pPr>
        <w:ind w:left="1080" w:right="500" w:hanging="437"/>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86" w:lineRule="exact"/>
        <w:rPr>
          <w:rFonts w:ascii="Arial" w:cs="Arial" w:eastAsia="Arial" w:hAnsi="Arial"/>
          <w:sz w:val="18"/>
          <w:szCs w:val="18"/>
          <w:color w:val="auto"/>
        </w:rPr>
      </w:pPr>
    </w:p>
    <w:p>
      <w:pPr>
        <w:ind w:left="1080" w:hanging="437"/>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connection with Employee’s relocation to Kansas City, Employer will:</w:t>
      </w:r>
    </w:p>
    <w:p>
      <w:pPr>
        <w:spacing w:after="0" w:line="117" w:lineRule="exact"/>
        <w:rPr>
          <w:rFonts w:ascii="Arial" w:cs="Arial" w:eastAsia="Arial" w:hAnsi="Arial"/>
          <w:sz w:val="18"/>
          <w:szCs w:val="18"/>
          <w:color w:val="auto"/>
        </w:rPr>
      </w:pPr>
    </w:p>
    <w:p>
      <w:pPr>
        <w:ind w:left="1540" w:hanging="438"/>
        <w:spacing w:after="0"/>
        <w:tabs>
          <w:tab w:leader="none" w:pos="15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Pay for the cost of transport and lodging for a visit to Kansas City to search for housing, for the Employee and his spouse;</w:t>
      </w:r>
    </w:p>
    <w:p>
      <w:pPr>
        <w:spacing w:after="0" w:line="130" w:lineRule="exact"/>
        <w:rPr>
          <w:rFonts w:ascii="Arial" w:cs="Arial" w:eastAsia="Arial" w:hAnsi="Arial"/>
          <w:sz w:val="18"/>
          <w:szCs w:val="18"/>
          <w:color w:val="auto"/>
        </w:rPr>
      </w:pPr>
    </w:p>
    <w:p>
      <w:pPr>
        <w:ind w:left="1540" w:right="500" w:hanging="438"/>
        <w:spacing w:after="0" w:line="277" w:lineRule="auto"/>
        <w:tabs>
          <w:tab w:leader="none" w:pos="15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Reimburse Employee for market-standard real estate agent’s commissions in connection with the sale of the Employee’s home in California;</w:t>
      </w:r>
    </w:p>
    <w:p>
      <w:pPr>
        <w:spacing w:after="0" w:line="75" w:lineRule="exact"/>
        <w:rPr>
          <w:rFonts w:ascii="Arial" w:cs="Arial" w:eastAsia="Arial" w:hAnsi="Arial"/>
          <w:sz w:val="18"/>
          <w:szCs w:val="18"/>
          <w:color w:val="auto"/>
        </w:rPr>
      </w:pPr>
    </w:p>
    <w:p>
      <w:pPr>
        <w:ind w:left="1540" w:right="200" w:hanging="438"/>
        <w:spacing w:after="0" w:line="277" w:lineRule="auto"/>
        <w:tabs>
          <w:tab w:leader="none" w:pos="15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Pay the reasonable cost of moving Employee’s family and his furniture and personal effects from California to Kansas City, provided that the amount of such costs will be mutually agreed with Employer in advance;</w:t>
      </w:r>
    </w:p>
    <w:p>
      <w:pPr>
        <w:spacing w:after="0" w:line="58" w:lineRule="exact"/>
        <w:rPr>
          <w:rFonts w:ascii="Arial" w:cs="Arial" w:eastAsia="Arial" w:hAnsi="Arial"/>
          <w:sz w:val="18"/>
          <w:szCs w:val="18"/>
          <w:color w:val="auto"/>
        </w:rPr>
      </w:pPr>
    </w:p>
    <w:p>
      <w:pPr>
        <w:ind w:left="-40" w:right="220" w:firstLine="233"/>
        <w:spacing w:after="0" w:line="282" w:lineRule="auto"/>
        <w:tabs>
          <w:tab w:leader="none" w:pos="36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be entitled to annual vacation of 20 days, provided however that Employee may not use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consecutive vacation days at one time. Vacation days may not be carried over from one year to the next.</w:t>
      </w:r>
    </w:p>
    <w:p>
      <w:pPr>
        <w:spacing w:after="0" w:line="53" w:lineRule="exact"/>
        <w:rPr>
          <w:rFonts w:ascii="Arial" w:cs="Arial" w:eastAsia="Arial" w:hAnsi="Arial"/>
          <w:sz w:val="18"/>
          <w:szCs w:val="18"/>
          <w:b w:val="1"/>
          <w:bCs w:val="1"/>
          <w:color w:val="auto"/>
        </w:rPr>
      </w:pPr>
    </w:p>
    <w:p>
      <w:pPr>
        <w:jc w:val="both"/>
        <w:ind w:left="-40" w:right="60" w:firstLine="233"/>
        <w:spacing w:after="0" w:line="289" w:lineRule="auto"/>
        <w:tabs>
          <w:tab w:leader="none" w:pos="36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Expense Reimbursement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shall reimburse Employee for all reasonable and proper business expenses incurred by Employee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Employee’s duties hereunder during the Term, in accordance with Employer’s customary practices, and provided such business expenses are supported by actual receipts and are appropriately documented as to business purpose, persons, place and time.</w:t>
      </w:r>
    </w:p>
    <w:p>
      <w:pPr>
        <w:spacing w:after="0" w:line="50" w:lineRule="exact"/>
        <w:rPr>
          <w:rFonts w:ascii="Arial" w:cs="Arial" w:eastAsia="Arial" w:hAnsi="Arial"/>
          <w:sz w:val="17"/>
          <w:szCs w:val="17"/>
          <w:b w:val="1"/>
          <w:bCs w:val="1"/>
          <w:color w:val="auto"/>
        </w:rPr>
      </w:pPr>
    </w:p>
    <w:p>
      <w:pPr>
        <w:ind w:left="380" w:hanging="187"/>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38" w:name="page39"/>
    <w:bookmarkEnd w:id="38"/>
    <w:p>
      <w:pPr>
        <w:ind w:left="-20" w:right="60" w:firstLine="458"/>
        <w:spacing w:after="0" w:line="255"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20" w:firstLine="458"/>
        <w:spacing w:after="0" w:line="269"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Term and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or was regarded or treated as confidential by Employer,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business contacts, methods of operation, results of analysis, business forecasts, financial data, costs, revenues, and similar information. Upon termination of the Term, Employee shall immediately return to Employer all property of Employer and all Confidential Information, which is in tangible form, including all copies, extracts, and summaries thereof and any Confidential Information stored electronically on drives, hard drives, tapes, computer disks or in any other manner. Without limiting the generality of the above, it will be considered a breach of this clause, and may be considered an unfair business practice, for Employee to use Confidential Information in any fashion that harms the interests of Employer, including for the support or promotion of re-negotiation to Employer’s detriment of any of Employer’s commercial agreements or other arrangements with customers or suppliers.</w:t>
      </w:r>
    </w:p>
    <w:p>
      <w:pPr>
        <w:spacing w:after="0" w:line="71" w:lineRule="exact"/>
        <w:rPr>
          <w:rFonts w:ascii="Arial" w:cs="Arial" w:eastAsia="Arial" w:hAnsi="Arial"/>
          <w:sz w:val="17"/>
          <w:szCs w:val="17"/>
          <w:color w:val="auto"/>
        </w:rPr>
      </w:pPr>
    </w:p>
    <w:p>
      <w:pPr>
        <w:ind w:left="680" w:hanging="24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40" w:hanging="437"/>
        <w:spacing w:after="0" w:line="259" w:lineRule="auto"/>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100" w:right="320" w:hanging="437"/>
        <w:spacing w:after="0" w:line="308" w:lineRule="auto"/>
        <w:tabs>
          <w:tab w:leader="none" w:pos="11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9" w:name="page40"/>
    <w:bookmarkEnd w:id="39"/>
    <w:p>
      <w:pPr>
        <w:ind w:left="1100"/>
        <w:spacing w:after="0"/>
        <w:rPr>
          <w:sz w:val="20"/>
          <w:szCs w:val="20"/>
          <w:color w:val="auto"/>
        </w:rPr>
      </w:pPr>
      <w:r>
        <w:rPr>
          <w:rFonts w:ascii="Arial" w:cs="Arial" w:eastAsia="Arial" w:hAnsi="Arial"/>
          <w:sz w:val="18"/>
          <w:szCs w:val="18"/>
          <w:color w:val="auto"/>
        </w:rPr>
        <w:t>including without limitation making any disparaging or derogatory statements about Employer.</w:t>
      </w:r>
    </w:p>
    <w:p>
      <w:pPr>
        <w:spacing w:after="0" w:line="117" w:lineRule="exact"/>
        <w:rPr>
          <w:sz w:val="20"/>
          <w:szCs w:val="20"/>
          <w:color w:val="auto"/>
        </w:rPr>
      </w:pPr>
    </w:p>
    <w:p>
      <w:pPr>
        <w:ind w:left="-20" w:right="260" w:firstLine="458"/>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of 12 months following any termination of this Agreement, Employee shall not directly or indirectly, induce or attempt to induce or otherwise counsel, advise, ask or encourage any person to leave the employ of Employer, or solicit or offer employment to any person who was employed by Employer at any time during the twelve-month period preceding the solicitation or offer.</w:t>
      </w:r>
    </w:p>
    <w:p>
      <w:pPr>
        <w:spacing w:after="0" w:line="73" w:lineRule="exact"/>
        <w:rPr>
          <w:rFonts w:ascii="Arial" w:cs="Arial" w:eastAsia="Arial" w:hAnsi="Arial"/>
          <w:sz w:val="18"/>
          <w:szCs w:val="18"/>
          <w:color w:val="auto"/>
        </w:rPr>
      </w:pPr>
    </w:p>
    <w:p>
      <w:pPr>
        <w:ind w:left="680" w:hanging="24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437"/>
        <w:spacing w:after="0" w:line="255"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the Term,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 investments do not exceed five percent (5%) of any such company’s outstanding equity.</w:t>
      </w:r>
    </w:p>
    <w:p>
      <w:pPr>
        <w:spacing w:after="0" w:line="94" w:lineRule="exact"/>
        <w:rPr>
          <w:rFonts w:ascii="Arial" w:cs="Arial" w:eastAsia="Arial" w:hAnsi="Arial"/>
          <w:sz w:val="18"/>
          <w:szCs w:val="18"/>
          <w:color w:val="auto"/>
        </w:rPr>
      </w:pPr>
    </w:p>
    <w:p>
      <w:pPr>
        <w:ind w:left="1100" w:right="100" w:hanging="437"/>
        <w:spacing w:after="0" w:line="259"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a period of 12 months following any termination of this Agreement and without regard to whether Employer or Employee terminates this Agreement, Employee shall not, engage in 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92" w:lineRule="exact"/>
        <w:rPr>
          <w:rFonts w:ascii="Arial" w:cs="Arial" w:eastAsia="Arial" w:hAnsi="Arial"/>
          <w:sz w:val="18"/>
          <w:szCs w:val="18"/>
          <w:color w:val="auto"/>
        </w:rPr>
      </w:pPr>
    </w:p>
    <w:p>
      <w:pPr>
        <w:ind w:left="1100" w:right="280" w:hanging="437"/>
        <w:spacing w:after="0" w:line="276" w:lineRule="auto"/>
        <w:tabs>
          <w:tab w:leader="none" w:pos="11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For purposes of this Agreement,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electronic financial transaction processing or other services similar to those provided by Employer or any member of Employer’s group of companies. The provisions of this Section 6(e) shall apply in any location in which Employer has established, or is in the process of establishing, a business presence.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0" w:name="page41"/>
    <w:bookmarkEnd w:id="40"/>
    <w:p>
      <w:pPr>
        <w:ind w:right="20" w:firstLine="450"/>
        <w:spacing w:after="0" w:line="264"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(i) the restrictions imposed upon him by the provisions of this Section 6 are fair and reasonable considering the nature of Employer’s business, and are reasonably required for Employer’s protection, and (ii) Employee has been reasonably compensated for such restrictions through salary, bonus compensation, and equity based awards.</w:t>
      </w:r>
    </w:p>
    <w:p>
      <w:pPr>
        <w:spacing w:after="0" w:line="73" w:lineRule="exact"/>
        <w:rPr>
          <w:sz w:val="20"/>
          <w:szCs w:val="20"/>
          <w:color w:val="auto"/>
        </w:rPr>
      </w:pPr>
    </w:p>
    <w:p>
      <w:pPr>
        <w:ind w:right="120" w:firstLine="458"/>
        <w:spacing w:after="0" w:line="264" w:lineRule="auto"/>
        <w:tabs>
          <w:tab w:leader="none" w:pos="705"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right="80" w:firstLine="458"/>
        <w:spacing w:after="0" w:line="279" w:lineRule="auto"/>
        <w:tabs>
          <w:tab w:leader="none" w:pos="705"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59" w:lineRule="exact"/>
        <w:rPr>
          <w:rFonts w:ascii="Arial" w:cs="Arial" w:eastAsia="Arial" w:hAnsi="Arial"/>
          <w:sz w:val="17"/>
          <w:szCs w:val="17"/>
          <w:color w:val="auto"/>
        </w:rPr>
      </w:pPr>
    </w:p>
    <w:p>
      <w:pPr>
        <w:ind w:left="420" w:hanging="187"/>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458"/>
        <w:spacing w:after="0" w:line="264" w:lineRule="auto"/>
        <w:tabs>
          <w:tab w:leader="none" w:pos="695"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 notice setting forth a description of the conduct constituting Cause. If Employee’s employment is terminated for Cause, he shall be entitled to:</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Base Salary through the effective date of such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he has incurred in performing Employee’s duties hereunder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payment of any accrued but unpaid benefits (including without limitation, any bonus due by virtue of having met been employed during the entire measurement period and having met all applicable performance targets prior to the effective date of such termination), and any other rights, as required by the terms of any employee benefit plan or program of Employer.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willful failure by Employee to follow reasonable instructions of any officer to whom Employee reports or the Euronet board; (5) Employee’s gross negligence or gross misconduct in the performance of Employee’s assigned duties for Employer.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 For purposes of this entire agreement and for the avoidance of doubt, the “termination” of Employee’s employment is intended to be a “separation from service” under Code section 409A(a)(2)(A)(i) and is to be interpreted in a manner consistent with such section and applicable Treasury regulations issued thereunder.</w:t>
      </w:r>
    </w:p>
    <w:p>
      <w:pPr>
        <w:spacing w:after="0" w:line="74" w:lineRule="exact"/>
        <w:rPr>
          <w:sz w:val="20"/>
          <w:szCs w:val="20"/>
          <w:color w:val="auto"/>
        </w:rPr>
      </w:pPr>
    </w:p>
    <w:p>
      <w:pPr>
        <w:jc w:val="both"/>
        <w:ind w:right="80" w:firstLine="458"/>
        <w:spacing w:after="0" w:line="312"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by Employer Without Cause or Constructive Termination Without Cause Before a Change of Control</w:t>
      </w:r>
      <w:r>
        <w:rPr>
          <w:rFonts w:ascii="Arial" w:cs="Arial" w:eastAsia="Arial" w:hAnsi="Arial"/>
          <w:sz w:val="16"/>
          <w:szCs w:val="16"/>
          <w:color w:val="auto"/>
        </w:rPr>
        <w:t>. At any time before a Change of Control, Employer may terminate Employee’s employment without Cause, by giving written notice of termination. If Employee’s employment is terminated without Cause, or if there is a constructive termination without Cause, as defined below, Employee shall be entitled to receive from Employer the following:</w:t>
      </w:r>
    </w:p>
    <w:p>
      <w:pPr>
        <w:spacing w:after="0" w:line="38"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jc w:val="both"/>
        <w:ind w:left="1580" w:right="80" w:hanging="438"/>
        <w:spacing w:after="0" w:line="264" w:lineRule="auto"/>
        <w:tabs>
          <w:tab w:leader="none" w:pos="15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subject to Section 7(h) below, payment of the then current Base Salary for a severance Period of 6 months (increasing to 12 months as of the 6-month anniversary of this Agreement) commencing on the effective date of Employee’s termination (the “Severance Period”), in accordance with Employer’s regular salary payment practices,</w:t>
      </w:r>
    </w:p>
    <w:p>
      <w:pPr>
        <w:spacing w:after="0" w:line="86" w:lineRule="exact"/>
        <w:rPr>
          <w:rFonts w:ascii="Arial" w:cs="Arial" w:eastAsia="Arial" w:hAnsi="Arial"/>
          <w:sz w:val="18"/>
          <w:szCs w:val="18"/>
          <w:color w:val="auto"/>
        </w:rPr>
      </w:pPr>
    </w:p>
    <w:p>
      <w:pPr>
        <w:ind w:left="1580" w:right="80" w:hanging="438"/>
        <w:spacing w:after="0" w:line="279" w:lineRule="auto"/>
        <w:tabs>
          <w:tab w:leader="none" w:pos="1580" w:val="left"/>
        </w:tabs>
        <w:numPr>
          <w:ilvl w:val="2"/>
          <w:numId w:val="27"/>
        </w:numPr>
        <w:rPr>
          <w:rFonts w:ascii="Arial" w:cs="Arial" w:eastAsia="Arial" w:hAnsi="Arial"/>
          <w:sz w:val="17"/>
          <w:szCs w:val="17"/>
          <w:color w:val="auto"/>
        </w:rPr>
      </w:pPr>
      <w:r>
        <w:rPr>
          <w:rFonts w:ascii="Arial" w:cs="Arial" w:eastAsia="Arial" w:hAnsi="Arial"/>
          <w:sz w:val="17"/>
          <w:szCs w:val="17"/>
          <w:color w:val="auto"/>
        </w:rPr>
        <w:t>continuation of the vesting of any outstanding stock options, restricted stock awards and other equity incentive awards (“Equity-Based Awards”) and continuation of the Employee’s rights to exercise any outstanding Equity-Based Awards, through the full Severance Period. For purposes of these equity awards, Employee shall be considered to be an employee of the Employer during the entire Severance Period, and shall abide by the Covenant Not to Compete of Section 6(e) of this Agreement; and</w:t>
      </w:r>
    </w:p>
    <w:p>
      <w:pPr>
        <w:spacing w:after="0" w:line="76" w:lineRule="exact"/>
        <w:rPr>
          <w:rFonts w:ascii="Arial" w:cs="Arial" w:eastAsia="Arial" w:hAnsi="Arial"/>
          <w:sz w:val="17"/>
          <w:szCs w:val="17"/>
          <w:color w:val="auto"/>
        </w:rPr>
      </w:pPr>
    </w:p>
    <w:p>
      <w:pPr>
        <w:ind w:left="1580" w:hanging="438"/>
        <w:spacing w:after="0"/>
        <w:tabs>
          <w:tab w:leader="none" w:pos="15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continued coverage for Employee (and, if applicable under the applicable welfare benefit plan(s), his spouse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42" w:name="page43"/>
    <w:bookmarkEnd w:id="42"/>
    <w:p>
      <w:pPr>
        <w:ind w:left="1580"/>
        <w:spacing w:after="0" w:line="291" w:lineRule="auto"/>
        <w:rPr>
          <w:sz w:val="20"/>
          <w:szCs w:val="20"/>
          <w:color w:val="auto"/>
        </w:rPr>
      </w:pPr>
      <w:r>
        <w:rPr>
          <w:rFonts w:ascii="Arial" w:cs="Arial" w:eastAsia="Arial" w:hAnsi="Arial"/>
          <w:sz w:val="16"/>
          <w:szCs w:val="16"/>
          <w:color w:val="auto"/>
        </w:rPr>
        <w:t>and family) under Employer’s welfare benefit plans (such as medical, dental, disability and life) that covered him (or them) immediately before Employee’s termination as if he had remained in employment until the end of the Severance Period. If Employee’s participation in any Employer welfare benefit plan is barred or cannot be continued under applicable laws, Employer shall either arrange to provide substantially similar welfare benefits or pay Employee the equivalent tax affected value of such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59" w:lineRule="exact"/>
        <w:rPr>
          <w:sz w:val="20"/>
          <w:szCs w:val="20"/>
          <w:color w:val="auto"/>
        </w:rPr>
      </w:pPr>
    </w:p>
    <w:p>
      <w:pPr>
        <w:ind w:left="1120" w:right="300" w:hanging="437"/>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Employee incurred in performing his duties hereunder during the Term;</w:t>
      </w:r>
    </w:p>
    <w:p>
      <w:pPr>
        <w:spacing w:after="0" w:line="75" w:lineRule="exact"/>
        <w:rPr>
          <w:rFonts w:ascii="Arial" w:cs="Arial" w:eastAsia="Arial" w:hAnsi="Arial"/>
          <w:sz w:val="18"/>
          <w:szCs w:val="18"/>
          <w:color w:val="auto"/>
        </w:rPr>
      </w:pPr>
    </w:p>
    <w:p>
      <w:pPr>
        <w:ind w:left="1120" w:right="100" w:hanging="437"/>
        <w:spacing w:after="0" w:line="264"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bonus due up to the date on which the Severance Period commences, and any other rights, as required by the terms of any employee benefit plan or program of Employer;</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400" w:hanging="437"/>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of up to six (6) months following termination of the Severance Period, if Employee timely elects to continue those benefits under COBRA.</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 For purposes of this Agreement, “constructive termination without Cause” shall mean a termination of Employee at Employee’s own initiative within one year following the occurrence, without Employee’s prior written consent, of one or more of the following events not on account of Cause (“Constructive Termination Events”):</w:t>
      </w:r>
    </w:p>
    <w:p>
      <w:pPr>
        <w:spacing w:after="0" w:line="79" w:lineRule="exact"/>
        <w:rPr>
          <w:sz w:val="20"/>
          <w:szCs w:val="20"/>
          <w:color w:val="auto"/>
        </w:rPr>
      </w:pPr>
    </w:p>
    <w:p>
      <w:pPr>
        <w:ind w:left="240" w:right="460" w:hanging="4"/>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and adverse diminution in the nature or scope of Employee’s authority, title, responsibilities or duties, unless Employee is given new authority or duties that are substantially comparable to Employee’s previous authority or duties;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jc w:val="both"/>
        <w:ind w:left="240" w:right="320" w:hanging="4"/>
        <w:spacing w:after="0" w:line="259"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in Employee’s then-current Base Salary, or a significant reduction in Employee’s opportunities for earnings under Employee’s cash incentive bonus compensation plans (not attributable to economic conditions or business performance at the time), or the termination or significant reduction of any employee benefit or perquisite enjoyed by him (except as part of a general reduction that applies to substantially all similarly situated employees or participants);</w:t>
      </w:r>
    </w:p>
    <w:p>
      <w:pPr>
        <w:spacing w:after="0" w:line="78" w:lineRule="exact"/>
        <w:rPr>
          <w:rFonts w:ascii="Arial" w:cs="Arial" w:eastAsia="Arial" w:hAnsi="Arial"/>
          <w:sz w:val="18"/>
          <w:szCs w:val="18"/>
          <w:color w:val="auto"/>
        </w:rPr>
      </w:pPr>
    </w:p>
    <w:p>
      <w:pPr>
        <w:ind w:left="240" w:right="40" w:hanging="4"/>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Employer to obtain an assumption in writing of its obligation to perform this Agreement by any successor to all or substantially all of the assets of Employer within 45 days after a merger, consolidation, sale or similar transaction; or</w:t>
      </w:r>
    </w:p>
    <w:p>
      <w:pPr>
        <w:spacing w:after="0" w:line="62" w:lineRule="exact"/>
        <w:rPr>
          <w:rFonts w:ascii="Arial" w:cs="Arial" w:eastAsia="Arial" w:hAnsi="Arial"/>
          <w:sz w:val="18"/>
          <w:szCs w:val="18"/>
          <w:color w:val="auto"/>
        </w:rPr>
      </w:pPr>
    </w:p>
    <w:p>
      <w:pPr>
        <w:ind w:left="240" w:right="480" w:hanging="4"/>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Employee’s place of employment such that Employee is required to work more than 50 miles from Employee’s then current place of employment.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Employee believes there exists a basis for a constructive termination without Cause, Employee shall provide Employer written notice within 30 days of the occurrence of the Constructive Termination Event describing such event, and Employer shall be provided the opportunity to cure the cause of the constructive termination event within a 30-day period following Employer’s receipt of the written notice. If the cause of the constructive termination is cured, then no constructive termination without Cause shall be found to have taken place.</w:t>
      </w:r>
    </w:p>
    <w:p>
      <w:pPr>
        <w:spacing w:after="0" w:line="79" w:lineRule="exact"/>
        <w:rPr>
          <w:sz w:val="20"/>
          <w:szCs w:val="20"/>
          <w:color w:val="auto"/>
        </w:rPr>
      </w:pPr>
    </w:p>
    <w:p>
      <w:pPr>
        <w:ind w:right="140" w:firstLine="458"/>
        <w:spacing w:after="0" w:line="264" w:lineRule="auto"/>
        <w:tabs>
          <w:tab w:leader="none" w:pos="69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Employee</w:t>
      </w:r>
      <w:r>
        <w:rPr>
          <w:rFonts w:ascii="Arial" w:cs="Arial" w:eastAsia="Arial" w:hAnsi="Arial"/>
          <w:sz w:val="18"/>
          <w:szCs w:val="18"/>
          <w:color w:val="auto"/>
        </w:rPr>
        <w:t>. Employee may terminate this Agreement at any time by giving 60 days’ written notice to Employer. If Employee voluntarily terminates his employment for reasons other than Employee’s death, disability, or constructive termination without Cause, he shall be entitled to:</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then current Base Salary through the effective date of such termination;</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reimbursement of any reasonable, unreimbursed and documented business expense Employee incurred in performing Employee’s duties 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firstLine="454"/>
        <w:spacing w:after="0" w:line="402" w:lineRule="auto"/>
        <w:tabs>
          <w:tab w:leader="none" w:pos="8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as required by the terms of any employee benefit plan or program of Employer. Any payments made under this Section 7(c) shall be made within 30 days of Employee’s termination of employment.</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ind w:right="580" w:firstLine="458"/>
        <w:spacing w:after="0" w:line="342"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then current Base Salary through the effective date of such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payments made under this Section 7(d) shall be made within 30 days of Employee’s death.</w:t>
      </w:r>
    </w:p>
    <w:p>
      <w:pPr>
        <w:spacing w:after="0" w:line="117" w:lineRule="exact"/>
        <w:rPr>
          <w:sz w:val="20"/>
          <w:szCs w:val="20"/>
          <w:color w:val="auto"/>
        </w:rPr>
      </w:pPr>
    </w:p>
    <w:p>
      <w:pPr>
        <w:ind w:firstLine="458"/>
        <w:spacing w:after="0" w:line="277" w:lineRule="auto"/>
        <w:tabs>
          <w:tab w:leader="none" w:pos="695"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62" w:lineRule="exact"/>
        <w:rPr>
          <w:rFonts w:ascii="Arial" w:cs="Arial" w:eastAsia="Arial" w:hAnsi="Arial"/>
          <w:sz w:val="18"/>
          <w:szCs w:val="18"/>
          <w:color w:val="auto"/>
        </w:rPr>
      </w:pPr>
    </w:p>
    <w:p>
      <w:pPr>
        <w:ind w:left="900" w:right="56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payment of a lump-sum disability benefit equal to the then current Base Salary for the same number of months after the termination as his Severance Period as applicable on the date of termination, limited to 12 months (the “Disability Period”);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continuation of the vesting of any outstanding Equity-Based Awards and continuation of Employee’s rights to exercise any outstanding Equity-Based Awards, through the effective date of such termination and for the Disability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jc w:val="center"/>
        <w:spacing w:after="0"/>
        <w:tabs>
          <w:tab w:leader="none" w:pos="1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payments under this Section 7(e) shall be made within 30 days of Employee’s termination of employment. “Disability,” as used in this paragraph, means a physical or mental illness, injury, or condition that (a) prevents, or is likely to prevent,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w:t>
      </w:r>
    </w:p>
    <w:p>
      <w:pPr>
        <w:spacing w:after="0" w:line="80" w:lineRule="exact"/>
        <w:rPr>
          <w:sz w:val="20"/>
          <w:szCs w:val="20"/>
          <w:color w:val="auto"/>
        </w:rPr>
      </w:pPr>
    </w:p>
    <w:p>
      <w:pPr>
        <w:ind w:right="20" w:firstLine="458"/>
        <w:spacing w:after="0" w:line="279" w:lineRule="auto"/>
        <w:tabs>
          <w:tab w:leader="none" w:pos="67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Payments Terminated</w:t>
      </w:r>
      <w:r>
        <w:rPr>
          <w:rFonts w:ascii="Arial" w:cs="Arial" w:eastAsia="Arial" w:hAnsi="Arial"/>
          <w:sz w:val="17"/>
          <w:szCs w:val="17"/>
          <w:color w:val="auto"/>
        </w:rPr>
        <w:t>. If the Employer has determined in good faith that the Employee has failed to comply with the requirements of the Confidentiality, Non-Solicitation and Non-Competition provisions referenced in Section 6 hereof at any time following any termination, then Employer shall have no further obligation to pay any amounts or provide any benefits under this Agreement. For the avoidance of doubt, Employer may terminate delivery to the Employee or vesting of any awards that have not been delivered or vested as of the time any failure to comply has occurred.</w:t>
      </w:r>
    </w:p>
    <w:p>
      <w:pPr>
        <w:spacing w:after="0" w:line="63" w:lineRule="exact"/>
        <w:rPr>
          <w:rFonts w:ascii="Arial" w:cs="Arial" w:eastAsia="Arial" w:hAnsi="Arial"/>
          <w:sz w:val="17"/>
          <w:szCs w:val="17"/>
          <w:color w:val="auto"/>
        </w:rPr>
      </w:pPr>
    </w:p>
    <w:p>
      <w:pPr>
        <w:jc w:val="both"/>
        <w:ind w:right="100" w:firstLine="458"/>
        <w:spacing w:after="0" w:line="312"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Obligation to Mitigate.</w:t>
      </w:r>
      <w:r>
        <w:rPr>
          <w:rFonts w:ascii="Arial" w:cs="Arial" w:eastAsia="Arial" w:hAnsi="Arial"/>
          <w:sz w:val="16"/>
          <w:szCs w:val="16"/>
          <w:color w:val="auto"/>
        </w:rPr>
        <w:t xml:space="preserve"> Following any termination under this Section 7,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38" w:lineRule="exact"/>
        <w:rPr>
          <w:rFonts w:ascii="Arial" w:cs="Arial" w:eastAsia="Arial" w:hAnsi="Arial"/>
          <w:sz w:val="16"/>
          <w:szCs w:val="16"/>
          <w:color w:val="auto"/>
        </w:rPr>
      </w:pPr>
    </w:p>
    <w:p>
      <w:pPr>
        <w:ind w:right="100" w:firstLine="458"/>
        <w:spacing w:after="0" w:line="264"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Payments to Specified Employee</w:t>
      </w:r>
      <w:r>
        <w:rPr>
          <w:rFonts w:ascii="Arial" w:cs="Arial" w:eastAsia="Arial" w:hAnsi="Arial"/>
          <w:sz w:val="18"/>
          <w:szCs w:val="18"/>
          <w:color w:val="auto"/>
        </w:rPr>
        <w:t>. If Employee is a “specified employee” (as defined in section 409A(a)(2)(B)(i) of the Internal Revenue Code (the “Code”) (hereinafter a “Specified Employee”)) at the time Employee is eligible to be paid any amounts under Section 7(b)(i)(A) and (B), such payment(s) shall be made as follows:</w:t>
      </w:r>
    </w:p>
    <w:p>
      <w:pPr>
        <w:spacing w:after="0" w:line="73"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(A) and (B), below, shall be paid in equal installments in accordance with Employer’s regular salary payment practices over the Severance Period —</w:t>
      </w:r>
    </w:p>
    <w:p>
      <w:pPr>
        <w:spacing w:after="0" w:line="62" w:lineRule="exact"/>
        <w:rPr>
          <w:rFonts w:ascii="Arial" w:cs="Arial" w:eastAsia="Arial" w:hAnsi="Arial"/>
          <w:sz w:val="18"/>
          <w:szCs w:val="18"/>
          <w:color w:val="auto"/>
        </w:rPr>
      </w:pPr>
    </w:p>
    <w:p>
      <w:pPr>
        <w:ind w:left="1360" w:right="340" w:hanging="447"/>
        <w:spacing w:after="0" w:line="342" w:lineRule="auto"/>
        <w:tabs>
          <w:tab w:leader="none" w:pos="13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sum of Employee’s annualized compensation based upon the annual rate of pay for services provided to Employer for Employee’s taxable year preceding Employee’s taxable year in which Employee has a separation from service with Employer (adjusted for any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left="1352"/>
        <w:spacing w:after="0"/>
        <w:rPr>
          <w:sz w:val="20"/>
          <w:szCs w:val="20"/>
          <w:color w:val="auto"/>
        </w:rPr>
      </w:pPr>
      <w:r>
        <w:rPr>
          <w:rFonts w:ascii="Arial" w:cs="Arial" w:eastAsia="Arial" w:hAnsi="Arial"/>
          <w:sz w:val="18"/>
          <w:szCs w:val="18"/>
          <w:color w:val="auto"/>
        </w:rPr>
        <w:t>increase during that year that was expected to continue indefinitely if Employee had not terminated employment); or</w:t>
      </w:r>
    </w:p>
    <w:p>
      <w:pPr>
        <w:spacing w:after="0" w:line="131" w:lineRule="exact"/>
        <w:rPr>
          <w:sz w:val="20"/>
          <w:szCs w:val="20"/>
          <w:color w:val="auto"/>
        </w:rPr>
      </w:pPr>
    </w:p>
    <w:p>
      <w:pPr>
        <w:ind w:left="1352" w:right="760" w:hanging="447"/>
        <w:spacing w:after="0" w:line="277" w:lineRule="auto"/>
        <w:tabs>
          <w:tab w:leader="none" w:pos="1352"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892" w:right="40" w:hanging="446"/>
        <w:spacing w:after="0" w:line="273" w:lineRule="auto"/>
        <w:tabs>
          <w:tab w:leader="none" w:pos="892" w:val="left"/>
        </w:tabs>
        <w:numPr>
          <w:ilvl w:val="2"/>
          <w:numId w:val="47"/>
        </w:numPr>
        <w:rPr>
          <w:rFonts w:ascii="Arial" w:cs="Arial" w:eastAsia="Arial" w:hAnsi="Arial"/>
          <w:sz w:val="17"/>
          <w:szCs w:val="17"/>
          <w:color w:val="auto"/>
        </w:rPr>
      </w:pPr>
      <w:r>
        <w:rPr>
          <w:rFonts w:ascii="Arial" w:cs="Arial" w:eastAsia="Arial" w:hAnsi="Arial"/>
          <w:sz w:val="17"/>
          <w:szCs w:val="17"/>
          <w:color w:val="auto"/>
        </w:rPr>
        <w:t>That portion which exceeds the amount that may be paid under Section 7(h)(i) above shall be paid in equal installments in accordance with Employer’s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day after six months following Employee’s termination of employment, at which time all amounts held in arrears shall be paid in a lump sum and the remaining six months of severance pay shall be paid in equal installments in accordance with Employer’s regular salary payment practices over the remainder of the Severance Period.</w:t>
      </w:r>
    </w:p>
    <w:p>
      <w:pPr>
        <w:spacing w:after="0" w:line="174" w:lineRule="exact"/>
        <w:rPr>
          <w:rFonts w:ascii="Arial" w:cs="Arial" w:eastAsia="Arial" w:hAnsi="Arial"/>
          <w:sz w:val="17"/>
          <w:szCs w:val="17"/>
          <w:color w:val="auto"/>
        </w:rPr>
      </w:pPr>
    </w:p>
    <w:p>
      <w:pPr>
        <w:ind w:left="172" w:hanging="172"/>
        <w:spacing w:after="0"/>
        <w:tabs>
          <w:tab w:leader="none" w:pos="17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Employment Upon Change of Control.</w:t>
      </w:r>
    </w:p>
    <w:p>
      <w:pPr>
        <w:spacing w:after="0" w:line="121" w:lineRule="exact"/>
        <w:rPr>
          <w:rFonts w:ascii="Arial" w:cs="Arial" w:eastAsia="Arial" w:hAnsi="Arial"/>
          <w:sz w:val="18"/>
          <w:szCs w:val="18"/>
          <w:b w:val="1"/>
          <w:bCs w:val="1"/>
          <w:color w:val="auto"/>
        </w:rPr>
      </w:pPr>
    </w:p>
    <w:p>
      <w:pPr>
        <w:ind w:left="-8" w:firstLine="233"/>
        <w:spacing w:after="0" w:line="271" w:lineRule="auto"/>
        <w:tabs>
          <w:tab w:leader="none" w:pos="46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Continuation of Employment.</w:t>
      </w:r>
      <w:r>
        <w:rPr>
          <w:rFonts w:ascii="Arial" w:cs="Arial" w:eastAsia="Arial" w:hAnsi="Arial"/>
          <w:sz w:val="17"/>
          <w:szCs w:val="17"/>
          <w:color w:val="auto"/>
        </w:rPr>
        <w:t xml:space="preserve"> Subject to the terms and conditions of this Section 8, in the event of a Change of Control of Employer (as defined in Section 8(c)) at any time during Employee’s employment hereunder, Employee will remain in the employ of Employer for a period of an additional three years from the date of such Change of Control (the “Control Change Date”). Employer shall, for the three year period (the “Three-Year Period”) immediately following the Control Change Date, continue to employ Employee in a position without substantial adverse alteration in the nature or status of Employee’s authority, duties or responsibility as compared with the position Employee held immediately prior to the Change of Control. During the Three-Year Period, Employer shall continue to pay Employee salary on the same basis, at the same intervals and at a rate not less than, that paid to Employee at the Control Change Date. Any termination of employment by the Employer following a Control Change Date and during the Three-Year Period (a “Post-CoC Termination”) shall be governed by this Section 8 rather than the provisions of Section 7(a) or (b).</w:t>
      </w:r>
    </w:p>
    <w:p>
      <w:pPr>
        <w:spacing w:after="0" w:line="70" w:lineRule="exact"/>
        <w:rPr>
          <w:rFonts w:ascii="Arial" w:cs="Arial" w:eastAsia="Arial" w:hAnsi="Arial"/>
          <w:sz w:val="17"/>
          <w:szCs w:val="17"/>
          <w:color w:val="auto"/>
        </w:rPr>
      </w:pPr>
    </w:p>
    <w:p>
      <w:pPr>
        <w:ind w:left="-8" w:right="100" w:firstLine="233"/>
        <w:spacing w:after="0" w:line="264" w:lineRule="auto"/>
        <w:tabs>
          <w:tab w:leader="none" w:pos="47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Three Year Period, Employee shall be entitled to receive the following benefits and participate, on the basis of his employment position, in each of the following plans (collectively, the “Specified Benefits”) in existence, and in accordance with the terms thereof, at the Control Change Date:</w:t>
      </w:r>
    </w:p>
    <w:p>
      <w:pPr>
        <w:spacing w:after="0" w:line="73" w:lineRule="exact"/>
        <w:rPr>
          <w:rFonts w:ascii="Arial" w:cs="Arial" w:eastAsia="Arial" w:hAnsi="Arial"/>
          <w:sz w:val="18"/>
          <w:szCs w:val="18"/>
          <w:color w:val="auto"/>
        </w:rPr>
      </w:pPr>
    </w:p>
    <w:p>
      <w:pPr>
        <w:ind w:left="892" w:hanging="446"/>
        <w:spacing w:after="0"/>
        <w:tabs>
          <w:tab w:leader="none" w:pos="892"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1" w:lineRule="exact"/>
        <w:rPr>
          <w:sz w:val="20"/>
          <w:szCs w:val="20"/>
          <w:color w:val="auto"/>
        </w:rPr>
      </w:pPr>
    </w:p>
    <w:p>
      <w:pPr>
        <w:ind w:left="892" w:hanging="446"/>
        <w:spacing w:after="0"/>
        <w:tabs>
          <w:tab w:leader="none" w:pos="8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benefit plan and trust fund associated therewith, related to (A) life, health, dental, disability, or accidental death and dismemberment</w:t>
      </w:r>
    </w:p>
    <w:p>
      <w:pPr>
        <w:spacing w:after="0" w:line="209" w:lineRule="exact"/>
        <w:rPr>
          <w:rFonts w:ascii="Arial" w:cs="Arial" w:eastAsia="Arial" w:hAnsi="Arial"/>
          <w:sz w:val="17"/>
          <w:szCs w:val="17"/>
          <w:color w:val="auto"/>
        </w:rPr>
      </w:pPr>
    </w:p>
    <w:p>
      <w:pPr>
        <w:ind w:left="5612"/>
        <w:spacing w:after="0"/>
        <w:rPr>
          <w:rFonts w:ascii="Arial" w:cs="Arial" w:eastAsia="Arial" w:hAnsi="Arial"/>
          <w:sz w:val="17"/>
          <w:szCs w:val="17"/>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6" w:right="319" w:bottom="1440" w:gutter="0" w:footer="0" w:header="0"/>
        </w:sectPr>
      </w:pPr>
    </w:p>
    <w:bookmarkStart w:id="47" w:name="page48"/>
    <w:bookmarkEnd w:id="47"/>
    <w:p>
      <w:pPr>
        <w:ind w:left="860"/>
        <w:spacing w:after="0"/>
        <w:rPr>
          <w:sz w:val="20"/>
          <w:szCs w:val="20"/>
          <w:color w:val="auto"/>
        </w:rPr>
      </w:pPr>
      <w:r>
        <w:rPr>
          <w:rFonts w:ascii="Arial" w:cs="Arial" w:eastAsia="Arial" w:hAnsi="Arial"/>
          <w:sz w:val="18"/>
          <w:szCs w:val="18"/>
          <w:color w:val="auto"/>
        </w:rPr>
        <w:t>insurance, (B) employee stock ownership (such as under the Employer’s ESPP and other stock option plans); and</w:t>
      </w:r>
    </w:p>
    <w:p>
      <w:pPr>
        <w:spacing w:after="0" w:line="131" w:lineRule="exact"/>
        <w:rPr>
          <w:sz w:val="20"/>
          <w:szCs w:val="20"/>
          <w:color w:val="auto"/>
        </w:rPr>
      </w:pPr>
    </w:p>
    <w:p>
      <w:pPr>
        <w:ind w:left="-40" w:right="700" w:firstLine="454"/>
        <w:spacing w:after="0" w:line="397" w:lineRule="auto"/>
        <w:tabs>
          <w:tab w:leader="none" w:pos="8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 In addition, all outstanding Equity-Based Awards held by Employee shall become immediately vested on the Control Change Date.</w:t>
      </w:r>
    </w:p>
    <w:p>
      <w:pPr>
        <w:spacing w:after="0" w:line="2" w:lineRule="exact"/>
        <w:rPr>
          <w:sz w:val="20"/>
          <w:szCs w:val="20"/>
          <w:color w:val="auto"/>
        </w:rPr>
      </w:pPr>
    </w:p>
    <w:p>
      <w:pPr>
        <w:ind w:left="-40" w:right="20" w:firstLine="458"/>
        <w:spacing w:after="0" w:line="270" w:lineRule="auto"/>
        <w:tabs>
          <w:tab w:leader="none" w:pos="655"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xml:space="preserve"> For purposes of this Section, a “Change of Control” shall be considered to have occurred if (i) Employer has completed a merger, consolidation or dissolution such that immediately after such event the shareholders of Employer immediately before such merger, consolidation or dissolution hold less than 50% of the surviving entity and such transaction has been closed; (ii) Employer completes a sale, exchange or disposition of all or substantially all of Employer’s assets and such transaction has been closed; (iii)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(iv)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3" w:lineRule="exact"/>
        <w:rPr>
          <w:rFonts w:ascii="Arial" w:cs="Arial" w:eastAsia="Arial" w:hAnsi="Arial"/>
          <w:sz w:val="17"/>
          <w:szCs w:val="17"/>
          <w:color w:val="auto"/>
        </w:rPr>
      </w:pPr>
    </w:p>
    <w:p>
      <w:pPr>
        <w:ind w:left="-40" w:firstLine="233"/>
        <w:spacing w:after="0" w:line="308" w:lineRule="auto"/>
        <w:tabs>
          <w:tab w:leader="none" w:pos="4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After Change of Control.</w:t>
      </w:r>
      <w:r>
        <w:rPr>
          <w:rFonts w:ascii="Arial" w:cs="Arial" w:eastAsia="Arial" w:hAnsi="Arial"/>
          <w:sz w:val="17"/>
          <w:szCs w:val="17"/>
          <w:color w:val="auto"/>
        </w:rPr>
        <w:t xml:space="preserve"> Notwithstanding any other provision of this Section 8, at any time after the Control Change Date, Employer may terminate the employment of Employee with or without Cause. To the extent Employee experiences a Post-CoC Termination:</w:t>
      </w:r>
    </w:p>
    <w:p>
      <w:pPr>
        <w:spacing w:after="0" w:line="38" w:lineRule="exact"/>
        <w:rPr>
          <w:rFonts w:ascii="Arial" w:cs="Arial" w:eastAsia="Arial" w:hAnsi="Arial"/>
          <w:sz w:val="17"/>
          <w:szCs w:val="17"/>
          <w:color w:val="auto"/>
        </w:rPr>
      </w:pPr>
    </w:p>
    <w:p>
      <w:pPr>
        <w:ind w:left="860" w:right="940" w:hanging="446"/>
        <w:spacing w:after="0" w:line="277"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Employer shall pay Employee any earned but unpaid portion of Employee’s Base Salary through the effective date of such Post-CoC Termination;</w:t>
      </w:r>
    </w:p>
    <w:p>
      <w:pPr>
        <w:spacing w:after="0" w:line="75" w:lineRule="exact"/>
        <w:rPr>
          <w:rFonts w:ascii="Arial" w:cs="Arial" w:eastAsia="Arial" w:hAnsi="Arial"/>
          <w:sz w:val="18"/>
          <w:szCs w:val="18"/>
          <w:color w:val="auto"/>
        </w:rPr>
      </w:pPr>
    </w:p>
    <w:p>
      <w:pPr>
        <w:ind w:left="860" w:right="380" w:hanging="446"/>
        <w:spacing w:after="0" w:line="277"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Employer shall reimburse Employee for any reasonable, unreimbursed and documented business expenses Employee incurred in performing Employee’s duties hereunder;</w:t>
      </w:r>
    </w:p>
    <w:p>
      <w:pPr>
        <w:spacing w:after="0" w:line="75" w:lineRule="exact"/>
        <w:rPr>
          <w:rFonts w:ascii="Arial" w:cs="Arial" w:eastAsia="Arial" w:hAnsi="Arial"/>
          <w:sz w:val="18"/>
          <w:szCs w:val="18"/>
          <w:color w:val="auto"/>
        </w:rPr>
      </w:pPr>
    </w:p>
    <w:p>
      <w:pPr>
        <w:ind w:left="860" w:right="80" w:hanging="446"/>
        <w:spacing w:after="0" w:line="291" w:lineRule="auto"/>
        <w:tabs>
          <w:tab w:leader="none" w:pos="8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Employer shall pay Employee an amount (the “Special Severance Payment”) equal to the present value (calculated using a discount rate equal to 7.5% per annum) of Employee’s Base Salary that would have been paid to Employee had Employee remained an employee until the later of</w:t>
      </w:r>
    </w:p>
    <w:p>
      <w:pPr>
        <w:ind w:left="860" w:right="580" w:hanging="1"/>
        <w:spacing w:after="0" w:line="261" w:lineRule="auto"/>
        <w:tabs>
          <w:tab w:leader="none" w:pos="11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end of the Three-Year Period or (B) 24 months following the effective date of Employee’s Post-CoC Termination (such additional 24 month period in this Section 8(d)(iii)(B) hereinafter referred to as the “Extended Period”);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48" w:name="page49"/>
    <w:bookmarkEnd w:id="48"/>
    <w:p>
      <w:pPr>
        <w:ind w:left="860" w:hanging="446"/>
        <w:spacing w:after="0" w:line="271" w:lineRule="auto"/>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Employer shall provide Employee (and, if applicable under the applicable welfare benefit plan(s), his spouse and family) coverage under Employer’s welfare benefit plans (such as medical, dental, disability and life) that covered him (or them) immediately before Employee’s termination as if he had remained in employment until the end of the Three-Year Period, or, if longer, the end of the Extended Period. If Employee’s participation in any welfare plan is barred, the Employer shall either arrange to provide Employee (his spouse and family, if applicable) substantially similar welfare benefits or pay Employee the equivalent tax affected value of the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Payments required under paragraphs (i) through (iv) above shall be made in accordance with Section 8(f).</w:t>
      </w:r>
    </w:p>
    <w:p>
      <w:pPr>
        <w:spacing w:after="0" w:line="117" w:lineRule="exact"/>
        <w:rPr>
          <w:sz w:val="20"/>
          <w:szCs w:val="20"/>
          <w:color w:val="auto"/>
        </w:rPr>
      </w:pPr>
    </w:p>
    <w:p>
      <w:pPr>
        <w:ind w:left="-40" w:right="20" w:firstLine="233"/>
        <w:spacing w:after="0" w:line="297" w:lineRule="auto"/>
        <w:tabs>
          <w:tab w:leader="none" w:pos="43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Resignation following a Change of Control.</w:t>
      </w:r>
      <w:r>
        <w:rPr>
          <w:rFonts w:ascii="Arial" w:cs="Arial" w:eastAsia="Arial" w:hAnsi="Arial"/>
          <w:sz w:val="16"/>
          <w:szCs w:val="16"/>
          <w:color w:val="auto"/>
        </w:rPr>
        <w:t xml:space="preserve"> If, within the Three-Year Period Employee experiences a Constructive Termination Event, and after providing written notice to Employer no later than 90 days of the date the Constructive Termination Event first arose or occurred, Employer fails to cure the event or condition giving rise to the Constructive Event within the 30-day period following Employer’s receipt of the written notice, Employee may, effective at the end of such 30-day cure period, resign his employment with Employer (the “Resignation”). In connection with such Resignation, Employer shall pay to Employee the same amounts and benefits Employee would have been entitled to receive if he experienced a Post-CoC Termination under Section 8(d) above.</w:t>
      </w:r>
    </w:p>
    <w:p>
      <w:pPr>
        <w:spacing w:after="0" w:line="50" w:lineRule="exact"/>
        <w:rPr>
          <w:rFonts w:ascii="Arial" w:cs="Arial" w:eastAsia="Arial" w:hAnsi="Arial"/>
          <w:sz w:val="16"/>
          <w:szCs w:val="16"/>
          <w:color w:val="auto"/>
        </w:rPr>
      </w:pPr>
    </w:p>
    <w:p>
      <w:pPr>
        <w:ind w:left="-40" w:right="60" w:firstLine="233"/>
        <w:spacing w:after="0" w:line="297" w:lineRule="auto"/>
        <w:tabs>
          <w:tab w:leader="none" w:pos="41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time at which all payments due under Sections 8(d) or 8(e) above will commence and the form in which such payments will be made will depend upon the following three factors: (1) whether Employee is a Specified Employee, (2) whether the Post-CoC Termination occurs on or before, or after the second anniversary of the Control Change Date and (3) whether the Change of Control constitutes a “change in the ownership or effective control” of Employer or a “change in the ownership of a substantial portion of the assets” of Employer within the meaning of Code section 409A(a)(2)(A)(v) and the applicable Treasury Regulations issued thereunder (a “Section 409A Change of Control”) . Each of the payment scenarios is set forth below:</w:t>
      </w:r>
    </w:p>
    <w:p>
      <w:pPr>
        <w:spacing w:after="0" w:line="50" w:lineRule="exact"/>
        <w:rPr>
          <w:rFonts w:ascii="Arial" w:cs="Arial" w:eastAsia="Arial" w:hAnsi="Arial"/>
          <w:sz w:val="16"/>
          <w:szCs w:val="16"/>
          <w:color w:val="auto"/>
        </w:rPr>
      </w:pPr>
    </w:p>
    <w:p>
      <w:pPr>
        <w:ind w:left="860" w:right="40" w:hanging="446"/>
        <w:spacing w:after="0" w:line="264" w:lineRule="auto"/>
        <w:tabs>
          <w:tab w:leader="none" w:pos="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made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49" w:name="page50"/>
    <w:bookmarkEnd w:id="49"/>
    <w:p>
      <w:pPr>
        <w:ind w:left="906" w:right="100" w:hanging="447"/>
        <w:spacing w:after="0" w:line="277" w:lineRule="auto"/>
        <w:tabs>
          <w:tab w:leader="none" w:pos="9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66" w:right="100" w:hanging="448"/>
        <w:spacing w:after="0" w:line="259" w:lineRule="auto"/>
        <w:tabs>
          <w:tab w:leader="none" w:pos="13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366" w:right="340" w:hanging="448"/>
        <w:spacing w:after="0" w:line="277" w:lineRule="auto"/>
        <w:tabs>
          <w:tab w:leader="none" w:pos="13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906" w:hanging="447"/>
        <w:spacing w:after="0" w:line="277" w:lineRule="auto"/>
        <w:tabs>
          <w:tab w:leader="none" w:pos="9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portion which exceeds the amounts that may be paid under Section 8(f)(i)(A) above shall be paid, in a lump sum, on the first day after the six month anniversary of the effective date of Employee’s termination of employment.</w:t>
      </w:r>
    </w:p>
    <w:p>
      <w:pPr>
        <w:spacing w:after="0" w:line="62" w:lineRule="exact"/>
        <w:rPr>
          <w:rFonts w:ascii="Arial" w:cs="Arial" w:eastAsia="Arial" w:hAnsi="Arial"/>
          <w:sz w:val="18"/>
          <w:szCs w:val="18"/>
          <w:color w:val="auto"/>
        </w:rPr>
      </w:pPr>
    </w:p>
    <w:p>
      <w:pPr>
        <w:ind w:left="446" w:right="180" w:hanging="446"/>
        <w:spacing w:after="0" w:line="312"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paid in a lump sum payment within 5 business days of Employee’s termination of employment.</w:t>
      </w:r>
    </w:p>
    <w:p>
      <w:pPr>
        <w:spacing w:after="0" w:line="52" w:lineRule="exact"/>
        <w:rPr>
          <w:rFonts w:ascii="Arial" w:cs="Arial" w:eastAsia="Arial" w:hAnsi="Arial"/>
          <w:sz w:val="16"/>
          <w:szCs w:val="16"/>
          <w:color w:val="auto"/>
        </w:rPr>
      </w:pPr>
    </w:p>
    <w:p>
      <w:pPr>
        <w:ind w:left="446" w:right="20" w:hanging="446"/>
        <w:spacing w:after="0" w:line="264"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906" w:right="100" w:hanging="447"/>
        <w:spacing w:after="0" w:line="277" w:lineRule="auto"/>
        <w:tabs>
          <w:tab w:leader="none" w:pos="9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66" w:right="760" w:hanging="448"/>
        <w:spacing w:after="0" w:line="277" w:lineRule="auto"/>
        <w:tabs>
          <w:tab w:leader="none" w:pos="1366"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w:t>
      </w:r>
    </w:p>
    <w:p>
      <w:pPr>
        <w:spacing w:after="0" w:line="14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50" w:name="page51"/>
    <w:bookmarkEnd w:id="50"/>
    <w:p>
      <w:pPr>
        <w:ind w:left="1366"/>
        <w:spacing w:after="0" w:line="277" w:lineRule="auto"/>
        <w:rPr>
          <w:sz w:val="20"/>
          <w:szCs w:val="20"/>
          <w:color w:val="auto"/>
        </w:rPr>
      </w:pPr>
      <w:r>
        <w:rPr>
          <w:rFonts w:ascii="Arial" w:cs="Arial" w:eastAsia="Arial" w:hAnsi="Arial"/>
          <w:sz w:val="18"/>
          <w:szCs w:val="18"/>
          <w:color w:val="auto"/>
        </w:rPr>
        <w:t>Employee’s taxable year in which Employee has a separation from service with such Employer (adjusted for any increase during that year that was expected to continue indefinitely if Employee had not terminated employment); or</w:t>
      </w:r>
    </w:p>
    <w:p>
      <w:pPr>
        <w:spacing w:after="0" w:line="76" w:lineRule="exact"/>
        <w:rPr>
          <w:sz w:val="20"/>
          <w:szCs w:val="20"/>
          <w:color w:val="auto"/>
        </w:rPr>
      </w:pPr>
    </w:p>
    <w:p>
      <w:pPr>
        <w:ind w:left="1366" w:right="360" w:hanging="448"/>
        <w:spacing w:after="0" w:line="277" w:lineRule="auto"/>
        <w:tabs>
          <w:tab w:leader="none" w:pos="1366"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906" w:right="20" w:hanging="447"/>
        <w:spacing w:after="0" w:line="255" w:lineRule="auto"/>
        <w:tabs>
          <w:tab w:leader="none" w:pos="90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8(f)(iii)(A) above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 lump sum and the remaining 18 months of severance pay shall be paid in equal installments in accordance with Employer’s regular salary payment practices over the Severance Period.</w:t>
      </w:r>
    </w:p>
    <w:p>
      <w:pPr>
        <w:spacing w:after="0" w:line="81" w:lineRule="exact"/>
        <w:rPr>
          <w:rFonts w:ascii="Arial" w:cs="Arial" w:eastAsia="Arial" w:hAnsi="Arial"/>
          <w:sz w:val="18"/>
          <w:szCs w:val="18"/>
          <w:color w:val="auto"/>
        </w:rPr>
      </w:pPr>
    </w:p>
    <w:p>
      <w:pPr>
        <w:jc w:val="both"/>
        <w:ind w:left="446" w:right="640" w:hanging="446"/>
        <w:spacing w:after="0" w:line="264"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906" w:right="40" w:hanging="447"/>
        <w:spacing w:after="0" w:line="277" w:lineRule="auto"/>
        <w:tabs>
          <w:tab w:leader="none" w:pos="90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66" w:right="120" w:hanging="448"/>
        <w:spacing w:after="0" w:line="259" w:lineRule="auto"/>
        <w:tabs>
          <w:tab w:leader="none" w:pos="13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16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36" w:right="259" w:bottom="1440" w:gutter="0" w:footer="0" w:header="0"/>
        </w:sectPr>
      </w:pPr>
    </w:p>
    <w:bookmarkStart w:id="51" w:name="page52"/>
    <w:bookmarkEnd w:id="51"/>
    <w:p>
      <w:pPr>
        <w:ind w:left="1780" w:right="360" w:hanging="448"/>
        <w:spacing w:after="0" w:line="277" w:lineRule="auto"/>
        <w:tabs>
          <w:tab w:leader="none" w:pos="1780"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320" w:right="400" w:hanging="447"/>
        <w:spacing w:after="0" w:line="277" w:lineRule="auto"/>
        <w:tabs>
          <w:tab w:leader="none" w:pos="13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8(f)(iv)(A), above, shall be paid in equal installments over the Severance Period in accordance with Employer’s regular salary payment practices.</w:t>
      </w:r>
    </w:p>
    <w:p>
      <w:pPr>
        <w:spacing w:after="0" w:line="62" w:lineRule="exact"/>
        <w:rPr>
          <w:rFonts w:ascii="Arial" w:cs="Arial" w:eastAsia="Arial" w:hAnsi="Arial"/>
          <w:sz w:val="18"/>
          <w:szCs w:val="18"/>
          <w:color w:val="auto"/>
        </w:rPr>
      </w:pPr>
    </w:p>
    <w:p>
      <w:pPr>
        <w:jc w:val="both"/>
        <w:ind w:left="860" w:hanging="446"/>
        <w:spacing w:after="0" w:line="264" w:lineRule="auto"/>
        <w:tabs>
          <w:tab w:leader="none" w:pos="8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made in the same manner as Section 8(f)(iii) above.</w:t>
      </w:r>
    </w:p>
    <w:p>
      <w:pPr>
        <w:spacing w:after="0" w:line="86" w:lineRule="exact"/>
        <w:rPr>
          <w:rFonts w:ascii="Arial" w:cs="Arial" w:eastAsia="Arial" w:hAnsi="Arial"/>
          <w:sz w:val="18"/>
          <w:szCs w:val="18"/>
          <w:color w:val="auto"/>
        </w:rPr>
      </w:pPr>
    </w:p>
    <w:p>
      <w:pPr>
        <w:ind w:left="860" w:right="640" w:hanging="446"/>
        <w:spacing w:after="0" w:line="312" w:lineRule="auto"/>
        <w:tabs>
          <w:tab w:leader="none" w:pos="8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shall be made in the same manner as Section 8(f)(iv) above.</w:t>
      </w:r>
    </w:p>
    <w:p>
      <w:pPr>
        <w:spacing w:after="0" w:line="38" w:lineRule="exact"/>
        <w:rPr>
          <w:rFonts w:ascii="Arial" w:cs="Arial" w:eastAsia="Arial" w:hAnsi="Arial"/>
          <w:sz w:val="16"/>
          <w:szCs w:val="16"/>
          <w:color w:val="auto"/>
        </w:rPr>
      </w:pPr>
    </w:p>
    <w:p>
      <w:pPr>
        <w:ind w:left="440" w:hanging="247"/>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left="-40" w:right="300" w:firstLine="458"/>
        <w:spacing w:after="0" w:line="286" w:lineRule="auto"/>
        <w:tabs>
          <w:tab w:leader="none" w:pos="625"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xml:space="preserve"> After the Control Change Date,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57" w:lineRule="exact"/>
        <w:rPr>
          <w:rFonts w:ascii="Arial" w:cs="Arial" w:eastAsia="Arial" w:hAnsi="Arial"/>
          <w:sz w:val="17"/>
          <w:szCs w:val="17"/>
          <w:color w:val="auto"/>
        </w:rPr>
      </w:pPr>
    </w:p>
    <w:p>
      <w:pPr>
        <w:ind w:left="-40" w:right="80" w:firstLine="458"/>
        <w:spacing w:after="0" w:line="276" w:lineRule="auto"/>
        <w:tabs>
          <w:tab w:leader="none" w:pos="675"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left="-40" w:right="200" w:firstLine="233"/>
        <w:spacing w:after="0" w:line="312" w:lineRule="auto"/>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52" w:name="page53"/>
    <w:bookmarkEnd w:id="52"/>
    <w:p>
      <w:pPr>
        <w:ind w:right="120"/>
        <w:spacing w:after="0" w:line="259" w:lineRule="auto"/>
        <w:rPr>
          <w:sz w:val="20"/>
          <w:szCs w:val="20"/>
          <w:color w:val="auto"/>
        </w:rPr>
      </w:pPr>
      <w:r>
        <w:rPr>
          <w:rFonts w:ascii="Arial" w:cs="Arial" w:eastAsia="Arial" w:hAnsi="Arial"/>
          <w:sz w:val="18"/>
          <w:szCs w:val="18"/>
          <w:color w:val="auto"/>
        </w:rPr>
        <w:t>dissolution of Employer or any merger or consolidation or acquisition involving 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75" w:lineRule="exact"/>
        <w:rPr>
          <w:sz w:val="20"/>
          <w:szCs w:val="20"/>
          <w:color w:val="auto"/>
        </w:rPr>
      </w:pPr>
    </w:p>
    <w:p>
      <w:pPr>
        <w:ind w:right="200" w:firstLine="233"/>
        <w:spacing w:after="0" w:line="266" w:lineRule="auto"/>
        <w:tabs>
          <w:tab w:leader="none" w:pos="4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right="160" w:firstLine="233"/>
        <w:spacing w:after="0" w:line="289" w:lineRule="auto"/>
        <w:tabs>
          <w:tab w:leader="none" w:pos="495"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firstLine="233"/>
        <w:spacing w:after="0" w:line="266" w:lineRule="auto"/>
        <w:tabs>
          <w:tab w:leader="none" w:pos="48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right="80" w:firstLine="233"/>
        <w:spacing w:after="0" w:line="289" w:lineRule="auto"/>
        <w:tabs>
          <w:tab w:leader="none" w:pos="495"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and 11 through 18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 extend the Term of this Agreement (or the Executive’s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right="380" w:firstLine="233"/>
        <w:spacing w:after="0" w:line="282" w:lineRule="auto"/>
        <w:tabs>
          <w:tab w:leader="none" w:pos="4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Kansas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80" w:firstLine="233"/>
        <w:spacing w:after="0" w:line="347" w:lineRule="auto"/>
        <w:tabs>
          <w:tab w:leader="none" w:pos="49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260" w:firstLine="233"/>
        <w:spacing w:after="0" w:line="258" w:lineRule="auto"/>
        <w:tabs>
          <w:tab w:leader="none" w:pos="4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53" w:name="page54"/>
    <w:bookmarkEnd w:id="53"/>
    <w:p>
      <w:pPr>
        <w:ind w:right="180" w:firstLine="233"/>
        <w:spacing w:after="0" w:line="266" w:lineRule="auto"/>
        <w:tabs>
          <w:tab w:leader="none" w:pos="49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 written consent. Subject to the foregoing, this Agreement shall be binding upon and inure to the benefit of Employer and Employee and their heirs, successors and assigns.</w:t>
      </w:r>
    </w:p>
    <w:p>
      <w:pPr>
        <w:spacing w:after="0" w:line="68" w:lineRule="exact"/>
        <w:rPr>
          <w:rFonts w:ascii="Arial" w:cs="Arial" w:eastAsia="Arial" w:hAnsi="Arial"/>
          <w:sz w:val="18"/>
          <w:szCs w:val="18"/>
          <w:b w:val="1"/>
          <w:bCs w:val="1"/>
          <w:color w:val="auto"/>
        </w:rPr>
      </w:pPr>
    </w:p>
    <w:p>
      <w:pPr>
        <w:ind w:right="60" w:firstLine="233"/>
        <w:spacing w:after="0" w:line="292" w:lineRule="auto"/>
        <w:tabs>
          <w:tab w:leader="none" w:pos="49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meet the requirements of Section 409A of the Code and may be administered in a manner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meet those requirements and shall be construed and interpreted in accordance with such intent. To the extent that any payment or benefit provided hereunder is subject to Section 409A of the Code, such payment or benefit shall be provided in a manner that will meet the requirements of Section 409A of the Code, including regulations or other guidance issued with respect thereto, such that the payment or benefit shall not be subject to the excise tax applicable under Section 409A of the Code. Any provision of this Agreement that would cause any payment or benefit to fail to satisfy Section 409A of the Code shall be amended (in a manner that as closely as practicable achieves the original intent of this Agreement) to comply with Section 409A of the Code on a timely basis, which may be made on a retroactive basis, in accordance with regulations and other guidance issued under Section 409A of the Code.</w:t>
      </w:r>
    </w:p>
    <w:p>
      <w:pPr>
        <w:spacing w:after="0" w:line="54" w:lineRule="exact"/>
        <w:rPr>
          <w:sz w:val="20"/>
          <w:szCs w:val="20"/>
          <w:color w:val="auto"/>
        </w:rPr>
      </w:pPr>
    </w:p>
    <w:p>
      <w:pPr>
        <w:ind w:right="20" w:firstLine="233"/>
        <w:spacing w:after="0" w:line="266" w:lineRule="auto"/>
        <w:tabs>
          <w:tab w:leader="none" w:pos="49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20"/>
          </w:cols>
          <w:pgMar w:left="240" w:top="932" w:right="239" w:bottom="1440" w:gutter="0" w:footer="0" w:header="0"/>
        </w:sectPr>
      </w:pPr>
    </w:p>
    <w:p>
      <w:pPr>
        <w:spacing w:after="0" w:line="18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3240" w:space="720"/>
            <w:col w:w="7460"/>
          </w:cols>
          <w:pgMar w:left="240" w:top="932" w:right="239" w:bottom="144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Charles T. Piper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364 Borica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Danville, CA 94526</w:t>
      </w:r>
    </w:p>
    <w:p>
      <w:pPr>
        <w:spacing w:after="0" w:line="126" w:lineRule="exact"/>
        <w:rPr>
          <w:sz w:val="20"/>
          <w:szCs w:val="20"/>
          <w:color w:val="auto"/>
        </w:rPr>
      </w:pPr>
    </w:p>
    <w:p>
      <w:pPr>
        <w:sectPr>
          <w:pgSz w:w="11900" w:h="16838" w:orient="portrait"/>
          <w:cols w:equalWidth="0" w:num="2">
            <w:col w:w="3240" w:space="720"/>
            <w:col w:w="7460"/>
          </w:cols>
          <w:pgMar w:left="240" w:top="932" w:right="239" w:bottom="1440" w:gutter="0" w:footer="0" w:header="0"/>
          <w:type w:val="continuous"/>
        </w:sectPr>
      </w:pPr>
    </w:p>
    <w:p>
      <w:pPr>
        <w:spacing w:after="0"/>
        <w:rPr>
          <w:sz w:val="20"/>
          <w:szCs w:val="20"/>
          <w:color w:val="auto"/>
        </w:rPr>
      </w:pPr>
      <w:r>
        <w:rPr>
          <w:rFonts w:ascii="Arial" w:cs="Arial" w:eastAsia="Arial" w:hAnsi="Arial"/>
          <w:sz w:val="18"/>
          <w:szCs w:val="18"/>
          <w:color w:val="auto"/>
        </w:rPr>
        <w:t>or to such other address as Employer or Employee shall have furnished to the other in writing.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duly executed this Agreement, to be effective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Euronet Worldwide, Inc.</w:t>
            </w:r>
          </w:p>
        </w:tc>
        <w:tc>
          <w:tcPr>
            <w:tcW w:w="186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 Delaware Corporation</w:t>
            </w:r>
          </w:p>
        </w:tc>
        <w:tc>
          <w:tcPr>
            <w:tcW w:w="1860" w:type="dxa"/>
            <w:vAlign w:val="bottom"/>
          </w:tcPr>
          <w:p>
            <w:pPr>
              <w:spacing w:after="0"/>
              <w:rPr>
                <w:sz w:val="20"/>
                <w:szCs w:val="20"/>
                <w:color w:val="auto"/>
              </w:rPr>
            </w:pPr>
          </w:p>
        </w:tc>
      </w:tr>
      <w:tr>
        <w:trPr>
          <w:trHeight w:val="432"/>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T. Piper</w:t>
            </w:r>
          </w:p>
        </w:tc>
        <w:tc>
          <w:tcPr>
            <w:tcW w:w="194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Caponecchi</w:t>
            </w:r>
          </w:p>
        </w:tc>
        <w:tc>
          <w:tcPr>
            <w:tcW w:w="1860" w:type="dxa"/>
            <w:vAlign w:val="bottom"/>
          </w:tcPr>
          <w:p>
            <w:pPr>
              <w:spacing w:after="0"/>
              <w:rPr>
                <w:sz w:val="24"/>
                <w:szCs w:val="24"/>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Charles T. Piper</w:t>
            </w:r>
          </w:p>
        </w:tc>
        <w:tc>
          <w:tcPr>
            <w:tcW w:w="19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By:  Kevin Caponecchi</w:t>
            </w:r>
          </w:p>
        </w:tc>
        <w:tc>
          <w:tcPr>
            <w:tcW w:w="186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Its:  President</w:t>
            </w:r>
          </w:p>
        </w:tc>
        <w:tc>
          <w:tcPr>
            <w:tcW w:w="1860" w:type="dxa"/>
            <w:vAlign w:val="bottom"/>
          </w:tcPr>
          <w:p>
            <w:pPr>
              <w:spacing w:after="0"/>
              <w:rPr>
                <w:sz w:val="20"/>
                <w:szCs w:val="20"/>
                <w:color w:val="auto"/>
              </w:rPr>
            </w:pPr>
          </w:p>
        </w:tc>
      </w:tr>
      <w:tr>
        <w:trPr>
          <w:trHeight w:val="405"/>
        </w:trPr>
        <w:tc>
          <w:tcPr>
            <w:tcW w:w="3220" w:type="dxa"/>
            <w:vAlign w:val="bottom"/>
          </w:tcPr>
          <w:p>
            <w:pPr>
              <w:spacing w:after="0"/>
              <w:rPr>
                <w:sz w:val="24"/>
                <w:szCs w:val="24"/>
                <w:color w:val="auto"/>
              </w:rPr>
            </w:pPr>
          </w:p>
        </w:tc>
        <w:tc>
          <w:tcPr>
            <w:tcW w:w="6340" w:type="dxa"/>
            <w:vAlign w:val="bottom"/>
            <w:gridSpan w:val="2"/>
          </w:tcPr>
          <w:p>
            <w:pPr>
              <w:jc w:val="right"/>
              <w:ind w:right="3670"/>
              <w:spacing w:after="0"/>
              <w:rPr>
                <w:sz w:val="20"/>
                <w:szCs w:val="20"/>
                <w:color w:val="auto"/>
              </w:rPr>
            </w:pPr>
            <w:r>
              <w:rPr>
                <w:rFonts w:ascii="Arial" w:cs="Arial" w:eastAsia="Arial" w:hAnsi="Arial"/>
                <w:sz w:val="18"/>
                <w:szCs w:val="18"/>
                <w:color w:val="auto"/>
              </w:rPr>
              <w:t>18</w:t>
            </w:r>
          </w:p>
        </w:tc>
        <w:tc>
          <w:tcPr>
            <w:tcW w:w="1860" w:type="dxa"/>
            <w:vAlign w:val="bottom"/>
          </w:tcPr>
          <w:p>
            <w:pPr>
              <w:spacing w:after="0"/>
              <w:rPr>
                <w:sz w:val="24"/>
                <w:szCs w:val="24"/>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EXHIBIT A</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2010 CASH BONUS POTENTIAL AND INITIAL EQUITY AWARD</w:t>
      </w:r>
    </w:p>
    <w:p>
      <w:pPr>
        <w:spacing w:after="0" w:line="22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Cash Incentive Bonus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Employee’s cash bonus potential will be: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Threshold: 30% of Base Salary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Target: 60% of Base Salary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Maximum: 100% of Base Salary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targets for each of the above for 2010 will be as follows:</w:t>
      </w:r>
    </w:p>
    <w:p>
      <w:pPr>
        <w:spacing w:after="0" w:line="221" w:lineRule="exact"/>
        <w:rPr>
          <w:sz w:val="20"/>
          <w:szCs w:val="20"/>
          <w:color w:val="auto"/>
        </w:rPr>
      </w:pPr>
    </w:p>
    <w:p>
      <w:pPr>
        <w:spacing w:after="0"/>
        <w:tabs>
          <w:tab w:leader="none" w:pos="9260" w:val="left"/>
          <w:tab w:leader="none" w:pos="10620" w:val="left"/>
        </w:tabs>
        <w:rPr>
          <w:sz w:val="20"/>
          <w:szCs w:val="20"/>
          <w:color w:val="auto"/>
        </w:rPr>
      </w:pPr>
      <w:r>
        <w:rPr>
          <w:rFonts w:ascii="Arial" w:cs="Arial" w:eastAsia="Arial" w:hAnsi="Arial"/>
          <w:sz w:val="14"/>
          <w:szCs w:val="14"/>
          <w:color w:val="auto"/>
        </w:rPr>
        <w:t>Threshold</w:t>
      </w:r>
      <w:r>
        <w:rPr>
          <w:sz w:val="20"/>
          <w:szCs w:val="20"/>
          <w:color w:val="auto"/>
        </w:rPr>
        <w:tab/>
      </w:r>
      <w:r>
        <w:rPr>
          <w:rFonts w:ascii="Arial" w:cs="Arial" w:eastAsia="Arial" w:hAnsi="Arial"/>
          <w:sz w:val="14"/>
          <w:szCs w:val="14"/>
          <w:color w:val="auto"/>
        </w:rPr>
        <w:t>Target</w:t>
      </w:r>
      <w:r>
        <w:rPr>
          <w:sz w:val="20"/>
          <w:szCs w:val="20"/>
          <w:color w:val="auto"/>
        </w:rPr>
        <w:tab/>
      </w:r>
      <w:r>
        <w:rPr>
          <w:rFonts w:ascii="Arial" w:cs="Arial" w:eastAsia="Arial" w:hAnsi="Arial"/>
          <w:sz w:val="13"/>
          <w:szCs w:val="13"/>
          <w:color w:val="auto"/>
        </w:rPr>
        <w:t>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78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 w:lineRule="exact"/>
        <w:rPr>
          <w:sz w:val="20"/>
          <w:szCs w:val="20"/>
          <w:color w:val="auto"/>
        </w:rPr>
      </w:pPr>
    </w:p>
    <w:p>
      <w:pPr>
        <w:ind w:left="220" w:right="3080" w:hanging="202"/>
        <w:spacing w:after="0" w:line="259" w:lineRule="auto"/>
        <w:rPr>
          <w:sz w:val="20"/>
          <w:szCs w:val="20"/>
          <w:color w:val="auto"/>
        </w:rPr>
      </w:pPr>
      <w:r>
        <w:rPr>
          <w:rFonts w:ascii="Arial" w:cs="Arial" w:eastAsia="Arial" w:hAnsi="Arial"/>
          <w:sz w:val="18"/>
          <w:szCs w:val="18"/>
          <w:color w:val="auto"/>
        </w:rPr>
        <w:t>Shall be based on Management by Objectives (“MBO’s”) to be mutually agreed upon by Employer and Employee within thirty (30) days of the Effective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Bonus payable with respect to 2010 will be 10/12</w:t>
      </w:r>
      <w:r>
        <w:rPr>
          <w:rFonts w:ascii="Arial" w:cs="Arial" w:eastAsia="Arial" w:hAnsi="Arial"/>
          <w:sz w:val="15"/>
          <w:szCs w:val="15"/>
          <w:color w:val="auto"/>
        </w:rPr>
        <w:t>th</w:t>
      </w:r>
      <w:r>
        <w:rPr>
          <w:rFonts w:ascii="Arial" w:cs="Arial" w:eastAsia="Arial" w:hAnsi="Arial"/>
          <w:sz w:val="18"/>
          <w:szCs w:val="18"/>
          <w:color w:val="auto"/>
        </w:rPr>
        <w:t xml:space="preserve"> of full bonus as determined above.</w:t>
      </w:r>
    </w:p>
    <w:p>
      <w:pPr>
        <w:spacing w:after="0" w:line="117"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Initial Equity Incentive Award.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Employee will be granted an initial award of equity with “Black Scholes” value of $750,000 at the time of grant, to be allocated 40% to restricted stock units (“RSUs”) and 60% to stock options. The options and RSUs will vest over 5 years, with 2/5ths vesting as of the second anniversary date of grant and the remainder vesting in 1/5 increments each anniversary date thereafter.</w:t>
      </w:r>
    </w:p>
    <w:p>
      <w:pPr>
        <w:spacing w:after="0" w:line="73"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Other Terms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is a condition to payment of cash or incentive bonus that Employee be an employee of Employer at the time the fulfillment of performance targets are confirmed by the Compensation Committee of Employer.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932"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EURONET WORLDWIDE, INC.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6"/>
              </w:rPr>
              <w:t>Pretax income from continuing operations before adjustment for income from</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subsidiaries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21,756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11,490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12,217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30,180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23,707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31,365</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2,232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12,217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16,229</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jc w:val="center"/>
              <w:ind w:left="1570"/>
              <w:spacing w:after="0"/>
              <w:rPr>
                <w:sz w:val="20"/>
                <w:szCs w:val="20"/>
                <w:color w:val="auto"/>
              </w:rPr>
            </w:pPr>
            <w:r>
              <w:rPr>
                <w:rFonts w:ascii="Arial" w:cs="Arial" w:eastAsia="Arial" w:hAnsi="Arial"/>
                <w:sz w:val="18"/>
                <w:szCs w:val="18"/>
                <w:color w:val="auto"/>
                <w:w w:val="89"/>
              </w:rPr>
              <w:t>36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80" w:firstLine="4"/>
        <w:spacing w:after="0" w:line="264" w:lineRule="auto"/>
        <w:tabs>
          <w:tab w:leader="none" w:pos="6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60" w:firstLine="4"/>
        <w:spacing w:after="0" w:line="264"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firstLine="4"/>
        <w:spacing w:after="0" w:line="308" w:lineRule="auto"/>
        <w:tabs>
          <w:tab w:leader="none" w:pos="645"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20" w:firstLine="4"/>
        <w:spacing w:after="0" w:line="264"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460" w:right="60" w:firstLine="4"/>
        <w:spacing w:after="0" w:line="277" w:lineRule="auto"/>
        <w:tabs>
          <w:tab w:leader="none" w:pos="6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100" w:firstLine="4"/>
        <w:spacing w:after="0" w:line="277"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17"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80" w:firstLine="4"/>
        <w:spacing w:after="0" w:line="264" w:lineRule="auto"/>
        <w:tabs>
          <w:tab w:leader="none" w:pos="6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60" w:firstLine="4"/>
        <w:spacing w:after="0" w:line="264" w:lineRule="auto"/>
        <w:tabs>
          <w:tab w:leader="none" w:pos="6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firstLine="4"/>
        <w:spacing w:after="0" w:line="308" w:lineRule="auto"/>
        <w:tabs>
          <w:tab w:leader="none" w:pos="645"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20" w:firstLine="4"/>
        <w:spacing w:after="0" w:line="264" w:lineRule="auto"/>
        <w:tabs>
          <w:tab w:leader="none" w:pos="6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460" w:right="60" w:firstLine="4"/>
        <w:spacing w:after="0" w:line="277" w:lineRule="auto"/>
        <w:tabs>
          <w:tab w:leader="none" w:pos="6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100" w:firstLine="4"/>
        <w:spacing w:after="0" w:line="277" w:lineRule="auto"/>
        <w:tabs>
          <w:tab w:leader="none" w:pos="6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2010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5,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5,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lowerRoman"/>
      <w:start w:val="2"/>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lvl w:ilvl="1">
      <w:lvlJc w:val="left"/>
      <w:lvlText w:val="%2"/>
      <w:numFmt w:val="decimal"/>
      <w:start w:val="101"/>
    </w:lvl>
  </w:abstractNum>
  <w:abstractNum w:abstractNumId="13">
    <w:nsid w:val="725A06FB"/>
    <w:multiLevelType w:val="hybridMultilevel"/>
    <w:lvl w:ilvl="0">
      <w:lvlJc w:val="left"/>
      <w:lvlText w:val="(%1)"/>
      <w:numFmt w:val="decimal"/>
      <w:start w:val="1"/>
    </w:lvl>
    <w:lvl w:ilvl="1">
      <w:lvlJc w:val="left"/>
      <w:lvlText w:val="%2"/>
      <w:numFmt w:val="decimal"/>
      <w:start w:val="1"/>
    </w:lvl>
  </w:abstractNum>
  <w:abstractNum w:abstractNumId="14">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
    <w:nsid w:val="57E4CCAF"/>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16">
    <w:nsid w:val="7A6D8D3C"/>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17">
    <w:nsid w:val="4B588F54"/>
    <w:multiLevelType w:val="hybridMultilevel"/>
    <w:lvl w:ilvl="0">
      <w:lvlJc w:val="left"/>
      <w:lvlText w:val="(%1)"/>
      <w:numFmt w:val="lowerLetter"/>
      <w:start w:val="1"/>
    </w:lvl>
    <w:lvl w:ilvl="1">
      <w:lvlJc w:val="left"/>
      <w:lvlText w:val="(%2)"/>
      <w:numFmt w:val="lowerRoman"/>
      <w:start w:val="1"/>
    </w:lvl>
  </w:abstractNum>
  <w:abstractNum w:abstractNumId="18">
    <w:nsid w:val="542289EC"/>
    <w:multiLevelType w:val="hybridMultilevel"/>
    <w:lvl w:ilvl="0">
      <w:lvlJc w:val="left"/>
      <w:lvlText w:val="(%1)"/>
      <w:numFmt w:val="lowerLetter"/>
      <w:start w:val="4"/>
    </w:lvl>
    <w:lvl w:ilvl="1">
      <w:lvlJc w:val="left"/>
      <w:lvlText w:val="(%2)"/>
      <w:numFmt w:val="lowerRoman"/>
      <w:start w:val="1"/>
    </w:lvl>
  </w:abstractNum>
  <w:abstractNum w:abstractNumId="19">
    <w:nsid w:val="6DE91B1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20">
    <w:nsid w:val="38437FDB"/>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21">
    <w:nsid w:val="7644A45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22">
    <w:nsid w:val="32FFF90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23">
    <w:nsid w:val="684A481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24">
    <w:nsid w:val="579478FE"/>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25">
    <w:nsid w:val="749ABB4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6">
    <w:nsid w:val="3DC240FB"/>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2"/>
    </w:lvl>
  </w:abstractNum>
  <w:abstractNum w:abstractNumId="30">
    <w:nsid w:val="12E685FB"/>
    <w:multiLevelType w:val="hybridMultilevel"/>
    <w:lvl w:ilvl="0">
      <w:lvlJc w:val="left"/>
      <w:lvlText w:val="%1"/>
      <w:numFmt w:val="lowerRoman"/>
      <w:start w:val="1"/>
    </w:lvl>
    <w:lvl w:ilvl="1">
      <w:lvlJc w:val="left"/>
      <w:lvlText w:val="(%2)"/>
      <w:numFmt w:val="lowerLetter"/>
      <w:start w:val="3"/>
    </w:lvl>
  </w:abstractNum>
  <w:abstractNum w:abstractNumId="31">
    <w:nsid w:val="70C6A529"/>
    <w:multiLevelType w:val="hybridMultilevel"/>
    <w:lvl w:ilvl="0">
      <w:lvlJc w:val="left"/>
      <w:lvlText w:val="%1"/>
      <w:numFmt w:val="lowerRoman"/>
      <w:start w:val="1"/>
    </w:lvl>
    <w:lvl w:ilvl="1">
      <w:lvlJc w:val="left"/>
      <w:lvlText w:val="(%2)"/>
      <w:numFmt w:val="lowerLetter"/>
      <w:start w:val="9"/>
    </w:lvl>
  </w:abstractNum>
  <w:abstractNum w:abstractNumId="32">
    <w:nsid w:val="520EEDD1"/>
    <w:multiLevelType w:val="hybridMultilevel"/>
    <w:lvl w:ilvl="0">
      <w:lvlJc w:val="left"/>
      <w:lvlText w:val="%1"/>
      <w:numFmt w:val="lowerRoman"/>
      <w:start w:val="1"/>
    </w:lvl>
    <w:lvl w:ilvl="1">
      <w:lvlJc w:val="left"/>
      <w:lvlText w:val="(%2)"/>
      <w:numFmt w:val="lowerLetter"/>
      <w:start w:val="35"/>
    </w:lvl>
  </w:abstractNum>
  <w:abstractNum w:abstractNumId="33">
    <w:nsid w:val="374A3FE6"/>
    <w:multiLevelType w:val="hybridMultilevel"/>
    <w:lvl w:ilvl="0">
      <w:lvlJc w:val="left"/>
      <w:lvlText w:val="%1"/>
      <w:numFmt w:val="lowerRoman"/>
      <w:start w:val="1"/>
    </w:lvl>
    <w:lvl w:ilvl="1">
      <w:lvlJc w:val="left"/>
      <w:lvlText w:val="(%2)"/>
      <w:numFmt w:val="lowerLetter"/>
      <w:start w:val="61"/>
    </w:lvl>
  </w:abstractNum>
  <w:abstractNum w:abstractNumId="34">
    <w:nsid w:val="4F4EF005"/>
    <w:multiLevelType w:val="hybridMultilevel"/>
    <w:lvl w:ilvl="0">
      <w:lvlJc w:val="left"/>
      <w:lvlText w:val="(%1)"/>
      <w:numFmt w:val="lowerRoman"/>
      <w:start w:val="4"/>
    </w:lvl>
    <w:lvl w:ilvl="1">
      <w:lvlJc w:val="left"/>
      <w:lvlText w:val="%2"/>
      <w:numFmt w:val="lowerLetter"/>
      <w:start w:val="1"/>
    </w:lvl>
  </w:abstractNum>
  <w:abstractNum w:abstractNumId="35">
    <w:nsid w:val="23F9C13C"/>
    <w:multiLevelType w:val="hybridMultilevel"/>
    <w:lvl w:ilvl="0">
      <w:lvlJc w:val="left"/>
      <w:lvlText w:val="%1"/>
      <w:numFmt w:val="lowerRoman"/>
      <w:start w:val="1"/>
    </w:lvl>
    <w:lvl w:ilvl="1">
      <w:lvlJc w:val="left"/>
      <w:lvlText w:val="(%2)"/>
      <w:numFmt w:val="lowerLetter"/>
      <w:start w:val="4"/>
    </w:lvl>
  </w:abstractNum>
  <w:abstractNum w:abstractNumId="36">
    <w:nsid w:val="649BB77C"/>
    <w:multiLevelType w:val="hybridMultilevel"/>
    <w:lvl w:ilvl="0">
      <w:lvlJc w:val="left"/>
      <w:lvlText w:val="%1"/>
      <w:numFmt w:val="lowerRoman"/>
      <w:start w:val="1"/>
    </w:lvl>
    <w:lvl w:ilvl="1">
      <w:lvlJc w:val="left"/>
      <w:lvlText w:val="(%2)"/>
      <w:numFmt w:val="lowerLetter"/>
      <w:start w:val="9"/>
    </w:lvl>
  </w:abstractNum>
  <w:abstractNum w:abstractNumId="37">
    <w:nsid w:val="275AC794"/>
    <w:multiLevelType w:val="hybridMultilevel"/>
    <w:lvl w:ilvl="0">
      <w:lvlJc w:val="left"/>
      <w:lvlText w:val="%1"/>
      <w:numFmt w:val="lowerRoman"/>
      <w:start w:val="1"/>
    </w:lvl>
    <w:lvl w:ilvl="1">
      <w:lvlJc w:val="left"/>
      <w:lvlText w:val="(%2)"/>
      <w:numFmt w:val="lowerLetter"/>
      <w:start w:val="35"/>
    </w:lvl>
  </w:abstractNum>
  <w:abstractNum w:abstractNumId="38">
    <w:nsid w:val="39386575"/>
    <w:multiLevelType w:val="hybridMultilevel"/>
    <w:lvl w:ilvl="0">
      <w:lvlJc w:val="left"/>
      <w:lvlText w:val="%1"/>
      <w:numFmt w:val="lowerRoman"/>
      <w:start w:val="1"/>
    </w:lvl>
    <w:lvl w:ilvl="1">
      <w:lvlJc w:val="left"/>
      <w:lvlText w:val="(%2)"/>
      <w:numFmt w:val="lowerLetter"/>
      <w:start w:val="61"/>
    </w:lvl>
  </w:abstractNum>
  <w:abstractNum w:abstractNumId="39">
    <w:nsid w:val="1CF10FD8"/>
    <w:multiLevelType w:val="hybridMultilevel"/>
    <w:lvl w:ilvl="0">
      <w:lvlJc w:val="left"/>
      <w:lvlText w:val="(%1)"/>
      <w:numFmt w:val="lowerRoman"/>
      <w:start w:val="4"/>
    </w:lvl>
    <w:lvl w:ilvl="1">
      <w:lvlJc w:val="left"/>
      <w:lvlText w:val="%2"/>
      <w:numFmt w:val="lowerLetter"/>
      <w:start w:val="1"/>
    </w:lvl>
  </w:abstractNum>
  <w:abstractNum w:abstractNumId="40">
    <w:nsid w:val="180115BE"/>
    <w:multiLevelType w:val="hybridMultilevel"/>
    <w:lvl w:ilvl="0">
      <w:lvlJc w:val="left"/>
      <w:lvlText w:val="%1"/>
      <w:numFmt w:val="lowerRoman"/>
      <w:start w:val="1"/>
    </w:lvl>
    <w:lvl w:ilvl="1">
      <w:lvlJc w:val="left"/>
      <w:lvlText w:val="(%2)"/>
      <w:numFmt w:val="lowerLetter"/>
      <w:start w:val="5"/>
    </w:lvl>
  </w:abstractNum>
  <w:abstractNum w:abstractNumId="41">
    <w:nsid w:val="235BA861"/>
    <w:multiLevelType w:val="hybridMultilevel"/>
    <w:lvl w:ilvl="0">
      <w:lvlJc w:val="left"/>
      <w:lvlText w:val="%1"/>
      <w:numFmt w:val="lowerRoman"/>
      <w:start w:val="1"/>
    </w:lvl>
    <w:lvl w:ilvl="1">
      <w:lvlJc w:val="left"/>
      <w:lvlText w:val="(%2)"/>
      <w:numFmt w:val="lowerLetter"/>
      <w:start w:val="9"/>
    </w:lvl>
  </w:abstractNum>
  <w:abstractNum w:abstractNumId="42">
    <w:nsid w:val="47398C89"/>
    <w:multiLevelType w:val="hybridMultilevel"/>
    <w:lvl w:ilvl="0">
      <w:lvlJc w:val="left"/>
      <w:lvlText w:val="%1"/>
      <w:numFmt w:val="lowerRoman"/>
      <w:start w:val="1"/>
    </w:lvl>
    <w:lvl w:ilvl="1">
      <w:lvlJc w:val="left"/>
      <w:lvlText w:val="(%2)"/>
      <w:numFmt w:val="lowerLetter"/>
      <w:start w:val="35"/>
    </w:lvl>
  </w:abstractNum>
  <w:abstractNum w:abstractNumId="43">
    <w:nsid w:val="354FE9F9"/>
    <w:multiLevelType w:val="hybridMultilevel"/>
    <w:lvl w:ilvl="0">
      <w:lvlJc w:val="left"/>
      <w:lvlText w:val="(%1)"/>
      <w:numFmt w:val="lowerRoman"/>
      <w:start w:val="3"/>
    </w:lvl>
  </w:abstractNum>
  <w:abstractNum w:abstractNumId="44">
    <w:nsid w:val="15B5AF5C"/>
    <w:multiLevelType w:val="hybridMultilevel"/>
    <w:lvl w:ilvl="0">
      <w:lvlJc w:val="left"/>
      <w:lvlText w:val="(%1)"/>
      <w:numFmt w:val="lowerLetter"/>
      <w:start w:val="6"/>
    </w:lvl>
    <w:lvl w:ilvl="1">
      <w:lvlJc w:val="left"/>
      <w:lvlText w:val="(%2)"/>
      <w:numFmt w:val="upperLetter"/>
      <w:start w:val="1"/>
    </w:lvl>
  </w:abstractNum>
  <w:abstractNum w:abstractNumId="45">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46">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7">
    <w:nsid w:val="10233C9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48">
    <w:nsid w:val="3F6AB60F"/>
    <w:multiLevelType w:val="hybridMultilevel"/>
    <w:lvl w:ilvl="0">
      <w:lvlJc w:val="left"/>
      <w:lvlText w:val="(%1)"/>
      <w:numFmt w:val="lowerRoman"/>
      <w:start w:val="2"/>
    </w:lvl>
  </w:abstractNum>
  <w:abstractNum w:abstractNumId="49">
    <w:nsid w:val="61574095"/>
    <w:multiLevelType w:val="hybridMultilevel"/>
    <w:lvl w:ilvl="0">
      <w:lvlJc w:val="left"/>
      <w:lvlText w:val="(%1)"/>
      <w:numFmt w:val="lowerRoman"/>
      <w:start w:val="3"/>
    </w:lvl>
  </w:abstractNum>
  <w:abstractNum w:abstractNumId="50">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51">
    <w:nsid w:val="77AE35EB"/>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52">
    <w:nsid w:val="579BE4F1"/>
    <w:multiLevelType w:val="hybridMultilevel"/>
    <w:lvl w:ilvl="0">
      <w:lvlJc w:val="left"/>
      <w:lvlText w:val="(%1)"/>
      <w:numFmt w:val="upperLetter"/>
      <w:start w:val="1"/>
    </w:lvl>
  </w:abstractNum>
  <w:abstractNum w:abstractNumId="53">
    <w:nsid w:val="310C50B3"/>
    <w:multiLevelType w:val="hybridMultilevel"/>
    <w:lvl w:ilvl="0">
      <w:lvlJc w:val="left"/>
      <w:lvlText w:val="(%1)"/>
      <w:numFmt w:val="lowerRoman"/>
      <w:start w:val="4"/>
    </w:lvl>
  </w:abstractNum>
  <w:abstractNum w:abstractNumId="54">
    <w:nsid w:val="5FF87E05"/>
    <w:multiLevelType w:val="hybridMultilevel"/>
    <w:lvl w:ilvl="0">
      <w:lvlJc w:val="left"/>
      <w:lvlText w:val="(%1)"/>
      <w:numFmt w:val="lowerLetter"/>
      <w:start w:val="5"/>
    </w:lvl>
    <w:lvl w:ilvl="1">
      <w:lvlJc w:val="left"/>
      <w:lvlText w:val="(%2)"/>
      <w:numFmt w:val="lowerRoman"/>
      <w:start w:val="1"/>
    </w:lvl>
  </w:abstractNum>
  <w:abstractNum w:abstractNumId="55">
    <w:nsid w:val="2F305DEF"/>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6">
    <w:nsid w:val="25A70BF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7">
    <w:nsid w:val="1DBABF0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58">
    <w:nsid w:val="4AD084E9"/>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9">
    <w:nsid w:val="1F48EAA1"/>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60">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61">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62">
    <w:nsid w:val="100F8FCA"/>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63">
    <w:nsid w:val="6590700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4">
    <w:nsid w:val="15014ACB"/>
    <w:multiLevelType w:val="hybridMultilevel"/>
    <w:lvl w:ilvl="0">
      <w:lvlJc w:val="left"/>
      <w:lvlText w:val="%1."/>
      <w:numFmt w:val="decimal"/>
      <w:start w:val="9"/>
    </w:lvl>
  </w:abstractNum>
  <w:abstractNum w:abstractNumId="65">
    <w:nsid w:val="5F5E7FD0"/>
    <w:multiLevelType w:val="hybridMultilevel"/>
    <w:lvl w:ilvl="0">
      <w:lvlJc w:val="left"/>
      <w:lvlText w:val="%1."/>
      <w:numFmt w:val="decimal"/>
      <w:start w:val="16"/>
    </w:lvl>
  </w:abstractNum>
  <w:abstractNum w:abstractNumId="66">
    <w:nsid w:val="98A3148"/>
    <w:multiLevelType w:val="hybridMultilevel"/>
    <w:lvl w:ilvl="0">
      <w:lvlJc w:val="left"/>
      <w:lvlText w:val="%1."/>
      <w:numFmt w:val="decimal"/>
      <w:start w:val="28"/>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2"/>
    </w:lvl>
  </w:abstractNum>
  <w:abstractNum w:abstractNumId="69">
    <w:nsid w:val="42C296BD"/>
    <w:multiLevelType w:val="hybridMultilevel"/>
    <w:lvl w:ilvl="0">
      <w:lvlJc w:val="left"/>
      <w:lvlText w:val="%1."/>
      <w:numFmt w:val="decimal"/>
      <w:start w:val="3"/>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2019-12-10T15:06:58Z</dcterms:created>
  <dcterms:modified xsi:type="dcterms:W3CDTF">2019-12-10T15:06:58Z</dcterms:modified>
</cp:coreProperties>
</file>