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eft-20250630.htm"/>
      <w:bookmarkStart w:id="1" w:name="kseeft20250630"/>
      <w:bookmarkStart w:id="2" w:name="eeft-20250630.htm"/>
      <w:bookmarkStart w:id="3" w:name="kseeft20250630"/>
      <w:bookmarkEnd w:id="2"/>
      <w:bookmarkEnd w:id="3"/>
    </w:p>
    <w:tbl>
      <w:tblPr>
        <w:tblW w:w="90" w:type="dxa"/>
        <w:jc w:val="left"/>
        <w:tblInd w:w="0" w:type="dxa"/>
        <w:tblLayout w:type="fixed"/>
        <w:tblCellMar>
          <w:top w:w="28" w:type="dxa"/>
          <w:left w:w="0" w:type="dxa"/>
          <w:bottom w:w="28" w:type="dxa"/>
          <w:right w:w="0" w:type="dxa"/>
        </w:tblCellMar>
      </w:tblPr>
      <w:tblGrid>
        <w:gridCol w:w="90"/>
      </w:tblGrid>
      <w:tr>
        <w:trPr/>
        <w:tc>
          <w:tcPr>
            <w:tcW w:w="90" w:type="dxa"/>
            <w:tcBorders>
              <w:top w:val="single" w:sz="18" w:space="0" w:color="000000"/>
              <w:bottom w:val="single" w:sz="8" w:space="0" w:color="000000"/>
            </w:tcBorders>
            <w:vAlign w:val="center"/>
          </w:tcPr>
          <w:p>
            <w:pPr>
              <w:pStyle w:val="TableContents"/>
              <w:bidi w:val="0"/>
              <w:spacing w:before="0" w:after="0"/>
              <w:jc w:val="center"/>
              <w:rPr/>
            </w:pPr>
            <w:r>
              <w:rPr/>
              <w:t> </w:t>
            </w:r>
          </w:p>
        </w:tc>
      </w:tr>
    </w:tbl>
    <w:p>
      <w:pPr>
        <w:pStyle w:val="TextBody"/>
        <w:bidi w:val="0"/>
        <w:spacing w:lineRule="atLeast" w:line="288" w:before="0" w:after="0"/>
        <w:jc w:val="center"/>
        <w:rPr>
          <w:rFonts w:ascii="Times New Roman" w:hAnsi="Times New Roman"/>
          <w:b/>
          <w:sz w:val="20"/>
        </w:rPr>
      </w:pPr>
      <w:r>
        <w:rPr>
          <w:rFonts w:ascii="Times New Roman" w:hAnsi="Times New Roman"/>
          <w:b/>
          <w:sz w:val="20"/>
        </w:rPr>
        <w:t>UNITED STATES</w:t>
      </w:r>
    </w:p>
    <w:p>
      <w:pPr>
        <w:pStyle w:val="TextBody"/>
        <w:bidi w:val="0"/>
        <w:spacing w:lineRule="atLeast" w:line="288" w:before="0" w:after="0"/>
        <w:jc w:val="center"/>
        <w:rPr>
          <w:rFonts w:ascii="Times New Roman" w:hAnsi="Times New Roman"/>
          <w:b/>
          <w:sz w:val="20"/>
        </w:rPr>
      </w:pPr>
      <w:r>
        <w:rPr>
          <w:rFonts w:ascii="Times New Roman" w:hAnsi="Times New Roman"/>
          <w:b/>
          <w:sz w:val="20"/>
        </w:rPr>
        <w:t>SECURITIES AND EXCHANGE COMMISSION</w:t>
      </w:r>
    </w:p>
    <w:p>
      <w:pPr>
        <w:pStyle w:val="TextBody"/>
        <w:bidi w:val="0"/>
        <w:spacing w:lineRule="atLeast" w:line="288" w:before="0" w:after="0"/>
        <w:jc w:val="center"/>
        <w:rPr>
          <w:rFonts w:ascii="Times New Roman" w:hAnsi="Times New Roman"/>
          <w:b/>
          <w:sz w:val="20"/>
        </w:rPr>
      </w:pPr>
      <w:r>
        <w:rPr>
          <w:rFonts w:ascii="Times New Roman" w:hAnsi="Times New Roman"/>
          <w:b/>
          <w:sz w:val="20"/>
        </w:rPr>
        <w:t>WASHINGTON, D.C. 20549</w:t>
      </w:r>
    </w:p>
    <w:p>
      <w:pPr>
        <w:pStyle w:val="TextBody"/>
        <w:bidi w:val="0"/>
        <w:spacing w:lineRule="atLeast" w:line="240" w:before="0" w:after="0"/>
        <w:jc w:val="center"/>
        <w:rPr>
          <w:rFonts w:ascii="Times New Roman" w:hAnsi="Times New Roman"/>
          <w:sz w:val="24"/>
        </w:rPr>
      </w:pPr>
      <w:r>
        <w:rPr>
          <w:rFonts w:ascii="Times New Roman" w:hAnsi="Times New Roman"/>
          <w:b/>
          <w:sz w:val="20"/>
        </w:rPr>
        <w:t>FORM 10-Q</w:t>
      </w:r>
      <w:r>
        <w:rPr>
          <w:rFonts w:ascii="Times New Roman" w:hAnsi="Times New Roman"/>
          <w:sz w:val="24"/>
        </w:rPr>
        <w:t xml:space="preserve"> </w:t>
      </w:r>
    </w:p>
    <w:tbl>
      <w:tblPr>
        <w:tblW w:w="9610" w:type="dxa"/>
        <w:jc w:val="left"/>
        <w:tblInd w:w="0" w:type="dxa"/>
        <w:tblLayout w:type="fixed"/>
        <w:tblCellMar>
          <w:top w:w="0" w:type="dxa"/>
          <w:left w:w="0" w:type="dxa"/>
          <w:bottom w:w="0" w:type="dxa"/>
          <w:right w:w="0" w:type="dxa"/>
        </w:tblCellMar>
      </w:tblPr>
      <w:tblGrid>
        <w:gridCol w:w="245"/>
        <w:gridCol w:w="9290"/>
        <w:gridCol w:w="75"/>
      </w:tblGrid>
      <w:tr>
        <w:trPr/>
        <w:tc>
          <w:tcPr>
            <w:tcW w:w="245" w:type="dxa"/>
            <w:tcBorders/>
            <w:vAlign w:val="center"/>
          </w:tcPr>
          <w:p>
            <w:pPr>
              <w:pStyle w:val="TableContents"/>
              <w:bidi w:val="0"/>
              <w:spacing w:before="0" w:after="0"/>
              <w:jc w:val="left"/>
              <w:rPr/>
            </w:pPr>
            <w:r>
              <w:rPr/>
              <w:t> </w:t>
            </w:r>
          </w:p>
        </w:tc>
        <w:tc>
          <w:tcPr>
            <w:tcW w:w="929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45" w:type="dxa"/>
            <w:tcBorders/>
            <w:vAlign w:val="center"/>
          </w:tcPr>
          <w:p>
            <w:pPr>
              <w:pStyle w:val="TableContents"/>
              <w:bidi w:val="0"/>
              <w:spacing w:before="0" w:after="0"/>
              <w:jc w:val="right"/>
              <w:rPr/>
            </w:pPr>
            <w:r>
              <w:rPr/>
              <w:t>☑</w:t>
            </w:r>
          </w:p>
        </w:tc>
        <w:tc>
          <w:tcPr>
            <w:tcW w:w="9290" w:type="dxa"/>
            <w:tcBorders/>
            <w:vAlign w:val="center"/>
          </w:tcPr>
          <w:p>
            <w:pPr>
              <w:pStyle w:val="TableContents"/>
              <w:bidi w:val="0"/>
              <w:spacing w:before="0" w:after="0"/>
              <w:jc w:val="left"/>
              <w:rPr>
                <w:b/>
                <w:sz w:val="18"/>
              </w:rPr>
            </w:pPr>
            <w:r>
              <w:rPr>
                <w:b/>
                <w:sz w:val="18"/>
              </w:rPr>
              <w:t>QUARTERLY REPORT PURSUANT TO SECTION 13 OR 15(d) OF THE SECURITIES EXCHANGE ACT OF 1934</w:t>
            </w:r>
          </w:p>
        </w:tc>
        <w:tc>
          <w:tcPr>
            <w:tcW w:w="75" w:type="dxa"/>
            <w:tcBorders/>
            <w:vAlign w:val="center"/>
          </w:tcPr>
          <w:p>
            <w:pPr>
              <w:pStyle w:val="TableContents"/>
              <w:bidi w:val="0"/>
              <w:spacing w:before="0" w:after="0"/>
              <w:jc w:val="left"/>
              <w:rPr/>
            </w:pPr>
            <w:r>
              <w:rPr/>
              <w:t> </w:t>
            </w:r>
          </w:p>
        </w:tc>
      </w:tr>
    </w:tbl>
    <w:p>
      <w:pPr>
        <w:pStyle w:val="TextBody"/>
        <w:bidi w:val="0"/>
        <w:spacing w:lineRule="atLeast" w:line="216" w:before="0" w:after="0"/>
        <w:jc w:val="center"/>
        <w:rPr>
          <w:rFonts w:ascii="Times New Roman" w:hAnsi="Times New Roman"/>
          <w:sz w:val="24"/>
        </w:rPr>
      </w:pPr>
      <w:r>
        <w:rPr>
          <w:rFonts w:ascii="Times New Roman" w:hAnsi="Times New Roman"/>
          <w:b/>
          <w:sz w:val="18"/>
        </w:rPr>
        <w:t>For the quarterly period ended</w:t>
      </w:r>
      <w:r>
        <w:rPr>
          <w:rFonts w:ascii="Times New Roman" w:hAnsi="Times New Roman"/>
          <w:sz w:val="24"/>
        </w:rPr>
        <w:t> </w:t>
      </w:r>
      <w:r>
        <w:rPr>
          <w:rFonts w:ascii="Times New Roman" w:hAnsi="Times New Roman"/>
          <w:b/>
          <w:sz w:val="18"/>
        </w:rPr>
        <w:t>June 30, 2025</w:t>
      </w:r>
    </w:p>
    <w:p>
      <w:pPr>
        <w:pStyle w:val="TextBody"/>
        <w:bidi w:val="0"/>
        <w:spacing w:lineRule="atLeast" w:line="240" w:before="60" w:after="80"/>
        <w:jc w:val="center"/>
        <w:rPr>
          <w:rFonts w:ascii="Times New Roman" w:hAnsi="Times New Roman"/>
          <w:sz w:val="24"/>
        </w:rPr>
      </w:pPr>
      <w:r>
        <w:rPr>
          <w:rFonts w:ascii="Times New Roman" w:hAnsi="Times New Roman"/>
          <w:b/>
          <w:sz w:val="18"/>
        </w:rPr>
        <w:t>OR</w:t>
      </w:r>
      <w:r>
        <w:rPr>
          <w:rFonts w:ascii="Times New Roman" w:hAnsi="Times New Roman"/>
          <w:sz w:val="24"/>
        </w:rPr>
        <w:t xml:space="preserve"> </w:t>
      </w:r>
    </w:p>
    <w:tbl>
      <w:tblPr>
        <w:tblW w:w="9970" w:type="dxa"/>
        <w:jc w:val="left"/>
        <w:tblInd w:w="0" w:type="dxa"/>
        <w:tblLayout w:type="fixed"/>
        <w:tblCellMar>
          <w:top w:w="0" w:type="dxa"/>
          <w:left w:w="0" w:type="dxa"/>
          <w:bottom w:w="0" w:type="dxa"/>
          <w:right w:w="0" w:type="dxa"/>
        </w:tblCellMar>
      </w:tblPr>
      <w:tblGrid>
        <w:gridCol w:w="245"/>
        <w:gridCol w:w="9650"/>
        <w:gridCol w:w="75"/>
      </w:tblGrid>
      <w:tr>
        <w:trPr/>
        <w:tc>
          <w:tcPr>
            <w:tcW w:w="245" w:type="dxa"/>
            <w:tcBorders/>
            <w:vAlign w:val="center"/>
          </w:tcPr>
          <w:p>
            <w:pPr>
              <w:pStyle w:val="TableContents"/>
              <w:bidi w:val="0"/>
              <w:spacing w:before="0" w:after="0"/>
              <w:jc w:val="right"/>
              <w:rPr/>
            </w:pPr>
            <w:r>
              <w:rPr/>
              <w:t>☐</w:t>
            </w:r>
          </w:p>
        </w:tc>
        <w:tc>
          <w:tcPr>
            <w:tcW w:w="9650" w:type="dxa"/>
            <w:tcBorders/>
            <w:vAlign w:val="center"/>
          </w:tcPr>
          <w:p>
            <w:pPr>
              <w:pStyle w:val="TableContents"/>
              <w:bidi w:val="0"/>
              <w:spacing w:before="0" w:after="0"/>
              <w:jc w:val="left"/>
              <w:rPr>
                <w:sz w:val="20"/>
              </w:rPr>
            </w:pPr>
            <w:r>
              <w:rPr>
                <w:b/>
                <w:sz w:val="18"/>
              </w:rPr>
              <w:t>TRANSITION REPORT PURSUANT TO SECTION</w:t>
            </w:r>
            <w:r>
              <w:rPr>
                <w:sz w:val="20"/>
              </w:rPr>
              <w:t xml:space="preserve"> </w:t>
            </w:r>
            <w:r>
              <w:rPr>
                <w:b/>
                <w:sz w:val="20"/>
              </w:rPr>
              <w:t>13 OR 15(d) OF THE SECURITIES EXCHANGE ACT OF 1934</w:t>
            </w:r>
          </w:p>
        </w:tc>
        <w:tc>
          <w:tcPr>
            <w:tcW w:w="75" w:type="dxa"/>
            <w:tcBorders/>
            <w:vAlign w:val="center"/>
          </w:tcPr>
          <w:p>
            <w:pPr>
              <w:pStyle w:val="TableContents"/>
              <w:bidi w:val="0"/>
              <w:spacing w:before="0" w:after="0"/>
              <w:jc w:val="left"/>
              <w:rPr/>
            </w:pPr>
            <w:r>
              <w:rPr/>
              <w:t> </w:t>
            </w:r>
          </w:p>
        </w:tc>
      </w:tr>
    </w:tbl>
    <w:p>
      <w:pPr>
        <w:pStyle w:val="TextBody"/>
        <w:bidi w:val="0"/>
        <w:spacing w:before="0" w:after="0"/>
        <w:jc w:val="left"/>
        <w:rPr/>
      </w:pPr>
      <w:r>
        <w:rPr/>
        <w:t> </w:t>
      </w:r>
    </w:p>
    <w:tbl>
      <w:tblPr>
        <w:tblW w:w="2590" w:type="dxa"/>
        <w:jc w:val="left"/>
        <w:tblInd w:w="0" w:type="dxa"/>
        <w:tblLayout w:type="fixed"/>
        <w:tblCellMar>
          <w:top w:w="0" w:type="dxa"/>
          <w:left w:w="0" w:type="dxa"/>
          <w:bottom w:w="0" w:type="dxa"/>
          <w:right w:w="0" w:type="dxa"/>
        </w:tblCellMar>
      </w:tblPr>
      <w:tblGrid>
        <w:gridCol w:w="2345"/>
        <w:gridCol w:w="60"/>
        <w:gridCol w:w="185"/>
      </w:tblGrid>
      <w:tr>
        <w:trPr/>
        <w:tc>
          <w:tcPr>
            <w:tcW w:w="2345" w:type="dxa"/>
            <w:tcBorders/>
            <w:vAlign w:val="center"/>
          </w:tcPr>
          <w:p>
            <w:pPr>
              <w:pStyle w:val="TableContents"/>
              <w:bidi w:val="0"/>
              <w:spacing w:before="40" w:after="0"/>
              <w:jc w:val="right"/>
              <w:rPr>
                <w:b/>
                <w:sz w:val="18"/>
              </w:rPr>
            </w:pPr>
            <w:r>
              <w:rPr>
                <w:b/>
                <w:sz w:val="18"/>
              </w:rPr>
              <w:t>For the transition period from</w:t>
            </w:r>
          </w:p>
        </w:tc>
        <w:tc>
          <w:tcPr>
            <w:tcW w:w="60"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b/>
                <w:sz w:val="18"/>
              </w:rPr>
            </w:pPr>
            <w:r>
              <w:rPr>
                <w:b/>
                <w:sz w:val="18"/>
              </w:rPr>
              <w:t>to</w:t>
            </w:r>
          </w:p>
        </w:tc>
      </w:tr>
    </w:tbl>
    <w:p>
      <w:pPr>
        <w:pStyle w:val="TextBody"/>
        <w:bidi w:val="0"/>
        <w:spacing w:lineRule="atLeast" w:line="240" w:before="0" w:after="80"/>
        <w:jc w:val="center"/>
        <w:rPr>
          <w:rFonts w:ascii="Times New Roman" w:hAnsi="Times New Roman"/>
          <w:sz w:val="24"/>
        </w:rPr>
      </w:pPr>
      <w:r>
        <w:rPr>
          <w:rFonts w:ascii="Times New Roman" w:hAnsi="Times New Roman"/>
          <w:b/>
          <w:sz w:val="18"/>
        </w:rPr>
        <w:t>Commission File Number:</w:t>
      </w:r>
      <w:r>
        <w:rPr>
          <w:rFonts w:ascii="Times New Roman" w:hAnsi="Times New Roman"/>
          <w:sz w:val="24"/>
        </w:rPr>
        <w:t> </w:t>
      </w:r>
      <w:r>
        <w:rPr>
          <w:rFonts w:ascii="Times New Roman" w:hAnsi="Times New Roman"/>
          <w:b/>
          <w:sz w:val="18"/>
        </w:rPr>
        <w:t>001-31648</w:t>
      </w:r>
    </w:p>
    <w:p>
      <w:pPr>
        <w:pStyle w:val="TextBody"/>
        <w:bidi w:val="0"/>
        <w:spacing w:lineRule="atLeast" w:line="384" w:before="0" w:after="80"/>
        <w:jc w:val="center"/>
        <w:rPr>
          <w:rFonts w:ascii="Times New Roman" w:hAnsi="Times New Roman"/>
          <w:b/>
          <w:sz w:val="32"/>
        </w:rPr>
      </w:pPr>
      <w:r>
        <w:rPr>
          <w:rFonts w:ascii="Times New Roman" w:hAnsi="Times New Roman"/>
          <w:b/>
          <w:sz w:val="32"/>
        </w:rPr>
        <w:t>EURONET WORLDWIDE, INC.</w:t>
      </w:r>
    </w:p>
    <w:p>
      <w:pPr>
        <w:pStyle w:val="TextBody"/>
        <w:bidi w:val="0"/>
        <w:spacing w:lineRule="atLeast" w:line="240" w:before="0" w:after="80"/>
        <w:jc w:val="center"/>
        <w:rPr>
          <w:rFonts w:ascii="Times New Roman" w:hAnsi="Times New Roman"/>
          <w:b/>
          <w:sz w:val="18"/>
        </w:rPr>
      </w:pPr>
      <w:r>
        <w:rPr>
          <w:rFonts w:ascii="Times New Roman" w:hAnsi="Times New Roman"/>
          <w:b/>
          <w:sz w:val="18"/>
        </w:rPr>
        <w:t>(Exact name of registrant as specified in its charter)</w:t>
      </w:r>
    </w:p>
    <w:tbl>
      <w:tblPr>
        <w:tblW w:w="7434" w:type="dxa"/>
        <w:jc w:val="left"/>
        <w:tblInd w:w="0" w:type="dxa"/>
        <w:tblLayout w:type="fixed"/>
        <w:tblCellMar>
          <w:top w:w="0" w:type="dxa"/>
          <w:left w:w="0" w:type="dxa"/>
          <w:bottom w:w="0" w:type="dxa"/>
          <w:right w:w="0" w:type="dxa"/>
        </w:tblCellMar>
      </w:tblPr>
      <w:tblGrid>
        <w:gridCol w:w="2649"/>
        <w:gridCol w:w="1990"/>
        <w:gridCol w:w="2795"/>
      </w:tblGrid>
      <w:tr>
        <w:trPr/>
        <w:tc>
          <w:tcPr>
            <w:tcW w:w="4639" w:type="dxa"/>
            <w:gridSpan w:val="2"/>
            <w:tcBorders/>
            <w:vAlign w:val="center"/>
          </w:tcPr>
          <w:p>
            <w:pPr>
              <w:pStyle w:val="TableContents"/>
              <w:bidi w:val="0"/>
              <w:spacing w:before="0" w:after="0"/>
              <w:jc w:val="center"/>
              <w:rPr>
                <w:rFonts w:ascii="Times New Roman" w:hAnsi="Times New Roman"/>
                <w:b/>
                <w:sz w:val="18"/>
              </w:rPr>
            </w:pPr>
            <w:r>
              <w:rPr>
                <w:rFonts w:ascii="Times New Roman" w:hAnsi="Times New Roman"/>
                <w:b/>
                <w:sz w:val="18"/>
              </w:rPr>
              <w:t>Delaware</w:t>
            </w:r>
          </w:p>
        </w:tc>
        <w:tc>
          <w:tcPr>
            <w:tcW w:w="2795" w:type="dxa"/>
            <w:tcBorders/>
            <w:vAlign w:val="center"/>
          </w:tcPr>
          <w:p>
            <w:pPr>
              <w:pStyle w:val="TableContents"/>
              <w:bidi w:val="0"/>
              <w:spacing w:before="0" w:after="0"/>
              <w:jc w:val="center"/>
              <w:rPr>
                <w:rFonts w:ascii="Times New Roman" w:hAnsi="Times New Roman"/>
                <w:b/>
                <w:sz w:val="18"/>
              </w:rPr>
            </w:pPr>
            <w:r>
              <w:rPr>
                <w:rFonts w:ascii="Times New Roman" w:hAnsi="Times New Roman"/>
                <w:b/>
                <w:sz w:val="18"/>
              </w:rPr>
              <w:t>74-2806888</w:t>
            </w:r>
          </w:p>
        </w:tc>
      </w:tr>
      <w:tr>
        <w:trPr/>
        <w:tc>
          <w:tcPr>
            <w:tcW w:w="4639" w:type="dxa"/>
            <w:gridSpan w:val="2"/>
            <w:tcBorders/>
            <w:vAlign w:val="center"/>
          </w:tcPr>
          <w:p>
            <w:pPr>
              <w:pStyle w:val="TableContents"/>
              <w:bidi w:val="0"/>
              <w:spacing w:before="0" w:after="0"/>
              <w:jc w:val="center"/>
              <w:rPr>
                <w:b/>
                <w:sz w:val="18"/>
              </w:rPr>
            </w:pPr>
            <w:r>
              <w:rPr>
                <w:b/>
                <w:sz w:val="18"/>
              </w:rPr>
              <w:t>(State or other jurisdiction of incorporation or organization)</w:t>
            </w:r>
          </w:p>
        </w:tc>
        <w:tc>
          <w:tcPr>
            <w:tcW w:w="2795" w:type="dxa"/>
            <w:tcBorders/>
            <w:vAlign w:val="center"/>
          </w:tcPr>
          <w:p>
            <w:pPr>
              <w:pStyle w:val="TableContents"/>
              <w:bidi w:val="0"/>
              <w:spacing w:before="0" w:after="0"/>
              <w:jc w:val="center"/>
              <w:rPr>
                <w:b/>
                <w:sz w:val="18"/>
              </w:rPr>
            </w:pPr>
            <w:r>
              <w:rPr>
                <w:b/>
                <w:sz w:val="18"/>
              </w:rPr>
              <w:t>(I.R.S. Employer Identification No.)</w:t>
            </w:r>
          </w:p>
        </w:tc>
      </w:tr>
      <w:tr>
        <w:trPr/>
        <w:tc>
          <w:tcPr>
            <w:tcW w:w="4639" w:type="dxa"/>
            <w:gridSpan w:val="2"/>
            <w:tcBorders/>
            <w:vAlign w:val="center"/>
          </w:tcPr>
          <w:p>
            <w:pPr>
              <w:pStyle w:val="TableContents"/>
              <w:bidi w:val="0"/>
              <w:spacing w:before="0" w:after="0"/>
              <w:jc w:val="center"/>
              <w:rPr>
                <w:sz w:val="18"/>
              </w:rPr>
            </w:pPr>
            <w:r>
              <w:rPr>
                <w:rFonts w:ascii="Times New Roman" w:hAnsi="Times New Roman"/>
                <w:b/>
                <w:sz w:val="18"/>
              </w:rPr>
              <w:t>11400 Tomahawk Creek Parkway,</w:t>
            </w:r>
            <w:r>
              <w:rPr>
                <w:sz w:val="18"/>
              </w:rPr>
              <w:t xml:space="preserve"> </w:t>
            </w:r>
            <w:r>
              <w:rPr>
                <w:rFonts w:ascii="Times New Roman" w:hAnsi="Times New Roman"/>
                <w:b/>
                <w:sz w:val="18"/>
              </w:rPr>
              <w:t>Suite 300</w:t>
            </w:r>
            <w:r>
              <w:rPr>
                <w:sz w:val="18"/>
              </w:rPr>
              <w:t xml:space="preserve"> </w:t>
            </w:r>
          </w:p>
        </w:tc>
        <w:tc>
          <w:tcPr>
            <w:tcW w:w="2795" w:type="dxa"/>
            <w:tcBorders/>
            <w:vAlign w:val="center"/>
          </w:tcPr>
          <w:p>
            <w:pPr>
              <w:pStyle w:val="TableContents"/>
              <w:bidi w:val="0"/>
              <w:spacing w:before="0" w:after="0"/>
              <w:jc w:val="center"/>
              <w:rPr/>
            </w:pPr>
            <w:r>
              <w:rPr/>
              <w:t> </w:t>
            </w:r>
          </w:p>
        </w:tc>
      </w:tr>
      <w:tr>
        <w:trPr/>
        <w:tc>
          <w:tcPr>
            <w:tcW w:w="2649" w:type="dxa"/>
            <w:tcBorders/>
            <w:vAlign w:val="center"/>
          </w:tcPr>
          <w:p>
            <w:pPr>
              <w:pStyle w:val="TableContents"/>
              <w:bidi w:val="0"/>
              <w:spacing w:before="0" w:after="0"/>
              <w:jc w:val="right"/>
              <w:rPr>
                <w:rFonts w:ascii="Times New Roman" w:hAnsi="Times New Roman"/>
                <w:b/>
                <w:sz w:val="18"/>
              </w:rPr>
            </w:pPr>
            <w:r>
              <w:rPr>
                <w:rFonts w:ascii="Times New Roman" w:hAnsi="Times New Roman"/>
                <w:b/>
                <w:sz w:val="18"/>
              </w:rPr>
              <w:t>Leawood,</w:t>
            </w:r>
          </w:p>
        </w:tc>
        <w:tc>
          <w:tcPr>
            <w:tcW w:w="1990"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Kansas</w:t>
            </w:r>
          </w:p>
        </w:tc>
        <w:tc>
          <w:tcPr>
            <w:tcW w:w="2795" w:type="dxa"/>
            <w:tcBorders/>
            <w:vAlign w:val="center"/>
          </w:tcPr>
          <w:p>
            <w:pPr>
              <w:pStyle w:val="TableContents"/>
              <w:bidi w:val="0"/>
              <w:spacing w:before="0" w:after="0"/>
              <w:jc w:val="center"/>
              <w:rPr>
                <w:rFonts w:ascii="Times New Roman" w:hAnsi="Times New Roman"/>
                <w:b/>
                <w:sz w:val="18"/>
              </w:rPr>
            </w:pPr>
            <w:r>
              <w:rPr>
                <w:rFonts w:ascii="Times New Roman" w:hAnsi="Times New Roman"/>
                <w:b/>
                <w:sz w:val="18"/>
              </w:rPr>
              <w:t>66211</w:t>
            </w:r>
          </w:p>
        </w:tc>
      </w:tr>
      <w:tr>
        <w:trPr/>
        <w:tc>
          <w:tcPr>
            <w:tcW w:w="4639" w:type="dxa"/>
            <w:gridSpan w:val="2"/>
            <w:tcBorders/>
            <w:vAlign w:val="center"/>
          </w:tcPr>
          <w:p>
            <w:pPr>
              <w:pStyle w:val="TableContents"/>
              <w:bidi w:val="0"/>
              <w:spacing w:before="0" w:after="0"/>
              <w:jc w:val="center"/>
              <w:rPr>
                <w:b/>
                <w:sz w:val="18"/>
              </w:rPr>
            </w:pPr>
            <w:r>
              <w:rPr>
                <w:b/>
                <w:sz w:val="18"/>
              </w:rPr>
              <w:t>(Address of principal executive offices)</w:t>
            </w:r>
          </w:p>
        </w:tc>
        <w:tc>
          <w:tcPr>
            <w:tcW w:w="2795" w:type="dxa"/>
            <w:tcBorders/>
            <w:vAlign w:val="center"/>
          </w:tcPr>
          <w:p>
            <w:pPr>
              <w:pStyle w:val="TableContents"/>
              <w:bidi w:val="0"/>
              <w:spacing w:before="0" w:after="0"/>
              <w:jc w:val="center"/>
              <w:rPr>
                <w:b/>
                <w:sz w:val="18"/>
              </w:rPr>
            </w:pPr>
            <w:r>
              <w:rPr>
                <w:b/>
                <w:sz w:val="18"/>
              </w:rPr>
              <w:t>(Zip Code)</w:t>
            </w:r>
          </w:p>
        </w:tc>
      </w:tr>
    </w:tbl>
    <w:p>
      <w:pPr>
        <w:pStyle w:val="TextBody"/>
        <w:bidi w:val="0"/>
        <w:spacing w:lineRule="atLeast" w:line="240" w:before="0" w:after="60"/>
        <w:jc w:val="center"/>
        <w:rPr>
          <w:rFonts w:ascii="Times New Roman" w:hAnsi="Times New Roman"/>
          <w:sz w:val="24"/>
        </w:rPr>
      </w:pPr>
      <w:r>
        <w:rPr>
          <w:rFonts w:ascii="Times New Roman" w:hAnsi="Times New Roman"/>
          <w:b/>
          <w:sz w:val="18"/>
        </w:rPr>
        <w:t>(913)</w:t>
      </w:r>
      <w:r>
        <w:rPr>
          <w:rFonts w:ascii="Times New Roman" w:hAnsi="Times New Roman"/>
          <w:sz w:val="24"/>
        </w:rPr>
        <w:t> </w:t>
      </w:r>
      <w:r>
        <w:rPr>
          <w:rFonts w:ascii="Times New Roman" w:hAnsi="Times New Roman"/>
          <w:b/>
          <w:sz w:val="18"/>
        </w:rPr>
        <w:t>327-4200</w:t>
      </w:r>
    </w:p>
    <w:p>
      <w:pPr>
        <w:pStyle w:val="TextBody"/>
        <w:bidi w:val="0"/>
        <w:spacing w:lineRule="atLeast" w:line="240" w:before="0" w:after="0"/>
        <w:jc w:val="center"/>
        <w:rPr>
          <w:rFonts w:ascii="Times New Roman" w:hAnsi="Times New Roman"/>
          <w:b/>
          <w:sz w:val="18"/>
        </w:rPr>
      </w:pPr>
      <w:r>
        <w:rPr>
          <w:rFonts w:ascii="Times New Roman" w:hAnsi="Times New Roman"/>
          <w:b/>
          <w:sz w:val="18"/>
        </w:rPr>
        <w:t>(Registrant’s telephone number, including area code)</w:t>
      </w:r>
    </w:p>
    <w:p>
      <w:pPr>
        <w:pStyle w:val="TextBody"/>
        <w:pBdr/>
        <w:bidi w:val="0"/>
        <w:spacing w:lineRule="atLeast" w:line="240" w:before="0" w:after="0"/>
        <w:jc w:val="center"/>
        <w:rPr/>
      </w:pPr>
      <w:r>
        <w:rPr/>
        <w:t> </w:t>
      </w:r>
    </w:p>
    <w:p>
      <w:pPr>
        <w:pStyle w:val="TextBody"/>
        <w:bidi w:val="0"/>
        <w:spacing w:lineRule="atLeast" w:line="240" w:before="0" w:after="0"/>
        <w:jc w:val="center"/>
        <w:rPr>
          <w:rFonts w:ascii="Times New Roman" w:hAnsi="Times New Roman"/>
          <w:b/>
          <w:sz w:val="18"/>
        </w:rPr>
      </w:pPr>
      <w:r>
        <w:rPr>
          <w:rFonts w:ascii="Times New Roman" w:hAnsi="Times New Roman"/>
          <w:b/>
          <w:sz w:val="18"/>
        </w:rPr>
        <w:t>(Former name, former address and former fiscal year, if changed since last report)</w:t>
      </w:r>
    </w:p>
    <w:p>
      <w:pPr>
        <w:pStyle w:val="TextBody"/>
        <w:bidi w:val="0"/>
        <w:spacing w:lineRule="atLeast" w:line="240" w:before="0" w:after="0"/>
        <w:jc w:val="left"/>
        <w:rPr>
          <w:rFonts w:ascii="Times New Roman" w:hAnsi="Times New Roman"/>
          <w:sz w:val="24"/>
        </w:rPr>
      </w:pPr>
      <w:r>
        <w:rPr>
          <w:rFonts w:ascii="Times New Roman" w:hAnsi="Times New Roman"/>
          <w:sz w:val="18"/>
        </w:rPr>
        <w:t>Securities registered pursuant to Section 12(b) of the Act:</w:t>
      </w:r>
      <w:r>
        <w:rPr>
          <w:rFonts w:ascii="Times New Roman" w:hAnsi="Times New Roman"/>
          <w:sz w:val="24"/>
        </w:rPr>
        <w:t xml:space="preserve"> </w:t>
      </w:r>
    </w:p>
    <w:tbl>
      <w:tblPr>
        <w:tblW w:w="7230" w:type="dxa"/>
        <w:jc w:val="left"/>
        <w:tblInd w:w="0" w:type="dxa"/>
        <w:tblLayout w:type="fixed"/>
        <w:tblCellMar>
          <w:top w:w="0" w:type="dxa"/>
          <w:left w:w="0" w:type="dxa"/>
          <w:bottom w:w="0" w:type="dxa"/>
          <w:right w:w="0" w:type="dxa"/>
        </w:tblCellMar>
      </w:tblPr>
      <w:tblGrid>
        <w:gridCol w:w="2390"/>
        <w:gridCol w:w="1475"/>
        <w:gridCol w:w="3365"/>
      </w:tblGrid>
      <w:tr>
        <w:trPr/>
        <w:tc>
          <w:tcPr>
            <w:tcW w:w="2390" w:type="dxa"/>
            <w:tcBorders/>
            <w:vAlign w:val="center"/>
          </w:tcPr>
          <w:p>
            <w:pPr>
              <w:pStyle w:val="TableContents"/>
              <w:bidi w:val="0"/>
              <w:spacing w:before="0" w:after="0"/>
              <w:jc w:val="center"/>
              <w:rPr>
                <w:b/>
                <w:sz w:val="18"/>
                <w:u w:val="single"/>
              </w:rPr>
            </w:pPr>
            <w:r>
              <w:rPr>
                <w:b/>
                <w:sz w:val="18"/>
                <w:u w:val="single"/>
              </w:rPr>
              <w:t>Title of each class</w:t>
            </w:r>
          </w:p>
        </w:tc>
        <w:tc>
          <w:tcPr>
            <w:tcW w:w="1475" w:type="dxa"/>
            <w:tcBorders/>
            <w:vAlign w:val="center"/>
          </w:tcPr>
          <w:p>
            <w:pPr>
              <w:pStyle w:val="TableContents"/>
              <w:bidi w:val="0"/>
              <w:spacing w:before="0" w:after="0"/>
              <w:jc w:val="center"/>
              <w:rPr>
                <w:b/>
                <w:sz w:val="18"/>
                <w:u w:val="single"/>
              </w:rPr>
            </w:pPr>
            <w:r>
              <w:rPr>
                <w:b/>
                <w:sz w:val="18"/>
                <w:u w:val="single"/>
              </w:rPr>
              <w:t>Trading Symbol(s)</w:t>
            </w:r>
          </w:p>
        </w:tc>
        <w:tc>
          <w:tcPr>
            <w:tcW w:w="3365" w:type="dxa"/>
            <w:tcBorders/>
            <w:vAlign w:val="center"/>
          </w:tcPr>
          <w:p>
            <w:pPr>
              <w:pStyle w:val="TableContents"/>
              <w:bidi w:val="0"/>
              <w:spacing w:before="0" w:after="0"/>
              <w:jc w:val="center"/>
              <w:rPr>
                <w:b/>
                <w:sz w:val="18"/>
                <w:u w:val="single"/>
              </w:rPr>
            </w:pPr>
            <w:r>
              <w:rPr>
                <w:b/>
                <w:sz w:val="18"/>
                <w:u w:val="single"/>
              </w:rPr>
              <w:t>Name of each exchange on which registered</w:t>
            </w:r>
          </w:p>
        </w:tc>
      </w:tr>
      <w:tr>
        <w:trPr/>
        <w:tc>
          <w:tcPr>
            <w:tcW w:w="239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pPr>
              <w:pStyle w:val="TableContents"/>
              <w:bidi w:val="0"/>
              <w:spacing w:before="0" w:after="0"/>
              <w:jc w:val="center"/>
              <w:rPr>
                <w:rFonts w:ascii="Times New Roman" w:hAnsi="Times New Roman"/>
                <w:sz w:val="18"/>
              </w:rPr>
            </w:pPr>
            <w:r>
              <w:rPr>
                <w:rFonts w:ascii="Times New Roman" w:hAnsi="Times New Roman"/>
                <w:sz w:val="18"/>
              </w:rPr>
              <w:t>Common Stock</w:t>
            </w:r>
          </w:p>
        </w:tc>
        <w:tc>
          <w:tcPr>
            <w:tcW w:w="1475" w:type="dxa"/>
            <w:tcBorders>
              <w:top w:val="single" w:sz="6" w:space="0" w:color="000000"/>
              <w:left w:val="single" w:sz="6" w:space="0" w:color="000000"/>
              <w:bottom w:val="single" w:sz="6" w:space="0" w:color="000000"/>
              <w:right w:val="single" w:sz="6" w:space="0" w:color="000000"/>
            </w:tcBorders>
            <w:tcMar>
              <w:top w:w="38" w:type="dxa"/>
              <w:left w:w="30" w:type="dxa"/>
              <w:bottom w:w="38" w:type="dxa"/>
              <w:right w:w="30" w:type="dxa"/>
            </w:tcMar>
            <w:vAlign w:val="center"/>
          </w:tcPr>
          <w:p>
            <w:pPr>
              <w:pStyle w:val="TableContents"/>
              <w:bidi w:val="0"/>
              <w:spacing w:before="0" w:after="0"/>
              <w:jc w:val="center"/>
              <w:rPr>
                <w:rFonts w:ascii="Times New Roman" w:hAnsi="Times New Roman"/>
                <w:sz w:val="18"/>
              </w:rPr>
            </w:pPr>
            <w:r>
              <w:rPr>
                <w:rFonts w:ascii="Times New Roman" w:hAnsi="Times New Roman"/>
                <w:sz w:val="18"/>
              </w:rPr>
              <w:t>EEFT</w:t>
            </w:r>
          </w:p>
        </w:tc>
        <w:tc>
          <w:tcPr>
            <w:tcW w:w="3365" w:type="dxa"/>
            <w:tcBorders>
              <w:top w:val="single" w:sz="6" w:space="0" w:color="000000"/>
              <w:left w:val="single" w:sz="6" w:space="0" w:color="000000"/>
              <w:bottom w:val="single" w:sz="6" w:space="0" w:color="000000"/>
              <w:right w:val="single" w:sz="6" w:space="0" w:color="000000"/>
            </w:tcBorders>
            <w:tcMar>
              <w:top w:w="38" w:type="dxa"/>
              <w:left w:w="30" w:type="dxa"/>
              <w:bottom w:w="38" w:type="dxa"/>
              <w:right w:w="30" w:type="dxa"/>
            </w:tcMar>
            <w:vAlign w:val="center"/>
          </w:tcPr>
          <w:p>
            <w:pPr>
              <w:pStyle w:val="TableContents"/>
              <w:bidi w:val="0"/>
              <w:spacing w:before="0" w:after="0"/>
              <w:jc w:val="center"/>
              <w:rPr>
                <w:sz w:val="18"/>
              </w:rPr>
            </w:pPr>
            <w:r>
              <w:rPr>
                <w:rFonts w:ascii="Times New Roman" w:hAnsi="Times New Roman"/>
                <w:sz w:val="18"/>
              </w:rPr>
              <w:t>Nasdaq</w:t>
            </w:r>
            <w:r>
              <w:rPr>
                <w:sz w:val="18"/>
              </w:rPr>
              <w:t xml:space="preserve"> Global Select Market</w:t>
            </w:r>
          </w:p>
        </w:tc>
      </w:tr>
      <w:tr>
        <w:trPr/>
        <w:tc>
          <w:tcPr>
            <w:tcW w:w="2390"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center"/>
              <w:rPr/>
            </w:pPr>
            <w:r>
              <w:rPr/>
              <w:t xml:space="preserve">  </w:t>
            </w:r>
            <w:r>
              <w:rPr>
                <w:rFonts w:ascii="Times New Roman" w:hAnsi="Times New Roman"/>
                <w:sz w:val="18"/>
              </w:rPr>
              <w:t>1.375% Senior Notes due 2026</w:t>
            </w:r>
          </w:p>
        </w:tc>
        <w:tc>
          <w:tcPr>
            <w:tcW w:w="1475" w:type="dxa"/>
            <w:tcBorders>
              <w:left w:val="single" w:sz="6" w:space="0" w:color="000000"/>
              <w:bottom w:val="single" w:sz="6" w:space="0" w:color="000000"/>
              <w:right w:val="single" w:sz="6" w:space="0" w:color="000000"/>
            </w:tcBorders>
            <w:tcMar>
              <w:left w:w="30" w:type="dxa"/>
              <w:bottom w:w="38" w:type="dxa"/>
              <w:right w:w="30" w:type="dxa"/>
            </w:tcMar>
            <w:vAlign w:val="center"/>
          </w:tcPr>
          <w:p>
            <w:pPr>
              <w:pStyle w:val="TableContents"/>
              <w:bidi w:val="0"/>
              <w:spacing w:before="0" w:after="0"/>
              <w:jc w:val="center"/>
              <w:rPr>
                <w:rFonts w:ascii="Times New Roman" w:hAnsi="Times New Roman"/>
                <w:sz w:val="18"/>
              </w:rPr>
            </w:pPr>
            <w:r>
              <w:rPr>
                <w:rFonts w:ascii="Times New Roman" w:hAnsi="Times New Roman"/>
                <w:sz w:val="18"/>
              </w:rPr>
              <w:t>EEFT26</w:t>
            </w:r>
          </w:p>
        </w:tc>
        <w:tc>
          <w:tcPr>
            <w:tcW w:w="3365" w:type="dxa"/>
            <w:tcBorders>
              <w:left w:val="single" w:sz="6" w:space="0" w:color="000000"/>
              <w:bottom w:val="single" w:sz="6" w:space="0" w:color="000000"/>
              <w:right w:val="single" w:sz="6" w:space="0" w:color="000000"/>
            </w:tcBorders>
            <w:tcMar>
              <w:left w:w="30" w:type="dxa"/>
              <w:bottom w:w="38" w:type="dxa"/>
              <w:right w:w="30" w:type="dxa"/>
            </w:tcMar>
            <w:vAlign w:val="center"/>
          </w:tcPr>
          <w:p>
            <w:pPr>
              <w:pStyle w:val="TableContents"/>
              <w:bidi w:val="0"/>
              <w:spacing w:before="0" w:after="0"/>
              <w:jc w:val="center"/>
              <w:rPr>
                <w:sz w:val="18"/>
              </w:rPr>
            </w:pPr>
            <w:r>
              <w:rPr>
                <w:rFonts w:ascii="Times New Roman" w:hAnsi="Times New Roman"/>
                <w:sz w:val="18"/>
              </w:rPr>
              <w:t>Nasdaq</w:t>
            </w:r>
            <w:r>
              <w:rPr>
                <w:sz w:val="18"/>
              </w:rPr>
              <w:t xml:space="preserve"> Global Market</w:t>
            </w:r>
          </w:p>
        </w:tc>
      </w:tr>
    </w:tbl>
    <w:p>
      <w:pPr>
        <w:pStyle w:val="TextBody"/>
        <w:bidi w:val="0"/>
        <w:spacing w:lineRule="atLeast" w:line="240" w:before="0" w:after="160"/>
        <w:jc w:val="left"/>
        <w:rPr>
          <w:rFonts w:ascii="Times New Roman" w:hAnsi="Times New Roman"/>
          <w:sz w:val="24"/>
        </w:rPr>
      </w:pPr>
      <w:r>
        <w:rPr>
          <w:rFonts w:ascii="Times New Roman" w:hAnsi="Times New Roman"/>
          <w:sz w:val="18"/>
        </w:rPr>
        <w:t>Indicate by check mark whether the registrant (1)</w:t>
      </w:r>
      <w:r>
        <w:rPr>
          <w:rFonts w:ascii="Times New Roman" w:hAnsi="Times New Roman"/>
          <w:sz w:val="24"/>
        </w:rPr>
        <w:t> </w:t>
      </w:r>
      <w:r>
        <w:rPr>
          <w:rFonts w:ascii="Times New Roman" w:hAnsi="Times New Roman"/>
          <w:sz w:val="18"/>
        </w:rPr>
        <w:t>has filed all reports required to be filed by Section 13 or 15(d) of the Securities Exchange Act of 1934 during the preceding 12</w:t>
      </w:r>
      <w:r>
        <w:rPr>
          <w:rFonts w:ascii="Times New Roman" w:hAnsi="Times New Roman"/>
          <w:sz w:val="24"/>
        </w:rPr>
        <w:t> </w:t>
      </w:r>
      <w:r>
        <w:rPr>
          <w:rFonts w:ascii="Times New Roman" w:hAnsi="Times New Roman"/>
          <w:sz w:val="18"/>
        </w:rPr>
        <w:t>months (or for such shorter period that the registrant was required to file such reports), and (2)</w:t>
      </w:r>
      <w:r>
        <w:rPr>
          <w:rFonts w:ascii="Times New Roman" w:hAnsi="Times New Roman"/>
          <w:sz w:val="24"/>
        </w:rPr>
        <w:t> </w:t>
      </w:r>
      <w:r>
        <w:rPr>
          <w:rFonts w:ascii="Times New Roman" w:hAnsi="Times New Roman"/>
          <w:sz w:val="18"/>
        </w:rPr>
        <w:t>has been subject to such filing requirements for the past 90</w:t>
      </w:r>
      <w:r>
        <w:rPr>
          <w:rFonts w:ascii="Times New Roman" w:hAnsi="Times New Roman"/>
          <w:sz w:val="24"/>
        </w:rPr>
        <w:t> </w:t>
      </w:r>
      <w:r>
        <w:rPr>
          <w:rFonts w:ascii="Times New Roman" w:hAnsi="Times New Roman"/>
          <w:sz w:val="18"/>
        </w:rPr>
        <w:t>days.</w:t>
      </w:r>
      <w:r>
        <w:rPr>
          <w:rFonts w:ascii="Times New Roman" w:hAnsi="Times New Roman"/>
          <w:sz w:val="24"/>
        </w:rPr>
        <w:t> </w:t>
      </w:r>
      <w:r>
        <w:rPr>
          <w:rFonts w:ascii="Times New Roman" w:hAnsi="Times New Roman"/>
          <w:sz w:val="18"/>
        </w:rPr>
        <w:t xml:space="preserve">Yes </w:t>
      </w:r>
      <w:r>
        <w:rPr>
          <w:rFonts w:ascii="Times New Roman" w:hAnsi="Times New Roman"/>
          <w:sz w:val="24"/>
        </w:rPr>
        <w:t>☑ </w:t>
      </w:r>
      <w:r>
        <w:rPr>
          <w:rFonts w:ascii="Times New Roman" w:hAnsi="Times New Roman"/>
          <w:sz w:val="18"/>
        </w:rPr>
        <w:t>No</w:t>
      </w:r>
      <w:r>
        <w:rPr>
          <w:rFonts w:ascii="Times New Roman" w:hAnsi="Times New Roman"/>
          <w:sz w:val="24"/>
        </w:rPr>
        <w:t> ☐</w:t>
      </w:r>
    </w:p>
    <w:p>
      <w:pPr>
        <w:pStyle w:val="TextBody"/>
        <w:bidi w:val="0"/>
        <w:spacing w:lineRule="atLeast" w:line="240" w:before="0" w:after="160"/>
        <w:jc w:val="left"/>
        <w:rPr>
          <w:rFonts w:ascii="Times New Roman" w:hAnsi="Times New Roman"/>
          <w:sz w:val="24"/>
        </w:rPr>
      </w:pPr>
      <w:r>
        <w:rPr>
          <w:rFonts w:ascii="Times New Roman" w:hAnsi="Times New Roman"/>
          <w:sz w:val="18"/>
        </w:rPr>
        <w:t>Indicate by check mark whether the registrant has submitted electronically every Interactive Data</w:t>
      </w:r>
      <w:r>
        <w:rPr>
          <w:rFonts w:ascii="Times New Roman" w:hAnsi="Times New Roman"/>
          <w:sz w:val="24"/>
        </w:rPr>
        <w:t xml:space="preserve"> </w:t>
      </w:r>
      <w:r>
        <w:rPr>
          <w:rFonts w:ascii="Times New Roman" w:hAnsi="Times New Roman"/>
          <w:sz w:val="18"/>
        </w:rPr>
        <w:t>File required to be submitted pursuant to Rule 405 of Regulation</w:t>
      </w:r>
      <w:r>
        <w:rPr>
          <w:rFonts w:ascii="Times New Roman" w:hAnsi="Times New Roman"/>
          <w:sz w:val="24"/>
        </w:rPr>
        <w:t> </w:t>
      </w:r>
      <w:r>
        <w:rPr>
          <w:rFonts w:ascii="Times New Roman" w:hAnsi="Times New Roman"/>
          <w:sz w:val="18"/>
        </w:rPr>
        <w:t>S-T (§ 232.405 of this chapter) during the preceding 12</w:t>
      </w:r>
      <w:r>
        <w:rPr>
          <w:rFonts w:ascii="Times New Roman" w:hAnsi="Times New Roman"/>
          <w:sz w:val="24"/>
        </w:rPr>
        <w:t> </w:t>
      </w:r>
      <w:r>
        <w:rPr>
          <w:rFonts w:ascii="Times New Roman" w:hAnsi="Times New Roman"/>
          <w:sz w:val="18"/>
        </w:rPr>
        <w:t>months (or for such shorter period that the registrant was required to submit such files).</w:t>
      </w:r>
      <w:r>
        <w:rPr>
          <w:rFonts w:ascii="Times New Roman" w:hAnsi="Times New Roman"/>
          <w:sz w:val="24"/>
        </w:rPr>
        <w:t> </w:t>
      </w:r>
      <w:r>
        <w:rPr>
          <w:rFonts w:ascii="Times New Roman" w:hAnsi="Times New Roman"/>
          <w:sz w:val="18"/>
        </w:rPr>
        <w:t xml:space="preserve">Yes </w:t>
      </w:r>
      <w:r>
        <w:rPr>
          <w:rFonts w:ascii="Times New Roman" w:hAnsi="Times New Roman"/>
          <w:sz w:val="24"/>
        </w:rPr>
        <w:t>☑ </w:t>
      </w:r>
      <w:r>
        <w:rPr>
          <w:rFonts w:ascii="Times New Roman" w:hAnsi="Times New Roman"/>
          <w:sz w:val="18"/>
        </w:rPr>
        <w:t>No</w:t>
      </w:r>
      <w:r>
        <w:rPr>
          <w:rFonts w:ascii="Times New Roman" w:hAnsi="Times New Roman"/>
          <w:sz w:val="24"/>
        </w:rPr>
        <w:t> ☐</w:t>
      </w:r>
    </w:p>
    <w:p>
      <w:pPr>
        <w:pStyle w:val="TextBody"/>
        <w:bidi w:val="0"/>
        <w:spacing w:lineRule="atLeast" w:line="240" w:before="0" w:after="0"/>
        <w:jc w:val="left"/>
        <w:rPr>
          <w:rFonts w:ascii="Times New Roman" w:hAnsi="Times New Roman"/>
          <w:sz w:val="24"/>
        </w:rPr>
      </w:pPr>
      <w:r>
        <w:rPr>
          <w:rFonts w:ascii="Times New Roman" w:hAnsi="Times New Roman"/>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4"/>
        </w:rPr>
        <w:t> </w:t>
      </w:r>
    </w:p>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14"/>
        <w:gridCol w:w="614"/>
        <w:gridCol w:w="160"/>
        <w:gridCol w:w="4660"/>
        <w:gridCol w:w="657"/>
      </w:tblGrid>
      <w:tr>
        <w:trPr/>
        <w:tc>
          <w:tcPr>
            <w:tcW w:w="4114" w:type="dxa"/>
            <w:tcBorders/>
            <w:vAlign w:val="center"/>
          </w:tcPr>
          <w:p>
            <w:pPr>
              <w:pStyle w:val="TableContents"/>
              <w:bidi w:val="0"/>
              <w:spacing w:before="0" w:after="0"/>
              <w:jc w:val="left"/>
              <w:rPr>
                <w:sz w:val="18"/>
              </w:rPr>
            </w:pPr>
            <w:r>
              <w:rPr>
                <w:rFonts w:ascii="Times New Roman" w:hAnsi="Times New Roman"/>
                <w:sz w:val="18"/>
              </w:rPr>
              <w:t>Large accelerated filer</w:t>
            </w:r>
            <w:r>
              <w:rPr>
                <w:sz w:val="18"/>
              </w:rPr>
              <w:t> </w:t>
            </w:r>
          </w:p>
        </w:tc>
        <w:tc>
          <w:tcPr>
            <w:tcW w:w="614" w:type="dxa"/>
            <w:tcBorders/>
            <w:vAlign w:val="center"/>
          </w:tcPr>
          <w:p>
            <w:pPr>
              <w:pStyle w:val="TableContents"/>
              <w:bidi w:val="0"/>
              <w:spacing w:before="0" w:after="0"/>
              <w:jc w:val="left"/>
              <w:rPr/>
            </w:pPr>
            <w:r>
              <w:rPr/>
              <w:t></w:t>
            </w:r>
          </w:p>
        </w:tc>
        <w:tc>
          <w:tcPr>
            <w:tcW w:w="160" w:type="dxa"/>
            <w:tcBorders/>
            <w:vAlign w:val="center"/>
          </w:tcPr>
          <w:p>
            <w:pPr>
              <w:pStyle w:val="TableContents"/>
              <w:bidi w:val="0"/>
              <w:spacing w:before="0" w:after="0"/>
              <w:jc w:val="left"/>
              <w:rPr/>
            </w:pPr>
            <w:r>
              <w:rPr/>
              <w:t> </w:t>
            </w:r>
          </w:p>
        </w:tc>
        <w:tc>
          <w:tcPr>
            <w:tcW w:w="4660" w:type="dxa"/>
            <w:tcBorders/>
            <w:vAlign w:val="center"/>
          </w:tcPr>
          <w:p>
            <w:pPr>
              <w:pStyle w:val="TableContents"/>
              <w:bidi w:val="0"/>
              <w:spacing w:before="0" w:after="0"/>
              <w:jc w:val="left"/>
              <w:rPr>
                <w:sz w:val="18"/>
              </w:rPr>
            </w:pPr>
            <w:r>
              <w:rPr>
                <w:sz w:val="18"/>
              </w:rPr>
              <w:t>Accelerated filer </w:t>
            </w:r>
          </w:p>
        </w:tc>
        <w:tc>
          <w:tcPr>
            <w:tcW w:w="657" w:type="dxa"/>
            <w:tcBorders/>
            <w:vAlign w:val="center"/>
          </w:tcPr>
          <w:p>
            <w:pPr>
              <w:pStyle w:val="TableContents"/>
              <w:bidi w:val="0"/>
              <w:spacing w:before="0" w:after="0"/>
              <w:jc w:val="left"/>
              <w:rPr/>
            </w:pPr>
            <w:r>
              <w:rPr/>
              <w:t></w:t>
            </w:r>
          </w:p>
        </w:tc>
      </w:tr>
      <w:tr>
        <w:trPr/>
        <w:tc>
          <w:tcPr>
            <w:tcW w:w="4114" w:type="dxa"/>
            <w:tcBorders/>
            <w:vAlign w:val="center"/>
          </w:tcPr>
          <w:p>
            <w:pPr>
              <w:pStyle w:val="TableContents"/>
              <w:bidi w:val="0"/>
              <w:spacing w:before="0" w:after="0"/>
              <w:jc w:val="left"/>
              <w:rPr>
                <w:sz w:val="18"/>
              </w:rPr>
            </w:pPr>
            <w:r>
              <w:rPr>
                <w:sz w:val="18"/>
              </w:rPr>
              <w:t>Non-accelerated filer </w:t>
            </w:r>
          </w:p>
        </w:tc>
        <w:tc>
          <w:tcPr>
            <w:tcW w:w="614" w:type="dxa"/>
            <w:tcBorders/>
            <w:vAlign w:val="center"/>
          </w:tcPr>
          <w:p>
            <w:pPr>
              <w:pStyle w:val="TableContents"/>
              <w:bidi w:val="0"/>
              <w:spacing w:before="0" w:after="0"/>
              <w:jc w:val="left"/>
              <w:rPr/>
            </w:pPr>
            <w:r>
              <w:rPr/>
              <w:t></w:t>
            </w:r>
          </w:p>
        </w:tc>
        <w:tc>
          <w:tcPr>
            <w:tcW w:w="160" w:type="dxa"/>
            <w:tcBorders/>
            <w:vAlign w:val="center"/>
          </w:tcPr>
          <w:p>
            <w:pPr>
              <w:pStyle w:val="TableContents"/>
              <w:bidi w:val="0"/>
              <w:spacing w:before="0" w:after="0"/>
              <w:jc w:val="left"/>
              <w:rPr/>
            </w:pPr>
            <w:r>
              <w:rPr/>
              <w:t> </w:t>
            </w:r>
          </w:p>
        </w:tc>
        <w:tc>
          <w:tcPr>
            <w:tcW w:w="4660" w:type="dxa"/>
            <w:tcBorders/>
            <w:vAlign w:val="center"/>
          </w:tcPr>
          <w:p>
            <w:pPr>
              <w:pStyle w:val="TableContents"/>
              <w:bidi w:val="0"/>
              <w:spacing w:before="0" w:after="0"/>
              <w:jc w:val="left"/>
              <w:rPr>
                <w:sz w:val="18"/>
              </w:rPr>
            </w:pPr>
            <w:r>
              <w:rPr>
                <w:sz w:val="18"/>
              </w:rPr>
              <w:t>Smaller reporting company</w:t>
            </w:r>
          </w:p>
        </w:tc>
        <w:tc>
          <w:tcPr>
            <w:tcW w:w="657" w:type="dxa"/>
            <w:tcBorders/>
            <w:vAlign w:val="center"/>
          </w:tcPr>
          <w:p>
            <w:pPr>
              <w:pStyle w:val="TableContents"/>
              <w:bidi w:val="0"/>
              <w:spacing w:before="0" w:after="0"/>
              <w:jc w:val="left"/>
              <w:rPr/>
            </w:pPr>
            <w:r>
              <w:rPr/>
              <w:t>☐</w:t>
            </w:r>
          </w:p>
        </w:tc>
      </w:tr>
      <w:tr>
        <w:trPr/>
        <w:tc>
          <w:tcPr>
            <w:tcW w:w="4728" w:type="dxa"/>
            <w:gridSpan w:val="2"/>
            <w:tcBorders/>
            <w:vAlign w:val="center"/>
          </w:tcPr>
          <w:p>
            <w:pPr>
              <w:pStyle w:val="TableContents"/>
              <w:bidi w:val="0"/>
              <w:spacing w:before="0" w:after="0"/>
              <w:jc w:val="left"/>
              <w:rPr/>
            </w:pPr>
            <w:r>
              <w:rPr/>
              <w:t> </w:t>
            </w:r>
          </w:p>
        </w:tc>
        <w:tc>
          <w:tcPr>
            <w:tcW w:w="160" w:type="dxa"/>
            <w:tcBorders/>
            <w:vAlign w:val="center"/>
          </w:tcPr>
          <w:p>
            <w:pPr>
              <w:pStyle w:val="TableContents"/>
              <w:bidi w:val="0"/>
              <w:spacing w:before="0" w:after="0"/>
              <w:jc w:val="left"/>
              <w:rPr/>
            </w:pPr>
            <w:r>
              <w:rPr/>
              <w:t> </w:t>
            </w:r>
          </w:p>
        </w:tc>
        <w:tc>
          <w:tcPr>
            <w:tcW w:w="4660" w:type="dxa"/>
            <w:tcBorders/>
            <w:vAlign w:val="center"/>
          </w:tcPr>
          <w:p>
            <w:pPr>
              <w:pStyle w:val="TableContents"/>
              <w:bidi w:val="0"/>
              <w:spacing w:before="0" w:after="0"/>
              <w:jc w:val="left"/>
              <w:rPr>
                <w:sz w:val="18"/>
              </w:rPr>
            </w:pPr>
            <w:r>
              <w:rPr>
                <w:sz w:val="18"/>
              </w:rPr>
              <w:t>Emerging growth company</w:t>
            </w:r>
          </w:p>
        </w:tc>
        <w:tc>
          <w:tcPr>
            <w:tcW w:w="657" w:type="dxa"/>
            <w:tcBorders/>
            <w:vAlign w:val="center"/>
          </w:tcPr>
          <w:p>
            <w:pPr>
              <w:pStyle w:val="TableContents"/>
              <w:bidi w:val="0"/>
              <w:spacing w:before="0" w:after="0"/>
              <w:jc w:val="left"/>
              <w:rPr/>
            </w:pPr>
            <w:r>
              <w:rPr/>
              <w:t>☐</w:t>
            </w:r>
          </w:p>
        </w:tc>
      </w:tr>
      <w:tr>
        <w:trPr/>
        <w:tc>
          <w:tcPr>
            <w:tcW w:w="10205" w:type="dxa"/>
            <w:gridSpan w:val="5"/>
            <w:tcBorders/>
            <w:vAlign w:val="center"/>
          </w:tcPr>
          <w:p>
            <w:pPr>
              <w:pStyle w:val="TableContents"/>
              <w:bidi w:val="0"/>
              <w:spacing w:lineRule="atLeast" w:line="240" w:before="0" w:after="0"/>
              <w:jc w:val="left"/>
              <w:rPr/>
            </w:pPr>
            <w:r>
              <w:rPr>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t> </w:t>
            </w:r>
          </w:p>
        </w:tc>
      </w:tr>
    </w:tbl>
    <w:p>
      <w:pPr>
        <w:pStyle w:val="TextBody"/>
        <w:bidi w:val="0"/>
        <w:spacing w:lineRule="atLeast" w:line="216" w:before="0" w:after="0"/>
        <w:jc w:val="left"/>
        <w:rPr>
          <w:rFonts w:ascii="Times New Roman" w:hAnsi="Times New Roman"/>
          <w:sz w:val="24"/>
        </w:rPr>
      </w:pPr>
      <w:r>
        <w:rPr>
          <w:rFonts w:ascii="Times New Roman" w:hAnsi="Times New Roman"/>
          <w:sz w:val="18"/>
        </w:rPr>
        <w:t xml:space="preserve">Indicate by check mark whether the registrant is a shell company (as defined in Rule 12b-2 of the Exchange Act). Yes </w:t>
      </w:r>
      <w:r>
        <w:rPr>
          <w:rFonts w:ascii="Times New Roman" w:hAnsi="Times New Roman"/>
          <w:sz w:val="24"/>
        </w:rPr>
        <w:t>☐ </w:t>
      </w:r>
      <w:r>
        <w:rPr>
          <w:rFonts w:ascii="Times New Roman" w:hAnsi="Times New Roman"/>
          <w:sz w:val="18"/>
        </w:rPr>
        <w:t xml:space="preserve">No </w:t>
      </w:r>
      <w:r>
        <w:rPr>
          <w:rFonts w:ascii="Times New Roman" w:hAnsi="Times New Roman"/>
          <w:sz w:val="24"/>
        </w:rPr>
        <w:t>☑</w:t>
      </w:r>
    </w:p>
    <w:p>
      <w:pPr>
        <w:pStyle w:val="TextBody"/>
        <w:bidi w:val="0"/>
        <w:spacing w:lineRule="atLeast" w:line="240" w:before="0" w:after="0"/>
        <w:jc w:val="left"/>
        <w:rPr/>
      </w:pPr>
      <w:r>
        <w:rPr/>
        <w:t> </w:t>
      </w:r>
    </w:p>
    <w:p>
      <w:pPr>
        <w:pStyle w:val="TextBody"/>
        <w:pBdr/>
        <w:bidi w:val="0"/>
        <w:spacing w:lineRule="atLeast" w:line="240" w:before="0" w:after="0"/>
        <w:jc w:val="left"/>
        <w:rPr>
          <w:rFonts w:ascii="Times New Roman" w:hAnsi="Times New Roman"/>
          <w:sz w:val="24"/>
        </w:rPr>
      </w:pPr>
      <w:r>
        <w:rPr>
          <w:rFonts w:ascii="Times New Roman" w:hAnsi="Times New Roman"/>
          <w:sz w:val="18"/>
        </w:rPr>
        <w:t>On July 28, 2025,</w:t>
      </w:r>
      <w:r>
        <w:rPr>
          <w:rFonts w:ascii="Times New Roman" w:hAnsi="Times New Roman"/>
          <w:sz w:val="24"/>
        </w:rPr>
        <w:t> </w:t>
      </w:r>
      <w:r>
        <w:rPr>
          <w:rFonts w:ascii="Times New Roman" w:hAnsi="Times New Roman"/>
          <w:sz w:val="18"/>
        </w:rPr>
        <w:t>Euronet Worldwide, Inc. had 40,996,169</w:t>
      </w:r>
      <w:r>
        <w:rPr>
          <w:rFonts w:ascii="Times New Roman" w:hAnsi="Times New Roman"/>
          <w:sz w:val="24"/>
        </w:rPr>
        <w:t> </w:t>
      </w:r>
      <w:r>
        <w:rPr>
          <w:rFonts w:ascii="Times New Roman" w:hAnsi="Times New Roman"/>
          <w:sz w:val="18"/>
        </w:rPr>
        <w:t>shares of common stock outstanding.</w:t>
      </w:r>
    </w:p>
    <w:tbl>
      <w:tblPr>
        <w:tblW w:w="90" w:type="dxa"/>
        <w:jc w:val="left"/>
        <w:tblInd w:w="0" w:type="dxa"/>
        <w:tblLayout w:type="fixed"/>
        <w:tblCellMar>
          <w:top w:w="28" w:type="dxa"/>
          <w:left w:w="0" w:type="dxa"/>
          <w:bottom w:w="28" w:type="dxa"/>
          <w:right w:w="0" w:type="dxa"/>
        </w:tblCellMar>
      </w:tblPr>
      <w:tblGrid>
        <w:gridCol w:w="90"/>
      </w:tblGrid>
      <w:tr>
        <w:trPr/>
        <w:tc>
          <w:tcPr>
            <w:tcW w:w="90" w:type="dxa"/>
            <w:tcBorders>
              <w:top w:val="single" w:sz="8" w:space="0" w:color="000000"/>
              <w:bottom w:val="single" w:sz="18" w:space="0" w:color="000000"/>
            </w:tcBorders>
            <w:vAlign w:val="center"/>
          </w:tcPr>
          <w:p>
            <w:pPr>
              <w:pStyle w:val="TableContents"/>
              <w:bidi w:val="0"/>
              <w:spacing w:before="0" w:after="0"/>
              <w:jc w:val="center"/>
              <w:rPr/>
            </w:pPr>
            <w:r>
              <w:rPr/>
              <w:t> </w:t>
            </w:r>
          </w:p>
        </w:tc>
      </w:tr>
    </w:tbl>
    <w:p>
      <w:pPr>
        <w:pStyle w:val="TextBody"/>
        <w:bidi w:val="0"/>
        <w:spacing w:lineRule="atLeast" w:line="240"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lineRule="atLeast" w:line="240" w:before="0" w:after="160"/>
        <w:jc w:val="center"/>
        <w:rPr>
          <w:rFonts w:ascii="Times New Roman" w:hAnsi="Times New Roman"/>
          <w:b/>
          <w:sz w:val="20"/>
        </w:rPr>
      </w:pPr>
      <w:r>
        <w:rPr>
          <w:rFonts w:ascii="Times New Roman" w:hAnsi="Times New Roman"/>
          <w:b/>
          <w:sz w:val="20"/>
        </w:rPr>
        <w:t>EURONET WORLDWIDE, INC. AND SUBSIDIARIES</w:t>
      </w:r>
    </w:p>
    <w:p>
      <w:pPr>
        <w:pStyle w:val="TextBody"/>
        <w:bidi w:val="0"/>
        <w:spacing w:lineRule="atLeast" w:line="240" w:before="0" w:after="160"/>
        <w:jc w:val="center"/>
        <w:rPr>
          <w:rFonts w:ascii="Times New Roman" w:hAnsi="Times New Roman"/>
          <w:b/>
          <w:sz w:val="20"/>
        </w:rPr>
      </w:pPr>
      <w:r>
        <w:rPr>
          <w:rFonts w:ascii="Times New Roman" w:hAnsi="Times New Roman"/>
          <w:b/>
          <w:sz w:val="20"/>
        </w:rPr>
        <w:t>Table of Contents</w:t>
      </w:r>
    </w:p>
    <w:p>
      <w:pPr>
        <w:pStyle w:val="Normal"/>
        <w:bidi w:val="0"/>
        <w:spacing w:before="0" w:after="0"/>
        <w:jc w:val="left"/>
        <w:rPr>
          <w:sz w:val="4"/>
          <w:szCs w:val="4"/>
        </w:rPr>
      </w:pPr>
      <w:r>
        <w:rPr>
          <w:sz w:val="4"/>
          <w:szCs w:val="4"/>
        </w:rPr>
      </w:r>
      <w:bookmarkStart w:id="4" w:name="TOC"/>
      <w:bookmarkStart w:id="5" w:name="TOC"/>
      <w:bookmarkEnd w:id="5"/>
    </w:p>
    <w:tbl>
      <w:tblPr>
        <w:tblW w:w="10205" w:type="dxa"/>
        <w:jc w:val="left"/>
        <w:tblInd w:w="0" w:type="dxa"/>
        <w:tblLayout w:type="fixed"/>
        <w:tblCellMar>
          <w:top w:w="0" w:type="dxa"/>
          <w:left w:w="0" w:type="dxa"/>
          <w:bottom w:w="0" w:type="dxa"/>
          <w:right w:w="0" w:type="dxa"/>
        </w:tblCellMar>
      </w:tblPr>
      <w:tblGrid>
        <w:gridCol w:w="700"/>
        <w:gridCol w:w="9049"/>
        <w:gridCol w:w="456"/>
      </w:tblGrid>
      <w:tr>
        <w:trPr/>
        <w:tc>
          <w:tcPr>
            <w:tcW w:w="700" w:type="dxa"/>
            <w:tcBorders/>
            <w:shd w:fill="CCEEFF" w:val="clear"/>
            <w:vAlign w:val="center"/>
          </w:tcPr>
          <w:p>
            <w:pPr>
              <w:pStyle w:val="TableContents"/>
              <w:bidi w:val="0"/>
              <w:spacing w:before="0" w:after="0"/>
              <w:jc w:val="left"/>
              <w:rPr/>
            </w:pPr>
            <w:bookmarkStart w:id="6" w:name="TOC_TableofContent"/>
            <w:bookmarkEnd w:id="6"/>
            <w:r>
              <w:rPr/>
              <w:t> </w:t>
            </w:r>
          </w:p>
        </w:tc>
        <w:tc>
          <w:tcPr>
            <w:tcW w:w="9049" w:type="dxa"/>
            <w:tcBorders/>
            <w:shd w:fill="CCEEFF" w:val="clear"/>
            <w:vAlign w:val="center"/>
          </w:tcPr>
          <w:p>
            <w:pPr>
              <w:pStyle w:val="TableContents"/>
              <w:bidi w:val="0"/>
              <w:spacing w:before="0" w:after="0"/>
              <w:jc w:val="center"/>
              <w:rPr/>
            </w:pPr>
            <w:r>
              <w:rPr/>
              <w:t> </w:t>
            </w:r>
          </w:p>
        </w:tc>
        <w:tc>
          <w:tcPr>
            <w:tcW w:w="456" w:type="dxa"/>
            <w:tcBorders/>
            <w:shd w:fill="CCEEFF" w:val="clear"/>
            <w:vAlign w:val="center"/>
          </w:tcPr>
          <w:p>
            <w:pPr>
              <w:pStyle w:val="TableContents"/>
              <w:bidi w:val="0"/>
              <w:spacing w:before="0" w:after="0"/>
              <w:jc w:val="center"/>
              <w:rPr>
                <w:b/>
                <w:sz w:val="20"/>
                <w:u w:val="single"/>
              </w:rPr>
            </w:pPr>
            <w:r>
              <w:rPr>
                <w:b/>
                <w:sz w:val="20"/>
                <w:u w:val="single"/>
              </w:rPr>
              <w:t>Page</w:t>
            </w:r>
          </w:p>
        </w:tc>
      </w:tr>
      <w:tr>
        <w:trPr/>
        <w:tc>
          <w:tcPr>
            <w:tcW w:w="9749" w:type="dxa"/>
            <w:gridSpan w:val="2"/>
            <w:tcBorders/>
            <w:vAlign w:val="center"/>
          </w:tcPr>
          <w:p>
            <w:pPr>
              <w:pStyle w:val="TableContents"/>
              <w:bidi w:val="0"/>
              <w:spacing w:before="0" w:after="0"/>
              <w:jc w:val="left"/>
              <w:rPr/>
            </w:pPr>
            <w:r>
              <w:rPr/>
              <w:t> </w:t>
            </w:r>
          </w:p>
        </w:tc>
        <w:tc>
          <w:tcPr>
            <w:tcW w:w="456" w:type="dxa"/>
            <w:tcBorders/>
            <w:vAlign w:val="center"/>
          </w:tcPr>
          <w:p>
            <w:pPr>
              <w:pStyle w:val="TableContents"/>
              <w:bidi w:val="0"/>
              <w:spacing w:before="0" w:after="0"/>
              <w:jc w:val="left"/>
              <w:rPr/>
            </w:pPr>
            <w:r>
              <w:rPr/>
              <w:t> </w:t>
            </w:r>
          </w:p>
        </w:tc>
      </w:tr>
      <w:tr>
        <w:trPr/>
        <w:tc>
          <w:tcPr>
            <w:tcW w:w="9749" w:type="dxa"/>
            <w:gridSpan w:val="2"/>
            <w:tcBorders/>
            <w:shd w:fill="CCEEFF" w:val="clear"/>
            <w:vAlign w:val="center"/>
          </w:tcPr>
          <w:p>
            <w:pPr>
              <w:pStyle w:val="TableContents"/>
              <w:bidi w:val="0"/>
              <w:spacing w:before="0" w:after="0"/>
              <w:jc w:val="left"/>
              <w:rPr/>
            </w:pPr>
            <w:hyperlink w:anchor="TOC_c9846a490775595adc96">
              <w:r>
                <w:rPr>
                  <w:rStyle w:val="InternetLink"/>
                  <w:strike w:val="false"/>
                  <w:dstrike w:val="false"/>
                  <w:color w:val="0000FF"/>
                  <w:sz w:val="20"/>
                  <w:u w:val="single"/>
                  <w:effect w:val="none"/>
                </w:rPr>
                <w:t>PART I—FINANCIAL INFORMATION</w:t>
              </w:r>
            </w:hyperlink>
          </w:p>
        </w:tc>
        <w:tc>
          <w:tcPr>
            <w:tcW w:w="456" w:type="dxa"/>
            <w:tcBorders/>
            <w:shd w:fill="CCEEFF" w:val="clear"/>
            <w:vAlign w:val="center"/>
          </w:tcPr>
          <w:p>
            <w:pPr>
              <w:pStyle w:val="TableContents"/>
              <w:bidi w:val="0"/>
              <w:spacing w:before="0" w:after="0"/>
              <w:jc w:val="center"/>
              <w:rPr/>
            </w:pPr>
            <w:r>
              <w:rPr/>
              <w:t> </w:t>
            </w:r>
          </w:p>
        </w:tc>
      </w:tr>
      <w:tr>
        <w:trPr/>
        <w:tc>
          <w:tcPr>
            <w:tcW w:w="700" w:type="dxa"/>
            <w:tcBorders/>
            <w:vAlign w:val="center"/>
          </w:tcPr>
          <w:p>
            <w:pPr>
              <w:pStyle w:val="TableContents"/>
              <w:bidi w:val="0"/>
              <w:spacing w:before="0" w:after="0"/>
              <w:jc w:val="left"/>
              <w:rPr>
                <w:sz w:val="20"/>
              </w:rPr>
            </w:pPr>
            <w:r>
              <w:rPr>
                <w:sz w:val="20"/>
              </w:rPr>
              <w:t>Item 1.</w:t>
            </w:r>
          </w:p>
        </w:tc>
        <w:tc>
          <w:tcPr>
            <w:tcW w:w="9049" w:type="dxa"/>
            <w:tcBorders/>
            <w:vAlign w:val="center"/>
          </w:tcPr>
          <w:p>
            <w:pPr>
              <w:pStyle w:val="TableContents"/>
              <w:bidi w:val="0"/>
              <w:spacing w:before="0" w:after="0"/>
              <w:jc w:val="left"/>
              <w:rPr/>
            </w:pPr>
            <w:hyperlink w:anchor="TOC_c2d61f791f5e810e0f34">
              <w:r>
                <w:rPr>
                  <w:rStyle w:val="InternetLink"/>
                  <w:strike w:val="false"/>
                  <w:dstrike w:val="false"/>
                  <w:color w:val="0000FF"/>
                  <w:sz w:val="20"/>
                  <w:u w:val="single"/>
                  <w:effect w:val="none"/>
                </w:rPr>
                <w:t>Financial Statements (unaudited)</w:t>
              </w:r>
            </w:hyperlink>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w:t>
            </w:r>
          </w:p>
        </w:tc>
      </w:tr>
      <w:tr>
        <w:trPr/>
        <w:tc>
          <w:tcPr>
            <w:tcW w:w="700" w:type="dxa"/>
            <w:tcBorders/>
            <w:shd w:fill="CCEEFF" w:val="clear"/>
            <w:vAlign w:val="center"/>
          </w:tcPr>
          <w:p>
            <w:pPr>
              <w:pStyle w:val="TableContents"/>
              <w:bidi w:val="0"/>
              <w:spacing w:before="0" w:after="0"/>
              <w:jc w:val="left"/>
              <w:rPr/>
            </w:pPr>
            <w:r>
              <w:rPr/>
              <w:t> </w:t>
            </w:r>
          </w:p>
        </w:tc>
        <w:tc>
          <w:tcPr>
            <w:tcW w:w="9049" w:type="dxa"/>
            <w:tcBorders/>
            <w:shd w:fill="CCEEFF" w:val="clear"/>
            <w:vAlign w:val="center"/>
          </w:tcPr>
          <w:p>
            <w:pPr>
              <w:pStyle w:val="TableContents"/>
              <w:bidi w:val="0"/>
              <w:spacing w:before="0" w:after="0"/>
              <w:jc w:val="left"/>
              <w:rPr/>
            </w:pPr>
            <w:hyperlink w:anchor="TOC_c1c78af7319e6d3f13dc">
              <w:r>
                <w:rPr>
                  <w:rStyle w:val="InternetLink"/>
                  <w:strike w:val="false"/>
                  <w:dstrike w:val="false"/>
                  <w:color w:val="0000FF"/>
                  <w:sz w:val="20"/>
                  <w:u w:val="single"/>
                  <w:effect w:val="none"/>
                </w:rPr>
                <w:t>Consolidated Balance Sheets as of June 30, 2025 and December 31, 2024</w:t>
              </w:r>
            </w:hyperlink>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w:t>
            </w:r>
          </w:p>
        </w:tc>
      </w:tr>
      <w:tr>
        <w:trPr/>
        <w:tc>
          <w:tcPr>
            <w:tcW w:w="700" w:type="dxa"/>
            <w:tcBorders/>
            <w:vAlign w:val="center"/>
          </w:tcPr>
          <w:p>
            <w:pPr>
              <w:pStyle w:val="TableContents"/>
              <w:bidi w:val="0"/>
              <w:spacing w:before="0" w:after="0"/>
              <w:jc w:val="left"/>
              <w:rPr/>
            </w:pPr>
            <w:r>
              <w:rPr/>
              <w:t> </w:t>
            </w:r>
          </w:p>
        </w:tc>
        <w:tc>
          <w:tcPr>
            <w:tcW w:w="9049" w:type="dxa"/>
            <w:tcBorders/>
            <w:vAlign w:val="center"/>
          </w:tcPr>
          <w:p>
            <w:pPr>
              <w:pStyle w:val="TableContents"/>
              <w:bidi w:val="0"/>
              <w:spacing w:before="0" w:after="0"/>
              <w:jc w:val="left"/>
              <w:rPr/>
            </w:pPr>
            <w:hyperlink w:anchor="TOC_ca81ae50a744b761f995">
              <w:r>
                <w:rPr>
                  <w:rStyle w:val="InternetLink"/>
                  <w:strike w:val="false"/>
                  <w:dstrike w:val="false"/>
                  <w:color w:val="0000FF"/>
                  <w:sz w:val="20"/>
                  <w:u w:val="single"/>
                  <w:effect w:val="none"/>
                </w:rPr>
                <w:t>Consolidated Statements of Operations for the Three and Six Months Ended June 30, 2025 and 2024</w:t>
              </w:r>
            </w:hyperlink>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w:t>
            </w:r>
          </w:p>
        </w:tc>
      </w:tr>
      <w:tr>
        <w:trPr/>
        <w:tc>
          <w:tcPr>
            <w:tcW w:w="700" w:type="dxa"/>
            <w:tcBorders/>
            <w:shd w:fill="CCEEFF" w:val="clear"/>
            <w:vAlign w:val="center"/>
          </w:tcPr>
          <w:p>
            <w:pPr>
              <w:pStyle w:val="TableContents"/>
              <w:bidi w:val="0"/>
              <w:spacing w:before="0" w:after="0"/>
              <w:jc w:val="left"/>
              <w:rPr/>
            </w:pPr>
            <w:r>
              <w:rPr/>
              <w:t> </w:t>
            </w:r>
          </w:p>
        </w:tc>
        <w:tc>
          <w:tcPr>
            <w:tcW w:w="9049" w:type="dxa"/>
            <w:tcBorders/>
            <w:shd w:fill="CCEEFF" w:val="clear"/>
            <w:vAlign w:val="center"/>
          </w:tcPr>
          <w:p>
            <w:pPr>
              <w:pStyle w:val="TableContents"/>
              <w:bidi w:val="0"/>
              <w:spacing w:before="0" w:after="0"/>
              <w:jc w:val="left"/>
              <w:rPr/>
            </w:pPr>
            <w:hyperlink w:anchor="TOC_c164572bc288f76e5faf">
              <w:r>
                <w:rPr>
                  <w:rStyle w:val="InternetLink"/>
                  <w:strike w:val="false"/>
                  <w:dstrike w:val="false"/>
                  <w:color w:val="0000FF"/>
                  <w:sz w:val="20"/>
                  <w:u w:val="single"/>
                  <w:effect w:val="none"/>
                </w:rPr>
                <w:t>Consolidated Statements of Comprehensive Income (loss) for the Three and Six Months Ended June 30, 2025 and 2024</w:t>
              </w:r>
            </w:hyperlink>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w:t>
            </w:r>
          </w:p>
        </w:tc>
      </w:tr>
      <w:tr>
        <w:trPr/>
        <w:tc>
          <w:tcPr>
            <w:tcW w:w="700" w:type="dxa"/>
            <w:tcBorders/>
            <w:vAlign w:val="center"/>
          </w:tcPr>
          <w:p>
            <w:pPr>
              <w:pStyle w:val="TableContents"/>
              <w:bidi w:val="0"/>
              <w:spacing w:before="0" w:after="0"/>
              <w:jc w:val="left"/>
              <w:rPr/>
            </w:pPr>
            <w:r>
              <w:rPr/>
              <w:t> </w:t>
            </w:r>
          </w:p>
        </w:tc>
        <w:tc>
          <w:tcPr>
            <w:tcW w:w="9049" w:type="dxa"/>
            <w:tcBorders/>
            <w:vAlign w:val="center"/>
          </w:tcPr>
          <w:p>
            <w:pPr>
              <w:pStyle w:val="TableContents"/>
              <w:bidi w:val="0"/>
              <w:spacing w:before="0" w:after="0"/>
              <w:jc w:val="left"/>
              <w:rPr/>
            </w:pPr>
            <w:hyperlink w:anchor="TOC_c2874be597bd34072123">
              <w:r>
                <w:rPr>
                  <w:rStyle w:val="InternetLink"/>
                  <w:strike w:val="false"/>
                  <w:dstrike w:val="false"/>
                  <w:color w:val="0000FF"/>
                  <w:sz w:val="20"/>
                  <w:u w:val="single"/>
                  <w:effect w:val="none"/>
                </w:rPr>
                <w:t>Consolidated Statements of Changes in Equity for the Three and Six Months Ended June 30, 2025 and 2024</w:t>
              </w:r>
            </w:hyperlink>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w:t>
            </w:r>
          </w:p>
        </w:tc>
      </w:tr>
      <w:tr>
        <w:trPr/>
        <w:tc>
          <w:tcPr>
            <w:tcW w:w="700" w:type="dxa"/>
            <w:tcBorders/>
            <w:shd w:fill="CCEEFF" w:val="clear"/>
            <w:vAlign w:val="center"/>
          </w:tcPr>
          <w:p>
            <w:pPr>
              <w:pStyle w:val="TableContents"/>
              <w:bidi w:val="0"/>
              <w:spacing w:before="0" w:after="0"/>
              <w:jc w:val="left"/>
              <w:rPr/>
            </w:pPr>
            <w:r>
              <w:rPr/>
              <w:t> </w:t>
            </w:r>
          </w:p>
        </w:tc>
        <w:tc>
          <w:tcPr>
            <w:tcW w:w="9049" w:type="dxa"/>
            <w:tcBorders/>
            <w:shd w:fill="CCEEFF" w:val="clear"/>
            <w:vAlign w:val="center"/>
          </w:tcPr>
          <w:p>
            <w:pPr>
              <w:pStyle w:val="TableContents"/>
              <w:bidi w:val="0"/>
              <w:spacing w:before="0" w:after="0"/>
              <w:jc w:val="left"/>
              <w:rPr/>
            </w:pPr>
            <w:hyperlink w:anchor="TOC_c1e78c691e171e77fc9c">
              <w:r>
                <w:rPr>
                  <w:rStyle w:val="InternetLink"/>
                  <w:strike w:val="false"/>
                  <w:dstrike w:val="false"/>
                  <w:color w:val="0000FF"/>
                  <w:sz w:val="20"/>
                  <w:u w:val="single"/>
                  <w:effect w:val="none"/>
                </w:rPr>
                <w:t>Consolidated Statements of Cash Flows for the Six Months Ended June 30, 2025 and 2024</w:t>
              </w:r>
            </w:hyperlink>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6</w:t>
            </w:r>
          </w:p>
        </w:tc>
      </w:tr>
      <w:tr>
        <w:trPr/>
        <w:tc>
          <w:tcPr>
            <w:tcW w:w="700" w:type="dxa"/>
            <w:tcBorders/>
            <w:vAlign w:val="center"/>
          </w:tcPr>
          <w:p>
            <w:pPr>
              <w:pStyle w:val="TableContents"/>
              <w:bidi w:val="0"/>
              <w:spacing w:before="0" w:after="0"/>
              <w:jc w:val="left"/>
              <w:rPr/>
            </w:pPr>
            <w:r>
              <w:rPr/>
              <w:t> </w:t>
            </w:r>
          </w:p>
        </w:tc>
        <w:tc>
          <w:tcPr>
            <w:tcW w:w="9049" w:type="dxa"/>
            <w:tcBorders/>
            <w:vAlign w:val="center"/>
          </w:tcPr>
          <w:p>
            <w:pPr>
              <w:pStyle w:val="TableContents"/>
              <w:bidi w:val="0"/>
              <w:spacing w:before="0" w:after="0"/>
              <w:jc w:val="left"/>
              <w:rPr/>
            </w:pPr>
            <w:hyperlink w:anchor="TOC_c9778ca2fd8db93587bb">
              <w:r>
                <w:rPr>
                  <w:rStyle w:val="InternetLink"/>
                  <w:strike w:val="false"/>
                  <w:dstrike w:val="false"/>
                  <w:color w:val="0000FF"/>
                  <w:sz w:val="20"/>
                  <w:u w:val="single"/>
                  <w:effect w:val="none"/>
                </w:rPr>
                <w:t>Notes to the Unaudited Consolidated Financial Statements</w:t>
              </w:r>
            </w:hyperlink>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7</w:t>
            </w:r>
          </w:p>
        </w:tc>
      </w:tr>
      <w:tr>
        <w:trPr/>
        <w:tc>
          <w:tcPr>
            <w:tcW w:w="700" w:type="dxa"/>
            <w:tcBorders/>
            <w:shd w:fill="CCEEFF" w:val="clear"/>
            <w:vAlign w:val="center"/>
          </w:tcPr>
          <w:p>
            <w:pPr>
              <w:pStyle w:val="TableContents"/>
              <w:bidi w:val="0"/>
              <w:spacing w:before="0" w:after="0"/>
              <w:jc w:val="left"/>
              <w:rPr>
                <w:sz w:val="20"/>
              </w:rPr>
            </w:pPr>
            <w:r>
              <w:rPr>
                <w:sz w:val="20"/>
              </w:rPr>
              <w:t>Item 2.</w:t>
            </w:r>
          </w:p>
        </w:tc>
        <w:tc>
          <w:tcPr>
            <w:tcW w:w="9049" w:type="dxa"/>
            <w:tcBorders/>
            <w:shd w:fill="CCEEFF" w:val="clear"/>
            <w:vAlign w:val="center"/>
          </w:tcPr>
          <w:p>
            <w:pPr>
              <w:pStyle w:val="TableContents"/>
              <w:bidi w:val="0"/>
              <w:spacing w:before="0" w:after="0"/>
              <w:jc w:val="left"/>
              <w:rPr/>
            </w:pPr>
            <w:hyperlink w:anchor="TOC_90a06a2daa2c56ac">
              <w:r>
                <w:rPr>
                  <w:rStyle w:val="InternetLink"/>
                  <w:strike w:val="false"/>
                  <w:dstrike w:val="false"/>
                  <w:color w:val="0000FF"/>
                  <w:sz w:val="20"/>
                  <w:u w:val="single"/>
                  <w:effect w:val="none"/>
                </w:rPr>
                <w:t>Management's Discussion and Analysis of Financial Condition and Results of</w:t>
              </w:r>
            </w:hyperlink>
            <w:hyperlink w:anchor="TOC_90a06a2daa2c56ac">
              <w:r>
                <w:rPr>
                  <w:rStyle w:val="InternetLink"/>
                  <w:strike w:val="false"/>
                  <w:dstrike w:val="false"/>
                  <w:color w:val="0000FF"/>
                  <w:u w:val="single"/>
                  <w:effect w:val="none"/>
                </w:rPr>
                <w:t> </w:t>
              </w:r>
            </w:hyperlink>
            <w:hyperlink w:anchor="TOC_90a06a2daa2c56ac">
              <w:r>
                <w:rPr>
                  <w:rStyle w:val="InternetLink"/>
                  <w:strike w:val="false"/>
                  <w:dstrike w:val="false"/>
                  <w:color w:val="0000FF"/>
                  <w:sz w:val="20"/>
                  <w:u w:val="single"/>
                  <w:effect w:val="none"/>
                </w:rPr>
                <w:t>Operations</w:t>
              </w:r>
            </w:hyperlink>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25</w:t>
            </w:r>
          </w:p>
        </w:tc>
      </w:tr>
      <w:tr>
        <w:trPr/>
        <w:tc>
          <w:tcPr>
            <w:tcW w:w="700" w:type="dxa"/>
            <w:tcBorders/>
            <w:vAlign w:val="center"/>
          </w:tcPr>
          <w:p>
            <w:pPr>
              <w:pStyle w:val="TableContents"/>
              <w:bidi w:val="0"/>
              <w:spacing w:before="0" w:after="0"/>
              <w:jc w:val="left"/>
              <w:rPr>
                <w:sz w:val="20"/>
              </w:rPr>
            </w:pPr>
            <w:r>
              <w:rPr>
                <w:sz w:val="20"/>
              </w:rPr>
              <w:t>Item 3.</w:t>
            </w:r>
          </w:p>
        </w:tc>
        <w:tc>
          <w:tcPr>
            <w:tcW w:w="9049" w:type="dxa"/>
            <w:tcBorders/>
            <w:vAlign w:val="center"/>
          </w:tcPr>
          <w:p>
            <w:pPr>
              <w:pStyle w:val="TableContents"/>
              <w:bidi w:val="0"/>
              <w:spacing w:before="0" w:after="0"/>
              <w:jc w:val="left"/>
              <w:rPr/>
            </w:pPr>
            <w:hyperlink w:anchor="TOC_c1f09d06c45d2c66493b">
              <w:r>
                <w:rPr>
                  <w:rStyle w:val="InternetLink"/>
                  <w:strike w:val="false"/>
                  <w:dstrike w:val="false"/>
                  <w:color w:val="0000FF"/>
                  <w:sz w:val="20"/>
                  <w:u w:val="single"/>
                  <w:effect w:val="none"/>
                </w:rPr>
                <w:t>Quantitative and Qualitative Disclosures About Market Risk</w:t>
              </w:r>
            </w:hyperlink>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40</w:t>
            </w:r>
          </w:p>
        </w:tc>
      </w:tr>
      <w:tr>
        <w:trPr/>
        <w:tc>
          <w:tcPr>
            <w:tcW w:w="700" w:type="dxa"/>
            <w:tcBorders/>
            <w:shd w:fill="CCEEFF" w:val="clear"/>
            <w:vAlign w:val="center"/>
          </w:tcPr>
          <w:p>
            <w:pPr>
              <w:pStyle w:val="TableContents"/>
              <w:bidi w:val="0"/>
              <w:spacing w:before="0" w:after="0"/>
              <w:jc w:val="left"/>
              <w:rPr>
                <w:sz w:val="20"/>
              </w:rPr>
            </w:pPr>
            <w:r>
              <w:rPr>
                <w:sz w:val="20"/>
              </w:rPr>
              <w:t>Item 4.</w:t>
            </w:r>
          </w:p>
        </w:tc>
        <w:tc>
          <w:tcPr>
            <w:tcW w:w="9049" w:type="dxa"/>
            <w:tcBorders/>
            <w:shd w:fill="CCEEFF" w:val="clear"/>
            <w:vAlign w:val="center"/>
          </w:tcPr>
          <w:p>
            <w:pPr>
              <w:pStyle w:val="TableContents"/>
              <w:bidi w:val="0"/>
              <w:spacing w:before="0" w:after="0"/>
              <w:jc w:val="left"/>
              <w:rPr/>
            </w:pPr>
            <w:hyperlink w:anchor="TOC_c1474d6bc2f26634b02b">
              <w:r>
                <w:rPr>
                  <w:rStyle w:val="InternetLink"/>
                  <w:strike w:val="false"/>
                  <w:dstrike w:val="false"/>
                  <w:color w:val="0000FF"/>
                  <w:sz w:val="20"/>
                  <w:u w:val="single"/>
                  <w:effect w:val="none"/>
                </w:rPr>
                <w:t>Controls and Procedures</w:t>
              </w:r>
            </w:hyperlink>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41</w:t>
            </w:r>
          </w:p>
        </w:tc>
      </w:tr>
      <w:tr>
        <w:trPr/>
        <w:tc>
          <w:tcPr>
            <w:tcW w:w="9749" w:type="dxa"/>
            <w:gridSpan w:val="2"/>
            <w:tcBorders/>
            <w:vAlign w:val="center"/>
          </w:tcPr>
          <w:p>
            <w:pPr>
              <w:pStyle w:val="TableContents"/>
              <w:bidi w:val="0"/>
              <w:spacing w:before="0" w:after="0"/>
              <w:jc w:val="left"/>
              <w:rPr/>
            </w:pPr>
            <w:hyperlink w:anchor="TOC_dbba085be921db1c">
              <w:r>
                <w:rPr>
                  <w:rStyle w:val="InternetLink"/>
                  <w:strike w:val="false"/>
                  <w:dstrike w:val="false"/>
                  <w:color w:val="0000FF"/>
                  <w:sz w:val="20"/>
                  <w:u w:val="single"/>
                  <w:effect w:val="none"/>
                </w:rPr>
                <w:t>PART II—OTHER INFORMATION</w:t>
              </w:r>
            </w:hyperlink>
          </w:p>
        </w:tc>
        <w:tc>
          <w:tcPr>
            <w:tcW w:w="456" w:type="dxa"/>
            <w:tcBorders/>
            <w:vAlign w:val="center"/>
          </w:tcPr>
          <w:p>
            <w:pPr>
              <w:pStyle w:val="TableContents"/>
              <w:bidi w:val="0"/>
              <w:spacing w:before="0" w:after="0"/>
              <w:jc w:val="center"/>
              <w:rPr/>
            </w:pPr>
            <w:r>
              <w:rPr/>
              <w:t> </w:t>
            </w:r>
          </w:p>
        </w:tc>
      </w:tr>
      <w:tr>
        <w:trPr/>
        <w:tc>
          <w:tcPr>
            <w:tcW w:w="700" w:type="dxa"/>
            <w:tcBorders/>
            <w:shd w:fill="CCEEFF" w:val="clear"/>
            <w:vAlign w:val="center"/>
          </w:tcPr>
          <w:p>
            <w:pPr>
              <w:pStyle w:val="TableContents"/>
              <w:bidi w:val="0"/>
              <w:spacing w:before="0" w:after="0"/>
              <w:jc w:val="left"/>
              <w:rPr>
                <w:sz w:val="20"/>
              </w:rPr>
            </w:pPr>
            <w:r>
              <w:rPr>
                <w:sz w:val="20"/>
              </w:rPr>
              <w:t>Item 1.</w:t>
            </w:r>
          </w:p>
        </w:tc>
        <w:tc>
          <w:tcPr>
            <w:tcW w:w="9049" w:type="dxa"/>
            <w:tcBorders/>
            <w:shd w:fill="CCEEFF" w:val="clear"/>
            <w:vAlign w:val="center"/>
          </w:tcPr>
          <w:p>
            <w:pPr>
              <w:pStyle w:val="TableContents"/>
              <w:bidi w:val="0"/>
              <w:spacing w:before="0" w:after="0"/>
              <w:jc w:val="left"/>
              <w:rPr/>
            </w:pPr>
            <w:hyperlink w:anchor="TOC_c2ee1d87c2968fce0fa1">
              <w:r>
                <w:rPr>
                  <w:rStyle w:val="InternetLink"/>
                  <w:strike w:val="false"/>
                  <w:dstrike w:val="false"/>
                  <w:color w:val="0000FF"/>
                  <w:sz w:val="20"/>
                  <w:u w:val="single"/>
                  <w:effect w:val="none"/>
                </w:rPr>
                <w:t>Legal Proceedings</w:t>
              </w:r>
            </w:hyperlink>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42</w:t>
            </w:r>
          </w:p>
        </w:tc>
      </w:tr>
      <w:tr>
        <w:trPr/>
        <w:tc>
          <w:tcPr>
            <w:tcW w:w="700" w:type="dxa"/>
            <w:tcBorders/>
            <w:vAlign w:val="center"/>
          </w:tcPr>
          <w:p>
            <w:pPr>
              <w:pStyle w:val="TableContents"/>
              <w:bidi w:val="0"/>
              <w:spacing w:before="0" w:after="0"/>
              <w:jc w:val="left"/>
              <w:rPr>
                <w:sz w:val="20"/>
              </w:rPr>
            </w:pPr>
            <w:r>
              <w:rPr>
                <w:sz w:val="20"/>
              </w:rPr>
              <w:t>Item 1A.</w:t>
            </w:r>
          </w:p>
        </w:tc>
        <w:tc>
          <w:tcPr>
            <w:tcW w:w="9049" w:type="dxa"/>
            <w:tcBorders/>
            <w:vAlign w:val="center"/>
          </w:tcPr>
          <w:p>
            <w:pPr>
              <w:pStyle w:val="TableContents"/>
              <w:bidi w:val="0"/>
              <w:spacing w:before="0" w:after="0"/>
              <w:jc w:val="left"/>
              <w:rPr/>
            </w:pPr>
            <w:hyperlink w:anchor="TOC_c60b2a2b8e6c558c7e6f">
              <w:r>
                <w:rPr>
                  <w:rStyle w:val="InternetLink"/>
                  <w:strike w:val="false"/>
                  <w:dstrike w:val="false"/>
                  <w:color w:val="0000FF"/>
                  <w:sz w:val="20"/>
                  <w:u w:val="single"/>
                  <w:effect w:val="none"/>
                </w:rPr>
                <w:t>Risk Factors</w:t>
              </w:r>
            </w:hyperlink>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42</w:t>
            </w:r>
          </w:p>
        </w:tc>
      </w:tr>
      <w:tr>
        <w:trPr/>
        <w:tc>
          <w:tcPr>
            <w:tcW w:w="700" w:type="dxa"/>
            <w:tcBorders/>
            <w:shd w:fill="CCEEFF" w:val="clear"/>
            <w:vAlign w:val="center"/>
          </w:tcPr>
          <w:p>
            <w:pPr>
              <w:pStyle w:val="TableContents"/>
              <w:bidi w:val="0"/>
              <w:spacing w:before="0" w:after="0"/>
              <w:jc w:val="left"/>
              <w:rPr>
                <w:sz w:val="20"/>
              </w:rPr>
            </w:pPr>
            <w:r>
              <w:rPr>
                <w:sz w:val="20"/>
              </w:rPr>
              <w:t>Item 2.</w:t>
            </w:r>
          </w:p>
        </w:tc>
        <w:tc>
          <w:tcPr>
            <w:tcW w:w="9049" w:type="dxa"/>
            <w:tcBorders/>
            <w:shd w:fill="CCEEFF" w:val="clear"/>
            <w:vAlign w:val="center"/>
          </w:tcPr>
          <w:p>
            <w:pPr>
              <w:pStyle w:val="TableContents"/>
              <w:bidi w:val="0"/>
              <w:spacing w:before="0" w:after="0"/>
              <w:jc w:val="left"/>
              <w:rPr/>
            </w:pPr>
            <w:hyperlink w:anchor="TOC_c04f8abd35b861edb643">
              <w:r>
                <w:rPr>
                  <w:rStyle w:val="InternetLink"/>
                  <w:strike w:val="false"/>
                  <w:dstrike w:val="false"/>
                  <w:color w:val="0000FF"/>
                  <w:sz w:val="20"/>
                  <w:u w:val="single"/>
                  <w:effect w:val="none"/>
                </w:rPr>
                <w:t>Unregistered Sales of Equity Securities and Use of Proceeds</w:t>
              </w:r>
            </w:hyperlink>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43</w:t>
            </w:r>
          </w:p>
        </w:tc>
      </w:tr>
      <w:tr>
        <w:trPr/>
        <w:tc>
          <w:tcPr>
            <w:tcW w:w="700" w:type="dxa"/>
            <w:tcBorders/>
            <w:vAlign w:val="center"/>
          </w:tcPr>
          <w:p>
            <w:pPr>
              <w:pStyle w:val="TableContents"/>
              <w:bidi w:val="0"/>
              <w:spacing w:before="0" w:after="0"/>
              <w:jc w:val="left"/>
              <w:rPr>
                <w:sz w:val="20"/>
              </w:rPr>
            </w:pPr>
            <w:r>
              <w:rPr>
                <w:sz w:val="20"/>
              </w:rPr>
              <w:t>Item 5</w:t>
            </w:r>
          </w:p>
        </w:tc>
        <w:tc>
          <w:tcPr>
            <w:tcW w:w="9049" w:type="dxa"/>
            <w:tcBorders/>
            <w:vAlign w:val="center"/>
          </w:tcPr>
          <w:p>
            <w:pPr>
              <w:pStyle w:val="TableContents"/>
              <w:bidi w:val="0"/>
              <w:spacing w:before="0" w:after="0"/>
              <w:jc w:val="left"/>
              <w:rPr/>
            </w:pPr>
            <w:hyperlink w:anchor="TOC_cc61fe573ec1a788acf8">
              <w:r>
                <w:rPr>
                  <w:rStyle w:val="InternetLink"/>
                  <w:strike w:val="false"/>
                  <w:dstrike w:val="false"/>
                  <w:color w:val="0000FF"/>
                  <w:sz w:val="20"/>
                  <w:u w:val="single"/>
                  <w:effect w:val="none"/>
                </w:rPr>
                <w:t>Other Information</w:t>
              </w:r>
            </w:hyperlink>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44</w:t>
            </w:r>
          </w:p>
        </w:tc>
      </w:tr>
      <w:tr>
        <w:trPr/>
        <w:tc>
          <w:tcPr>
            <w:tcW w:w="700" w:type="dxa"/>
            <w:tcBorders/>
            <w:shd w:fill="CCEEFF" w:val="clear"/>
            <w:vAlign w:val="center"/>
          </w:tcPr>
          <w:p>
            <w:pPr>
              <w:pStyle w:val="TableContents"/>
              <w:bidi w:val="0"/>
              <w:spacing w:before="0" w:after="0"/>
              <w:jc w:val="left"/>
              <w:rPr>
                <w:sz w:val="20"/>
              </w:rPr>
            </w:pPr>
            <w:r>
              <w:rPr>
                <w:sz w:val="20"/>
              </w:rPr>
              <w:t>Item 6.</w:t>
            </w:r>
          </w:p>
        </w:tc>
        <w:tc>
          <w:tcPr>
            <w:tcW w:w="9049" w:type="dxa"/>
            <w:tcBorders/>
            <w:shd w:fill="CCEEFF" w:val="clear"/>
            <w:vAlign w:val="center"/>
          </w:tcPr>
          <w:p>
            <w:pPr>
              <w:pStyle w:val="TableContents"/>
              <w:bidi w:val="0"/>
              <w:spacing w:before="0" w:after="0"/>
              <w:jc w:val="left"/>
              <w:rPr/>
            </w:pPr>
            <w:hyperlink w:anchor="TOC_c9bb2a28ca0e23ba26b5">
              <w:r>
                <w:rPr>
                  <w:rStyle w:val="InternetLink"/>
                  <w:strike w:val="false"/>
                  <w:dstrike w:val="false"/>
                  <w:color w:val="0000FF"/>
                  <w:sz w:val="20"/>
                  <w:u w:val="single"/>
                  <w:effect w:val="none"/>
                </w:rPr>
                <w:t>Exhibits</w:t>
              </w:r>
            </w:hyperlink>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44</w:t>
            </w:r>
          </w:p>
        </w:tc>
      </w:tr>
      <w:tr>
        <w:trPr/>
        <w:tc>
          <w:tcPr>
            <w:tcW w:w="700" w:type="dxa"/>
            <w:tcBorders/>
            <w:vAlign w:val="center"/>
          </w:tcPr>
          <w:p>
            <w:pPr>
              <w:pStyle w:val="TableContents"/>
              <w:bidi w:val="0"/>
              <w:spacing w:before="0" w:after="0"/>
              <w:jc w:val="left"/>
              <w:rPr/>
            </w:pPr>
            <w:r>
              <w:rPr/>
              <w:t> </w:t>
            </w:r>
          </w:p>
        </w:tc>
        <w:tc>
          <w:tcPr>
            <w:tcW w:w="9049" w:type="dxa"/>
            <w:tcBorders/>
            <w:vAlign w:val="center"/>
          </w:tcPr>
          <w:p>
            <w:pPr>
              <w:pStyle w:val="TableContents"/>
              <w:bidi w:val="0"/>
              <w:spacing w:before="0" w:after="0"/>
              <w:jc w:val="left"/>
              <w:rPr/>
            </w:pPr>
            <w:hyperlink w:anchor="TOC_ca7424b9ad365d80fcc3">
              <w:r>
                <w:rPr>
                  <w:rStyle w:val="InternetLink"/>
                  <w:strike w:val="false"/>
                  <w:dstrike w:val="false"/>
                  <w:color w:val="0000FF"/>
                  <w:sz w:val="20"/>
                  <w:u w:val="single"/>
                  <w:effect w:val="none"/>
                </w:rPr>
                <w:t>Signatures</w:t>
              </w:r>
            </w:hyperlink>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45</w:t>
            </w:r>
          </w:p>
        </w:tc>
      </w:tr>
    </w:tbl>
    <w:p>
      <w:pPr>
        <w:pStyle w:val="TextBody"/>
        <w:bidi w:val="0"/>
        <w:spacing w:before="0" w:after="0"/>
        <w:jc w:val="both"/>
        <w:rPr/>
      </w:pPr>
      <w:r>
        <w:rPr/>
        <w:t> </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pPr>
      <w:r>
        <w:rPr/>
        <w:t> </w:t>
      </w:r>
      <w:bookmarkStart w:id="7" w:name="TOC_c9846a490775595adc96"/>
      <w:bookmarkEnd w:id="7"/>
      <w:r>
        <w:rPr>
          <w:rFonts w:ascii="Times New Roman" w:hAnsi="Times New Roman"/>
          <w:b/>
          <w:sz w:val="20"/>
        </w:rPr>
        <w:t>PART I—FINANCIAL INFORMATION</w:t>
      </w:r>
    </w:p>
    <w:p>
      <w:pPr>
        <w:pStyle w:val="TextBody"/>
        <w:bidi w:val="0"/>
        <w:spacing w:lineRule="atLeast" w:line="240" w:before="0" w:after="0"/>
        <w:jc w:val="center"/>
        <w:rPr/>
      </w:pPr>
      <w:r>
        <w:rPr/>
        <w:t> </w:t>
      </w:r>
    </w:p>
    <w:p>
      <w:pPr>
        <w:pStyle w:val="TextBody"/>
        <w:bidi w:val="0"/>
        <w:spacing w:lineRule="atLeast" w:line="240" w:before="0" w:after="0"/>
        <w:jc w:val="center"/>
        <w:rPr/>
      </w:pPr>
      <w:hyperlink w:anchor="TOC">
        <w:bookmarkStart w:id="8" w:name="TOC_c2d61f791f5e810e0f34"/>
        <w:bookmarkEnd w:id="8"/>
        <w:r>
          <w:rPr>
            <w:rStyle w:val="InternetLink"/>
            <w:rFonts w:ascii="Times New Roman" w:hAnsi="Times New Roman"/>
            <w:b/>
            <w:strike w:val="false"/>
            <w:dstrike w:val="false"/>
            <w:color w:val="000000"/>
            <w:sz w:val="20"/>
            <w:u w:val="none"/>
            <w:effect w:val="none"/>
          </w:rPr>
          <w:t>ITEM 1. FINANCIAL STATEMENTS (UNAUDITED)</w:t>
        </w:r>
      </w:hyperlink>
    </w:p>
    <w:p>
      <w:pPr>
        <w:pStyle w:val="TextBody"/>
        <w:bidi w:val="0"/>
        <w:spacing w:lineRule="atLeast" w:line="240" w:before="100" w:after="0"/>
        <w:jc w:val="center"/>
        <w:rPr>
          <w:rFonts w:ascii="Times New Roman" w:hAnsi="Times New Roman"/>
          <w:b/>
          <w:sz w:val="20"/>
        </w:rPr>
      </w:pPr>
      <w:r>
        <w:rPr>
          <w:rFonts w:ascii="Times New Roman" w:hAnsi="Times New Roman"/>
          <w:b/>
          <w:sz w:val="20"/>
        </w:rPr>
        <w:t>EURONET WORLDWIDE, INC. AND SUBSIDIARIES</w:t>
      </w:r>
    </w:p>
    <w:p>
      <w:pPr>
        <w:pStyle w:val="TextBody"/>
        <w:bidi w:val="0"/>
        <w:spacing w:lineRule="atLeast" w:line="240" w:before="0" w:after="0"/>
        <w:jc w:val="center"/>
        <w:rPr/>
      </w:pPr>
      <w:hyperlink w:anchor="TOC">
        <w:bookmarkStart w:id="9" w:name="TOC_c1c78af7319e6d3f13dc"/>
        <w:bookmarkEnd w:id="9"/>
        <w:r>
          <w:rPr>
            <w:rStyle w:val="InternetLink"/>
            <w:rFonts w:ascii="Times New Roman" w:hAnsi="Times New Roman"/>
            <w:b/>
            <w:strike w:val="false"/>
            <w:dstrike w:val="false"/>
            <w:color w:val="000000"/>
            <w:sz w:val="20"/>
            <w:u w:val="none"/>
            <w:effect w:val="none"/>
          </w:rPr>
          <w:t>CONSOLIDATED BALANCE SHEETS</w:t>
        </w:r>
      </w:hyperlink>
    </w:p>
    <w:p>
      <w:pPr>
        <w:pStyle w:val="TextBody"/>
        <w:bidi w:val="0"/>
        <w:spacing w:lineRule="atLeast" w:line="240" w:before="0" w:after="0"/>
        <w:jc w:val="center"/>
        <w:rPr>
          <w:rFonts w:ascii="Times New Roman" w:hAnsi="Times New Roman"/>
          <w:sz w:val="24"/>
        </w:rPr>
      </w:pPr>
      <w:r>
        <w:rPr>
          <w:rFonts w:ascii="Times New Roman" w:hAnsi="Times New Roman"/>
          <w:b/>
          <w:sz w:val="20"/>
        </w:rPr>
        <w:t>(In millions, except share and per share data)</w:t>
      </w:r>
      <w:r>
        <w:rPr>
          <w:rFonts w:ascii="Times New Roman" w:hAnsi="Times New Roman"/>
          <w:sz w:val="24"/>
        </w:rPr>
        <w:t xml:space="preserve">  </w:t>
      </w:r>
    </w:p>
    <w:p>
      <w:pPr>
        <w:pStyle w:val="TextBody"/>
        <w:bidi w:val="0"/>
        <w:spacing w:lineRule="atLeast" w:line="240"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7552"/>
        <w:gridCol w:w="125"/>
        <w:gridCol w:w="1006"/>
        <w:gridCol w:w="60"/>
        <w:gridCol w:w="125"/>
        <w:gridCol w:w="1337"/>
      </w:tblGrid>
      <w:tr>
        <w:trPr/>
        <w:tc>
          <w:tcPr>
            <w:tcW w:w="7552" w:type="dxa"/>
            <w:tcBorders/>
            <w:vAlign w:val="center"/>
          </w:tcPr>
          <w:p>
            <w:pPr>
              <w:pStyle w:val="TableContents"/>
              <w:bidi w:val="0"/>
              <w:spacing w:before="0" w:after="0"/>
              <w:jc w:val="left"/>
              <w:rPr/>
            </w:pPr>
            <w:r>
              <w:rPr/>
              <w:t> </w:t>
            </w:r>
          </w:p>
        </w:tc>
        <w:tc>
          <w:tcPr>
            <w:tcW w:w="2653" w:type="dxa"/>
            <w:gridSpan w:val="5"/>
            <w:tcBorders>
              <w:bottom w:val="single" w:sz="8" w:space="0" w:color="000000"/>
            </w:tcBorders>
            <w:tcMar>
              <w:bottom w:w="29"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w:t>
            </w:r>
          </w:p>
        </w:tc>
      </w:tr>
      <w:tr>
        <w:trPr/>
        <w:tc>
          <w:tcPr>
            <w:tcW w:w="7552"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06" w:type="dxa"/>
            <w:tcBorders>
              <w:top w:val="single" w:sz="8" w:space="0" w:color="000000"/>
              <w:bottom w:val="single" w:sz="8" w:space="0" w:color="000000"/>
            </w:tcBorders>
            <w:tcMar>
              <w:top w:w="29" w:type="dxa"/>
              <w:bottom w:w="29"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June 30, 2025</w:t>
            </w:r>
          </w:p>
        </w:tc>
        <w:tc>
          <w:tcPr>
            <w:tcW w:w="60" w:type="dxa"/>
            <w:tcBorders>
              <w:top w:val="single" w:sz="8" w:space="0" w:color="000000"/>
            </w:tcBorders>
            <w:tcMar>
              <w:top w:w="29"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337" w:type="dxa"/>
            <w:tcBorders>
              <w:top w:val="single" w:sz="8" w:space="0" w:color="000000"/>
              <w:bottom w:val="single" w:sz="8" w:space="0" w:color="000000"/>
            </w:tcBorders>
            <w:tcMar>
              <w:top w:w="29" w:type="dxa"/>
              <w:bottom w:w="29"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2024</w:t>
            </w:r>
          </w:p>
        </w:tc>
      </w:tr>
      <w:tr>
        <w:trPr/>
        <w:tc>
          <w:tcPr>
            <w:tcW w:w="7552"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1006" w:type="dxa"/>
            <w:tcBorders>
              <w:top w:val="single" w:sz="8" w:space="0" w:color="000000"/>
            </w:tcBorders>
            <w:tcMar>
              <w:top w:w="29"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(unaudited)</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1337" w:type="dxa"/>
            <w:tcBorders>
              <w:top w:val="single" w:sz="8" w:space="0" w:color="000000"/>
            </w:tcBorders>
            <w:tcMar>
              <w:top w:w="29" w:type="dxa"/>
            </w:tcMar>
            <w:vAlign w:val="center"/>
          </w:tcPr>
          <w:p>
            <w:pPr>
              <w:pStyle w:val="TableContents"/>
              <w:bidi w:val="0"/>
              <w:spacing w:before="0" w:after="0"/>
              <w:jc w:val="left"/>
              <w:rPr/>
            </w:pPr>
            <w:r>
              <w:rPr/>
              <w:t> </w:t>
            </w:r>
          </w:p>
        </w:tc>
      </w:tr>
      <w:tr>
        <w:trPr/>
        <w:tc>
          <w:tcPr>
            <w:tcW w:w="75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left"/>
              <w:rPr/>
            </w:pPr>
            <w:r>
              <w:rPr/>
              <w:t> </w:t>
            </w:r>
          </w:p>
        </w:tc>
      </w:tr>
      <w:tr>
        <w:trPr/>
        <w:tc>
          <w:tcPr>
            <w:tcW w:w="755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left"/>
              <w:rPr/>
            </w:pPr>
            <w:r>
              <w:rPr/>
              <w:t> </w:t>
            </w:r>
          </w:p>
        </w:tc>
      </w:tr>
      <w:tr>
        <w:trPr/>
        <w:tc>
          <w:tcPr>
            <w:tcW w:w="7552"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Cash and cash equivalents</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1,329.3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1,278.8</w:t>
            </w:r>
          </w:p>
        </w:tc>
      </w:tr>
      <w:tr>
        <w:trPr/>
        <w:tc>
          <w:tcPr>
            <w:tcW w:w="7552"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 xml:space="preserve">ATM cash </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937.4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643.8</w:t>
            </w:r>
          </w:p>
        </w:tc>
      </w:tr>
      <w:tr>
        <w:trPr/>
        <w:tc>
          <w:tcPr>
            <w:tcW w:w="7552"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Restricted cash</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40.3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9.2</w:t>
            </w:r>
          </w:p>
        </w:tc>
      </w:tr>
      <w:tr>
        <w:trPr/>
        <w:tc>
          <w:tcPr>
            <w:tcW w:w="7552"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Settlement assets</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1,547.1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1,522.7</w:t>
            </w:r>
          </w:p>
        </w:tc>
      </w:tr>
      <w:tr>
        <w:trPr/>
        <w:tc>
          <w:tcPr>
            <w:tcW w:w="7552" w:type="dxa"/>
            <w:tcBorders/>
            <w:shd w:fill="CCEEFF" w:val="clear"/>
            <w:vAlign w:val="center"/>
          </w:tcPr>
          <w:p>
            <w:pPr>
              <w:pStyle w:val="TableContents"/>
              <w:bidi w:val="0"/>
              <w:spacing w:before="0" w:after="0"/>
              <w:ind w:left="360" w:right="0" w:hanging="0"/>
              <w:jc w:val="left"/>
              <w:rPr>
                <w:sz w:val="20"/>
              </w:rPr>
            </w:pPr>
            <w:r>
              <w:rPr>
                <w:rFonts w:ascii="Times New Roman" w:hAnsi="Times New Roman"/>
                <w:sz w:val="20"/>
              </w:rPr>
              <w:t>Trade accounts receivable, net of credit losses of $</w:t>
            </w:r>
            <w:r>
              <w:rPr>
                <w:sz w:val="20"/>
              </w:rPr>
              <w:t>7.1 </w:t>
            </w:r>
            <w:r>
              <w:rPr>
                <w:rFonts w:ascii="Times New Roman" w:hAnsi="Times New Roman"/>
                <w:sz w:val="20"/>
              </w:rPr>
              <w:t>and $</w:t>
            </w:r>
            <w:r>
              <w:rPr>
                <w:sz w:val="20"/>
              </w:rPr>
              <w:t>4.2</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328.4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284.9</w:t>
            </w:r>
          </w:p>
        </w:tc>
      </w:tr>
      <w:tr>
        <w:trPr/>
        <w:tc>
          <w:tcPr>
            <w:tcW w:w="7552"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Prepaid expenses and other current assets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06" w:type="dxa"/>
            <w:tcBorders>
              <w:bottom w:val="single" w:sz="8" w:space="0" w:color="000000"/>
            </w:tcBorders>
            <w:shd w:fill="FFFFFF" w:val="clear"/>
            <w:tcMar>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353.8</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337" w:type="dxa"/>
            <w:tcBorders>
              <w:bottom w:val="single" w:sz="8" w:space="0" w:color="000000"/>
            </w:tcBorders>
            <w:shd w:fill="FFFFFF" w:val="clear"/>
            <w:tcMar>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297.1</w:t>
            </w:r>
          </w:p>
        </w:tc>
      </w:tr>
      <w:tr>
        <w:trPr/>
        <w:tc>
          <w:tcPr>
            <w:tcW w:w="7552"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Total current assets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06" w:type="dxa"/>
            <w:tcBorders>
              <w:top w:val="single" w:sz="8" w:space="0" w:color="000000"/>
            </w:tcBorders>
            <w:shd w:fill="CCEEFF" w:val="clear"/>
            <w:tcMar>
              <w:top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4,536.3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337" w:type="dxa"/>
            <w:tcBorders>
              <w:top w:val="single" w:sz="8" w:space="0" w:color="000000"/>
            </w:tcBorders>
            <w:shd w:fill="CCEEFF" w:val="clear"/>
            <w:tcMar>
              <w:top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4,036.5</w:t>
            </w:r>
          </w:p>
        </w:tc>
      </w:tr>
      <w:tr>
        <w:trPr/>
        <w:tc>
          <w:tcPr>
            <w:tcW w:w="755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right of use lease assets</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152.5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132.1</w:t>
            </w:r>
          </w:p>
        </w:tc>
      </w:tr>
      <w:tr>
        <w:trPr/>
        <w:tc>
          <w:tcPr>
            <w:tcW w:w="7552" w:type="dxa"/>
            <w:tcBorders/>
            <w:shd w:fill="CCEEFF" w:val="clear"/>
            <w:vAlign w:val="center"/>
          </w:tcPr>
          <w:p>
            <w:pPr>
              <w:pStyle w:val="TableContents"/>
              <w:bidi w:val="0"/>
              <w:spacing w:before="0" w:after="0"/>
              <w:jc w:val="left"/>
              <w:rPr>
                <w:sz w:val="20"/>
              </w:rPr>
            </w:pPr>
            <w:r>
              <w:rPr>
                <w:rFonts w:ascii="Times New Roman" w:hAnsi="Times New Roman"/>
                <w:sz w:val="20"/>
              </w:rPr>
              <w:t>Property and equipment, net of accumulated depreciation of $</w:t>
            </w:r>
            <w:r>
              <w:rPr>
                <w:sz w:val="20"/>
              </w:rPr>
              <w:t xml:space="preserve">667.9 </w:t>
            </w:r>
            <w:r>
              <w:rPr>
                <w:rFonts w:ascii="Times New Roman" w:hAnsi="Times New Roman"/>
                <w:sz w:val="20"/>
              </w:rPr>
              <w:t>and $</w:t>
            </w:r>
            <w:r>
              <w:rPr>
                <w:sz w:val="20"/>
              </w:rPr>
              <w:t>589.6</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365.0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329.7</w:t>
            </w:r>
          </w:p>
        </w:tc>
      </w:tr>
      <w:tr>
        <w:trPr/>
        <w:tc>
          <w:tcPr>
            <w:tcW w:w="755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954.9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859.2</w:t>
            </w:r>
          </w:p>
        </w:tc>
      </w:tr>
      <w:tr>
        <w:trPr/>
        <w:tc>
          <w:tcPr>
            <w:tcW w:w="7552" w:type="dxa"/>
            <w:tcBorders/>
            <w:shd w:fill="CCEEFF" w:val="clear"/>
            <w:vAlign w:val="center"/>
          </w:tcPr>
          <w:p>
            <w:pPr>
              <w:pStyle w:val="TableContents"/>
              <w:bidi w:val="0"/>
              <w:spacing w:before="0" w:after="0"/>
              <w:jc w:val="left"/>
              <w:rPr>
                <w:sz w:val="20"/>
              </w:rPr>
            </w:pPr>
            <w:r>
              <w:rPr>
                <w:rFonts w:ascii="Times New Roman" w:hAnsi="Times New Roman"/>
                <w:sz w:val="20"/>
              </w:rPr>
              <w:t>Acquired intangible assets, net of accumulated amortization of $</w:t>
            </w:r>
            <w:r>
              <w:rPr>
                <w:sz w:val="20"/>
              </w:rPr>
              <w:t xml:space="preserve">254.5 </w:t>
            </w:r>
            <w:r>
              <w:rPr>
                <w:rFonts w:ascii="Times New Roman" w:hAnsi="Times New Roman"/>
                <w:sz w:val="20"/>
              </w:rPr>
              <w:t>and $</w:t>
            </w:r>
            <w:r>
              <w:rPr>
                <w:sz w:val="20"/>
              </w:rPr>
              <w:t>226.5</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205.5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188.9</w:t>
            </w:r>
          </w:p>
        </w:tc>
      </w:tr>
      <w:tr>
        <w:trPr/>
        <w:tc>
          <w:tcPr>
            <w:tcW w:w="7552" w:type="dxa"/>
            <w:tcBorders/>
            <w:shd w:fill="FFFFFF" w:val="clear"/>
            <w:vAlign w:val="center"/>
          </w:tcPr>
          <w:p>
            <w:pPr>
              <w:pStyle w:val="TableContents"/>
              <w:bidi w:val="0"/>
              <w:spacing w:before="0" w:after="0"/>
              <w:jc w:val="left"/>
              <w:rPr>
                <w:sz w:val="20"/>
              </w:rPr>
            </w:pPr>
            <w:r>
              <w:rPr>
                <w:rFonts w:ascii="Times New Roman" w:hAnsi="Times New Roman"/>
                <w:sz w:val="20"/>
              </w:rPr>
              <w:t>Other assets, net of accumulated amortization of $</w:t>
            </w:r>
            <w:r>
              <w:rPr>
                <w:sz w:val="20"/>
              </w:rPr>
              <w:t xml:space="preserve">90.1 </w:t>
            </w:r>
            <w:r>
              <w:rPr>
                <w:rFonts w:ascii="Times New Roman" w:hAnsi="Times New Roman"/>
                <w:sz w:val="20"/>
              </w:rPr>
              <w:t>and $</w:t>
            </w:r>
            <w:r>
              <w:rPr>
                <w:sz w:val="20"/>
              </w:rPr>
              <w:t>82.6</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253.5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226.7</w:t>
            </w:r>
          </w:p>
        </w:tc>
      </w:tr>
      <w:tr>
        <w:trPr/>
        <w:tc>
          <w:tcPr>
            <w:tcW w:w="75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receivable</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06" w:type="dxa"/>
            <w:tcBorders>
              <w:bottom w:val="single" w:sz="8" w:space="0" w:color="000000"/>
            </w:tcBorders>
            <w:shd w:fill="CCEEFF" w:val="clear"/>
            <w:tcMar>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87.2</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37" w:type="dxa"/>
            <w:tcBorders>
              <w:bottom w:val="single" w:sz="8" w:space="0" w:color="000000"/>
            </w:tcBorders>
            <w:shd w:fill="CCEEFF" w:val="clear"/>
            <w:tcMar>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61.4</w:t>
            </w:r>
          </w:p>
        </w:tc>
      </w:tr>
      <w:tr>
        <w:trPr/>
        <w:tc>
          <w:tcPr>
            <w:tcW w:w="7552"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Total assets</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6" w:type="dxa"/>
            <w:tcBorders>
              <w:top w:val="single" w:sz="8" w:space="0" w:color="000000"/>
              <w:bottom w:val="double" w:sz="6" w:space="0" w:color="000000"/>
            </w:tcBorders>
            <w:shd w:fill="FFFFFF" w:val="clear"/>
            <w:tcMar>
              <w:top w:w="29" w:type="dxa"/>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6,554.9</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37" w:type="dxa"/>
            <w:tcBorders>
              <w:top w:val="single" w:sz="8" w:space="0" w:color="000000"/>
              <w:bottom w:val="double" w:sz="6" w:space="0" w:color="000000"/>
            </w:tcBorders>
            <w:shd w:fill="FFFFFF" w:val="clear"/>
            <w:tcMar>
              <w:top w:w="29" w:type="dxa"/>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5,834.5</w:t>
            </w:r>
          </w:p>
        </w:tc>
      </w:tr>
      <w:tr>
        <w:trPr/>
        <w:tc>
          <w:tcPr>
            <w:tcW w:w="75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 AND EQUITY</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006" w:type="dxa"/>
            <w:tcBorders>
              <w:top w:val="double" w:sz="6" w:space="0" w:color="000000"/>
            </w:tcBorders>
            <w:shd w:fill="CCEEFF" w:val="clear"/>
            <w:tcMar>
              <w:top w:w="29"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337" w:type="dxa"/>
            <w:tcBorders>
              <w:top w:val="double" w:sz="6" w:space="0" w:color="000000"/>
            </w:tcBorders>
            <w:shd w:fill="CCEEFF" w:val="clear"/>
            <w:tcMar>
              <w:top w:w="29" w:type="dxa"/>
            </w:tcMar>
            <w:vAlign w:val="center"/>
          </w:tcPr>
          <w:p>
            <w:pPr>
              <w:pStyle w:val="TableContents"/>
              <w:bidi w:val="0"/>
              <w:spacing w:before="0" w:after="0"/>
              <w:jc w:val="right"/>
              <w:rPr/>
            </w:pPr>
            <w:r>
              <w:rPr/>
              <w:t> </w:t>
            </w:r>
          </w:p>
        </w:tc>
      </w:tr>
      <w:tr>
        <w:trPr/>
        <w:tc>
          <w:tcPr>
            <w:tcW w:w="755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pPr>
            <w:r>
              <w:rPr/>
              <w:t> </w:t>
            </w:r>
          </w:p>
        </w:tc>
      </w:tr>
      <w:tr>
        <w:trPr/>
        <w:tc>
          <w:tcPr>
            <w:tcW w:w="7552"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Settlement obligations</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1,547.1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1,522.7</w:t>
            </w:r>
          </w:p>
        </w:tc>
      </w:tr>
      <w:tr>
        <w:trPr/>
        <w:tc>
          <w:tcPr>
            <w:tcW w:w="7552"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Trade accounts payable</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253.8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223.8</w:t>
            </w:r>
          </w:p>
        </w:tc>
      </w:tr>
      <w:tr>
        <w:trPr/>
        <w:tc>
          <w:tcPr>
            <w:tcW w:w="7552"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Accrued expenses and other current liabilities</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492.3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475.7</w:t>
            </w:r>
          </w:p>
        </w:tc>
      </w:tr>
      <w:tr>
        <w:trPr/>
        <w:tc>
          <w:tcPr>
            <w:tcW w:w="7552"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Current portion of operating lease obligations</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48.3</w:t>
            </w:r>
          </w:p>
        </w:tc>
      </w:tr>
      <w:tr>
        <w:trPr/>
        <w:tc>
          <w:tcPr>
            <w:tcW w:w="7552"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Short-term debt obligations and current maturities of long-term debt obligations</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1,433.5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812.7</w:t>
            </w:r>
          </w:p>
        </w:tc>
      </w:tr>
      <w:tr>
        <w:trPr/>
        <w:tc>
          <w:tcPr>
            <w:tcW w:w="7552"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Income taxes payable</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86.4</w:t>
            </w:r>
          </w:p>
        </w:tc>
      </w:tr>
      <w:tr>
        <w:trPr/>
        <w:tc>
          <w:tcPr>
            <w:tcW w:w="7552"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Deferred revenue</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06" w:type="dxa"/>
            <w:tcBorders>
              <w:bottom w:val="single" w:sz="8" w:space="0" w:color="000000"/>
            </w:tcBorders>
            <w:shd w:fill="CCEEFF" w:val="clear"/>
            <w:tcMar>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56.2</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37" w:type="dxa"/>
            <w:tcBorders>
              <w:bottom w:val="single" w:sz="8" w:space="0" w:color="000000"/>
            </w:tcBorders>
            <w:shd w:fill="CCEEFF" w:val="clear"/>
            <w:tcMar>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56.4</w:t>
            </w:r>
          </w:p>
        </w:tc>
      </w:tr>
      <w:tr>
        <w:trPr/>
        <w:tc>
          <w:tcPr>
            <w:tcW w:w="7552"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Total current liabilities</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06" w:type="dxa"/>
            <w:tcBorders>
              <w:top w:val="single" w:sz="8" w:space="0" w:color="000000"/>
            </w:tcBorders>
            <w:shd w:fill="FFFFFF" w:val="clear"/>
            <w:tcMar>
              <w:top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3,935.2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337" w:type="dxa"/>
            <w:tcBorders>
              <w:top w:val="single" w:sz="8" w:space="0" w:color="000000"/>
            </w:tcBorders>
            <w:shd w:fill="FFFFFF" w:val="clear"/>
            <w:tcMar>
              <w:top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3,226.0</w:t>
            </w:r>
          </w:p>
        </w:tc>
      </w:tr>
      <w:tr>
        <w:trPr/>
        <w:tc>
          <w:tcPr>
            <w:tcW w:w="75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Debt obligations, net of current portion</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1,002.3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1,134.4</w:t>
            </w:r>
          </w:p>
        </w:tc>
      </w:tr>
      <w:tr>
        <w:trPr/>
        <w:tc>
          <w:tcPr>
            <w:tcW w:w="755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obligations, net of current portion</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87.4</w:t>
            </w:r>
          </w:p>
        </w:tc>
      </w:tr>
      <w:tr>
        <w:trPr/>
        <w:tc>
          <w:tcPr>
            <w:tcW w:w="75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64.4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71.8</w:t>
            </w:r>
          </w:p>
        </w:tc>
      </w:tr>
      <w:tr>
        <w:trPr/>
        <w:tc>
          <w:tcPr>
            <w:tcW w:w="755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06" w:type="dxa"/>
            <w:tcBorders>
              <w:bottom w:val="single" w:sz="8" w:space="0" w:color="000000"/>
            </w:tcBorders>
            <w:shd w:fill="FFFFFF" w:val="clear"/>
            <w:tcMar>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88.8</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337" w:type="dxa"/>
            <w:tcBorders>
              <w:bottom w:val="single" w:sz="8" w:space="0" w:color="000000"/>
            </w:tcBorders>
            <w:shd w:fill="FFFFFF" w:val="clear"/>
            <w:tcMar>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85.7</w:t>
            </w:r>
          </w:p>
        </w:tc>
      </w:tr>
      <w:tr>
        <w:trPr/>
        <w:tc>
          <w:tcPr>
            <w:tcW w:w="7552"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Total liabilities</w:t>
            </w:r>
          </w:p>
        </w:tc>
        <w:tc>
          <w:tcPr>
            <w:tcW w:w="125" w:type="dxa"/>
            <w:tcBorders>
              <w:top w:val="single" w:sz="8" w:space="0" w:color="000000"/>
              <w:bottom w:val="sing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1006" w:type="dxa"/>
            <w:tcBorders>
              <w:top w:val="single" w:sz="8" w:space="0" w:color="000000"/>
              <w:bottom w:val="single" w:sz="6" w:space="0" w:color="000000"/>
            </w:tcBorders>
            <w:shd w:fill="CCEEFF" w:val="clear"/>
            <w:tcMar>
              <w:top w:w="29" w:type="dxa"/>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5,191.5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1337" w:type="dxa"/>
            <w:tcBorders>
              <w:top w:val="single" w:sz="8" w:space="0" w:color="000000"/>
              <w:bottom w:val="single" w:sz="6" w:space="0" w:color="000000"/>
            </w:tcBorders>
            <w:shd w:fill="CCEEFF" w:val="clear"/>
            <w:tcMar>
              <w:top w:w="29" w:type="dxa"/>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4,605.3</w:t>
            </w:r>
          </w:p>
        </w:tc>
      </w:tr>
      <w:tr>
        <w:trPr/>
        <w:tc>
          <w:tcPr>
            <w:tcW w:w="755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125"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c>
          <w:tcPr>
            <w:tcW w:w="1006" w:type="dxa"/>
            <w:tcBorders>
              <w:top w:val="single" w:sz="6" w:space="0" w:color="000000"/>
            </w:tcBorders>
            <w:shd w:fill="FFFFFF" w:val="clear"/>
            <w:tcMar>
              <w:top w:w="29"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c>
          <w:tcPr>
            <w:tcW w:w="1337" w:type="dxa"/>
            <w:tcBorders>
              <w:top w:val="single" w:sz="6" w:space="0" w:color="000000"/>
            </w:tcBorders>
            <w:shd w:fill="FFFFFF" w:val="clear"/>
            <w:tcMar>
              <w:top w:w="29" w:type="dxa"/>
            </w:tcMar>
            <w:vAlign w:val="center"/>
          </w:tcPr>
          <w:p>
            <w:pPr>
              <w:pStyle w:val="TableContents"/>
              <w:bidi w:val="0"/>
              <w:spacing w:before="0" w:after="0"/>
              <w:jc w:val="right"/>
              <w:rPr/>
            </w:pPr>
            <w:r>
              <w:rPr/>
              <w:t> </w:t>
            </w:r>
          </w:p>
        </w:tc>
      </w:tr>
      <w:tr>
        <w:trPr/>
        <w:tc>
          <w:tcPr>
            <w:tcW w:w="75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Euronet Worldwide, Inc. stockholders’ equity:</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right"/>
              <w:rPr/>
            </w:pPr>
            <w:r>
              <w:rPr/>
              <w:t> </w:t>
            </w:r>
          </w:p>
        </w:tc>
      </w:tr>
      <w:tr>
        <w:trPr/>
        <w:tc>
          <w:tcPr>
            <w:tcW w:w="7552" w:type="dxa"/>
            <w:tcBorders/>
            <w:shd w:fill="FFFFFF" w:val="clear"/>
            <w:vAlign w:val="center"/>
          </w:tcPr>
          <w:p>
            <w:pPr>
              <w:pStyle w:val="TableContents"/>
              <w:bidi w:val="0"/>
              <w:spacing w:before="0" w:after="0"/>
              <w:ind w:left="360" w:right="0" w:hanging="0"/>
              <w:jc w:val="left"/>
              <w:rPr>
                <w:sz w:val="20"/>
              </w:rPr>
            </w:pPr>
            <w:r>
              <w:rPr>
                <w:rFonts w:ascii="Times New Roman" w:hAnsi="Times New Roman"/>
                <w:sz w:val="20"/>
              </w:rPr>
              <w:t>Preferred Stock, $</w:t>
            </w:r>
            <w:r>
              <w:rPr>
                <w:sz w:val="20"/>
              </w:rPr>
              <w:t xml:space="preserve">0.02 </w:t>
            </w:r>
            <w:r>
              <w:rPr>
                <w:rFonts w:ascii="Times New Roman" w:hAnsi="Times New Roman"/>
                <w:sz w:val="20"/>
              </w:rPr>
              <w:t xml:space="preserve">par value. </w:t>
            </w:r>
            <w:r>
              <w:rPr>
                <w:sz w:val="20"/>
              </w:rPr>
              <w:t xml:space="preserve">10,000,000 </w:t>
            </w:r>
            <w:r>
              <w:rPr>
                <w:rFonts w:ascii="Times New Roman" w:hAnsi="Times New Roman"/>
                <w:sz w:val="20"/>
              </w:rPr>
              <w:t xml:space="preserve">shares authorized; </w:t>
            </w:r>
            <w:r>
              <w:rPr>
                <w:sz w:val="20"/>
              </w:rPr>
              <w:t xml:space="preserve">none </w:t>
            </w:r>
            <w:r>
              <w:rPr>
                <w:rFonts w:ascii="Times New Roman" w:hAnsi="Times New Roman"/>
                <w:sz w:val="20"/>
              </w:rPr>
              <w:t>issued</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pPr>
            <w:r>
              <w:rPr/>
              <w:t>—</w:t>
            </w:r>
          </w:p>
        </w:tc>
      </w:tr>
      <w:tr>
        <w:trPr/>
        <w:tc>
          <w:tcPr>
            <w:tcW w:w="7552" w:type="dxa"/>
            <w:tcBorders/>
            <w:shd w:fill="CCEEFF" w:val="clear"/>
            <w:vAlign w:val="center"/>
          </w:tcPr>
          <w:p>
            <w:pPr>
              <w:pStyle w:val="TableContents"/>
              <w:bidi w:val="0"/>
              <w:spacing w:before="0" w:after="0"/>
              <w:ind w:left="360" w:right="0" w:hanging="0"/>
              <w:jc w:val="left"/>
              <w:rPr>
                <w:sz w:val="20"/>
              </w:rPr>
            </w:pPr>
            <w:r>
              <w:rPr>
                <w:rFonts w:ascii="Times New Roman" w:hAnsi="Times New Roman"/>
                <w:sz w:val="20"/>
              </w:rPr>
              <w:t>Common Stock, $</w:t>
            </w:r>
            <w:r>
              <w:rPr>
                <w:sz w:val="20"/>
              </w:rPr>
              <w:t xml:space="preserve">0.02 </w:t>
            </w:r>
            <w:r>
              <w:rPr>
                <w:rFonts w:ascii="Times New Roman" w:hAnsi="Times New Roman"/>
                <w:sz w:val="20"/>
              </w:rPr>
              <w:t xml:space="preserve">par value. </w:t>
            </w:r>
            <w:r>
              <w:rPr>
                <w:sz w:val="20"/>
              </w:rPr>
              <w:t xml:space="preserve">90,000,000 </w:t>
            </w:r>
            <w:r>
              <w:rPr>
                <w:rFonts w:ascii="Times New Roman" w:hAnsi="Times New Roman"/>
                <w:sz w:val="20"/>
              </w:rPr>
              <w:t xml:space="preserve">shares authorized; shares issued </w:t>
            </w:r>
            <w:r>
              <w:rPr>
                <w:sz w:val="20"/>
              </w:rPr>
              <w:t xml:space="preserve">64,947,094 </w:t>
            </w:r>
            <w:r>
              <w:rPr>
                <w:rFonts w:ascii="Times New Roman" w:hAnsi="Times New Roman"/>
                <w:sz w:val="20"/>
              </w:rPr>
              <w:t xml:space="preserve">and </w:t>
            </w:r>
            <w:r>
              <w:rPr>
                <w:sz w:val="20"/>
              </w:rPr>
              <w:t>64,788,755</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r>
      <w:tr>
        <w:trPr/>
        <w:tc>
          <w:tcPr>
            <w:tcW w:w="7552"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Additional paid-in-capital</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1,397.6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1,370.1</w:t>
            </w:r>
          </w:p>
        </w:tc>
      </w:tr>
      <w:tr>
        <w:trPr/>
        <w:tc>
          <w:tcPr>
            <w:tcW w:w="7552" w:type="dxa"/>
            <w:tcBorders/>
            <w:shd w:fill="CCEEFF" w:val="clear"/>
            <w:vAlign w:val="center"/>
          </w:tcPr>
          <w:p>
            <w:pPr>
              <w:pStyle w:val="TableContents"/>
              <w:bidi w:val="0"/>
              <w:spacing w:before="0" w:after="0"/>
              <w:ind w:left="360" w:right="0" w:hanging="0"/>
              <w:jc w:val="left"/>
              <w:rPr>
                <w:sz w:val="20"/>
              </w:rPr>
            </w:pPr>
            <w:r>
              <w:rPr>
                <w:rFonts w:ascii="Times New Roman" w:hAnsi="Times New Roman"/>
                <w:sz w:val="20"/>
              </w:rPr>
              <w:t xml:space="preserve">Treasury stock, at cost, shares issued </w:t>
            </w:r>
            <w:r>
              <w:rPr>
                <w:sz w:val="20"/>
              </w:rPr>
              <w:t xml:space="preserve">23,951,023 </w:t>
            </w:r>
            <w:r>
              <w:rPr>
                <w:rFonts w:ascii="Times New Roman" w:hAnsi="Times New Roman"/>
                <w:sz w:val="20"/>
              </w:rPr>
              <w:t xml:space="preserve">and </w:t>
            </w:r>
            <w:r>
              <w:rPr>
                <w:sz w:val="20"/>
              </w:rPr>
              <w:t>21,061,140</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2,066.6</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1,755.2</w:t>
            </w:r>
            <w:r>
              <w:rPr>
                <w:rFonts w:ascii="Times New Roman" w:hAnsi="Times New Roman"/>
                <w:sz w:val="20"/>
              </w:rPr>
              <w:t>)</w:t>
            </w:r>
          </w:p>
        </w:tc>
      </w:tr>
      <w:tr>
        <w:trPr/>
        <w:tc>
          <w:tcPr>
            <w:tcW w:w="7552"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Retained earnings</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2,070.0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1,934.0</w:t>
            </w:r>
          </w:p>
        </w:tc>
      </w:tr>
      <w:tr>
        <w:trPr/>
        <w:tc>
          <w:tcPr>
            <w:tcW w:w="7552"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Accumulated other comprehensive loss</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06" w:type="dxa"/>
            <w:tcBorders>
              <w:bottom w:val="single" w:sz="8" w:space="0" w:color="000000"/>
            </w:tcBorders>
            <w:shd w:fill="CCEEFF" w:val="clear"/>
            <w:tcMar>
              <w:bottom w:w="29" w:type="dxa"/>
            </w:tcMar>
            <w:vAlign w:val="center"/>
          </w:tcPr>
          <w:p>
            <w:pPr>
              <w:pStyle w:val="TableContents"/>
              <w:bidi w:val="0"/>
              <w:spacing w:before="0" w:after="0"/>
              <w:jc w:val="right"/>
              <w:rPr>
                <w:sz w:val="20"/>
              </w:rPr>
            </w:pPr>
            <w:r>
              <w:rPr>
                <w:rFonts w:ascii="Times New Roman" w:hAnsi="Times New Roman"/>
                <w:sz w:val="20"/>
              </w:rPr>
              <w:t>(</w:t>
            </w:r>
            <w:r>
              <w:rPr>
                <w:sz w:val="20"/>
              </w:rPr>
              <w:t>50.6</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37" w:type="dxa"/>
            <w:tcBorders>
              <w:bottom w:val="single" w:sz="8" w:space="0" w:color="000000"/>
            </w:tcBorders>
            <w:shd w:fill="CCEEFF" w:val="clear"/>
            <w:tcMar>
              <w:bottom w:w="29" w:type="dxa"/>
            </w:tcMar>
            <w:vAlign w:val="center"/>
          </w:tcPr>
          <w:p>
            <w:pPr>
              <w:pStyle w:val="TableContents"/>
              <w:bidi w:val="0"/>
              <w:spacing w:before="0" w:after="0"/>
              <w:jc w:val="right"/>
              <w:rPr>
                <w:sz w:val="20"/>
              </w:rPr>
            </w:pPr>
            <w:r>
              <w:rPr>
                <w:rFonts w:ascii="Times New Roman" w:hAnsi="Times New Roman"/>
                <w:sz w:val="20"/>
              </w:rPr>
              <w:t>(</w:t>
            </w:r>
            <w:r>
              <w:rPr>
                <w:sz w:val="20"/>
              </w:rPr>
              <w:t>321.5</w:t>
            </w:r>
            <w:r>
              <w:rPr>
                <w:rFonts w:ascii="Times New Roman" w:hAnsi="Times New Roman"/>
                <w:sz w:val="20"/>
              </w:rPr>
              <w:t>)</w:t>
            </w:r>
          </w:p>
        </w:tc>
      </w:tr>
      <w:tr>
        <w:trPr/>
        <w:tc>
          <w:tcPr>
            <w:tcW w:w="7552"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Total Euronet Worldwide, Inc. stockholders’ equity</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06" w:type="dxa"/>
            <w:tcBorders>
              <w:top w:val="single" w:sz="8" w:space="0" w:color="000000"/>
            </w:tcBorders>
            <w:shd w:fill="FFFFFF" w:val="clear"/>
            <w:tcMar>
              <w:top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1,351.7</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337" w:type="dxa"/>
            <w:tcBorders>
              <w:top w:val="single" w:sz="8" w:space="0" w:color="000000"/>
            </w:tcBorders>
            <w:shd w:fill="FFFFFF" w:val="clear"/>
            <w:tcMar>
              <w:top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1,228.7</w:t>
            </w:r>
          </w:p>
        </w:tc>
      </w:tr>
      <w:tr>
        <w:trPr/>
        <w:tc>
          <w:tcPr>
            <w:tcW w:w="7552"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Noncontrolling interests</w:t>
            </w:r>
          </w:p>
        </w:tc>
        <w:tc>
          <w:tcPr>
            <w:tcW w:w="125" w:type="dxa"/>
            <w:tcBorders>
              <w:bottom w:val="single" w:sz="6" w:space="0" w:color="000000"/>
            </w:tcBorders>
            <w:shd w:fill="CCEEFF" w:val="clear"/>
            <w:tcMar>
              <w:bottom w:w="28" w:type="dxa"/>
            </w:tcMar>
            <w:vAlign w:val="center"/>
          </w:tcPr>
          <w:p>
            <w:pPr>
              <w:pStyle w:val="TableContents"/>
              <w:bidi w:val="0"/>
              <w:spacing w:before="0" w:after="0"/>
              <w:jc w:val="left"/>
              <w:rPr/>
            </w:pPr>
            <w:r>
              <w:rPr/>
              <w:t> </w:t>
            </w:r>
          </w:p>
        </w:tc>
        <w:tc>
          <w:tcPr>
            <w:tcW w:w="1006" w:type="dxa"/>
            <w:tcBorders>
              <w:bottom w:val="single" w:sz="6" w:space="0" w:color="000000"/>
            </w:tcBorders>
            <w:shd w:fill="CCEEFF" w:val="clear"/>
            <w:tcMar>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6" w:space="0" w:color="000000"/>
            </w:tcBorders>
            <w:shd w:fill="CCEEFF" w:val="clear"/>
            <w:tcMar>
              <w:bottom w:w="28" w:type="dxa"/>
            </w:tcMar>
            <w:vAlign w:val="center"/>
          </w:tcPr>
          <w:p>
            <w:pPr>
              <w:pStyle w:val="TableContents"/>
              <w:bidi w:val="0"/>
              <w:spacing w:before="0" w:after="0"/>
              <w:jc w:val="left"/>
              <w:rPr/>
            </w:pPr>
            <w:r>
              <w:rPr/>
              <w:t> </w:t>
            </w:r>
          </w:p>
        </w:tc>
        <w:tc>
          <w:tcPr>
            <w:tcW w:w="1337" w:type="dxa"/>
            <w:tcBorders>
              <w:bottom w:val="single" w:sz="6" w:space="0" w:color="000000"/>
            </w:tcBorders>
            <w:shd w:fill="CCEEFF" w:val="clear"/>
            <w:tcMar>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0.5</w:t>
            </w:r>
          </w:p>
        </w:tc>
      </w:tr>
      <w:tr>
        <w:trPr/>
        <w:tc>
          <w:tcPr>
            <w:tcW w:w="7552"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Total equity</w:t>
            </w:r>
          </w:p>
        </w:tc>
        <w:tc>
          <w:tcPr>
            <w:tcW w:w="125"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006" w:type="dxa"/>
            <w:tcBorders>
              <w:top w:val="single" w:sz="6" w:space="0" w:color="000000"/>
              <w:bottom w:val="single" w:sz="6" w:space="0" w:color="000000"/>
            </w:tcBorders>
            <w:shd w:fill="FFFFFF" w:val="clear"/>
            <w:tcMar>
              <w:top w:w="29" w:type="dxa"/>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1,363.4</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337" w:type="dxa"/>
            <w:tcBorders>
              <w:top w:val="single" w:sz="6" w:space="0" w:color="000000"/>
              <w:bottom w:val="single" w:sz="6" w:space="0" w:color="000000"/>
            </w:tcBorders>
            <w:shd w:fill="FFFFFF" w:val="clear"/>
            <w:tcMar>
              <w:top w:w="29" w:type="dxa"/>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1,229.2</w:t>
            </w:r>
          </w:p>
        </w:tc>
      </w:tr>
      <w:tr>
        <w:trPr/>
        <w:tc>
          <w:tcPr>
            <w:tcW w:w="7552"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Total liabilities and equity</w:t>
            </w:r>
          </w:p>
        </w:tc>
        <w:tc>
          <w:tcPr>
            <w:tcW w:w="125"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6" w:type="dxa"/>
            <w:tcBorders>
              <w:top w:val="single" w:sz="6" w:space="0" w:color="000000"/>
              <w:bottom w:val="double" w:sz="6" w:space="0" w:color="000000"/>
            </w:tcBorders>
            <w:shd w:fill="CCEEFF" w:val="clear"/>
            <w:tcMar>
              <w:top w:w="29" w:type="dxa"/>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6,554.9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37" w:type="dxa"/>
            <w:tcBorders>
              <w:top w:val="single" w:sz="6" w:space="0" w:color="000000"/>
              <w:bottom w:val="double" w:sz="6" w:space="0" w:color="000000"/>
            </w:tcBorders>
            <w:shd w:fill="CCEEFF" w:val="clear"/>
            <w:tcMar>
              <w:top w:w="29" w:type="dxa"/>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5,834.5</w:t>
            </w:r>
          </w:p>
        </w:tc>
      </w:tr>
    </w:tbl>
    <w:p>
      <w:pPr>
        <w:pStyle w:val="TextBody"/>
        <w:bidi w:val="0"/>
        <w:spacing w:lineRule="atLeast" w:line="240" w:before="0" w:after="0"/>
        <w:jc w:val="center"/>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See accompanying notes to the unaudited consolidated financial statements.</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rFonts w:ascii="Times New Roman" w:hAnsi="Times New Roman"/>
          <w:b/>
          <w:sz w:val="20"/>
        </w:rPr>
      </w:pPr>
      <w:r>
        <w:rPr>
          <w:rFonts w:ascii="Times New Roman" w:hAnsi="Times New Roman"/>
          <w:b/>
          <w:sz w:val="20"/>
        </w:rPr>
        <w:t>EURONET WORLDWIDE, INC. AND SUBSIDIARIES</w:t>
      </w:r>
    </w:p>
    <w:p>
      <w:pPr>
        <w:pStyle w:val="TextBody"/>
        <w:bidi w:val="0"/>
        <w:spacing w:lineRule="atLeast" w:line="240" w:before="0" w:after="0"/>
        <w:jc w:val="center"/>
        <w:rPr>
          <w:rFonts w:ascii="Times New Roman" w:hAnsi="Times New Roman"/>
          <w:b/>
          <w:sz w:val="20"/>
        </w:rPr>
      </w:pPr>
      <w:bookmarkStart w:id="10" w:name="TOC_ca81ae50a744b761f995"/>
      <w:bookmarkEnd w:id="10"/>
      <w:r>
        <w:rPr>
          <w:rFonts w:ascii="Times New Roman" w:hAnsi="Times New Roman"/>
          <w:b/>
          <w:sz w:val="20"/>
        </w:rPr>
        <w:t>CONSOLIDATED STATEMENTS OF OPERATIONS</w:t>
      </w:r>
    </w:p>
    <w:p>
      <w:pPr>
        <w:pStyle w:val="TextBody"/>
        <w:bidi w:val="0"/>
        <w:spacing w:lineRule="atLeast" w:line="240" w:before="0" w:after="0"/>
        <w:jc w:val="center"/>
        <w:rPr>
          <w:rFonts w:ascii="Times New Roman" w:hAnsi="Times New Roman"/>
          <w:b/>
          <w:sz w:val="20"/>
        </w:rPr>
      </w:pPr>
      <w:r>
        <w:rPr>
          <w:rFonts w:ascii="Times New Roman" w:hAnsi="Times New Roman"/>
          <w:b/>
          <w:sz w:val="20"/>
        </w:rPr>
        <w:t>(Unaudited, in millions, except share and per share data)</w:t>
      </w:r>
    </w:p>
    <w:p>
      <w:pPr>
        <w:pStyle w:val="TextBody"/>
        <w:bidi w:val="0"/>
        <w:spacing w:lineRule="atLeast" w:line="240"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5523"/>
        <w:gridCol w:w="125"/>
        <w:gridCol w:w="1033"/>
        <w:gridCol w:w="64"/>
        <w:gridCol w:w="135"/>
        <w:gridCol w:w="1033"/>
        <w:gridCol w:w="60"/>
        <w:gridCol w:w="125"/>
        <w:gridCol w:w="951"/>
        <w:gridCol w:w="60"/>
        <w:gridCol w:w="125"/>
        <w:gridCol w:w="971"/>
      </w:tblGrid>
      <w:tr>
        <w:trPr/>
        <w:tc>
          <w:tcPr>
            <w:tcW w:w="5523"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265" w:type="dxa"/>
            <w:gridSpan w:val="4"/>
            <w:tcBorders>
              <w:bottom w:val="single" w:sz="8" w:space="0" w:color="000000"/>
            </w:tcBorders>
            <w:tcMar>
              <w:bottom w:w="28" w:type="dxa"/>
            </w:tcMar>
            <w:vAlign w:val="center"/>
          </w:tcPr>
          <w:p>
            <w:pPr>
              <w:pStyle w:val="TableContents"/>
              <w:bidi w:val="0"/>
              <w:spacing w:before="0" w:after="0"/>
              <w:jc w:val="center"/>
              <w:rPr/>
            </w:pPr>
            <w:r>
              <w:rPr/>
              <w:t> </w:t>
            </w:r>
            <w:r>
              <w:rPr>
                <w:rFonts w:ascii="Times New Roman" w:hAnsi="Times New Roman"/>
                <w:b/>
                <w:sz w:val="16"/>
              </w:rPr>
              <w:t xml:space="preserve">Three Months Ended June 30,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107" w:type="dxa"/>
            <w:gridSpan w:val="4"/>
            <w:tcBorders>
              <w:bottom w:val="single" w:sz="8" w:space="0" w:color="000000"/>
            </w:tcBorders>
            <w:tcMar>
              <w:bottom w:w="28" w:type="dxa"/>
            </w:tcMar>
            <w:vAlign w:val="center"/>
          </w:tcPr>
          <w:p>
            <w:pPr>
              <w:pStyle w:val="TableContents"/>
              <w:bidi w:val="0"/>
              <w:spacing w:before="0" w:after="0"/>
              <w:jc w:val="center"/>
              <w:rPr/>
            </w:pPr>
            <w:r>
              <w:rPr/>
              <w:t> </w:t>
            </w:r>
            <w:r>
              <w:rPr>
                <w:rFonts w:ascii="Times New Roman" w:hAnsi="Times New Roman"/>
                <w:b/>
                <w:sz w:val="16"/>
              </w:rPr>
              <w:t xml:space="preserve">Six Months Ended June 30, </w:t>
            </w:r>
          </w:p>
        </w:tc>
      </w:tr>
      <w:tr>
        <w:trPr/>
        <w:tc>
          <w:tcPr>
            <w:tcW w:w="5523"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033"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4" w:type="dxa"/>
            <w:tcBorders>
              <w:top w:val="single" w:sz="8" w:space="0" w:color="000000"/>
            </w:tcBorders>
            <w:tcMar>
              <w:top w:w="28" w:type="dxa"/>
            </w:tcMar>
            <w:vAlign w:val="center"/>
          </w:tcPr>
          <w:p>
            <w:pPr>
              <w:pStyle w:val="TableContents"/>
              <w:bidi w:val="0"/>
              <w:spacing w:before="0" w:after="0"/>
              <w:jc w:val="left"/>
              <w:rPr/>
            </w:pPr>
            <w:r>
              <w:rPr/>
              <w:t> </w:t>
            </w:r>
          </w:p>
        </w:tc>
        <w:tc>
          <w:tcPr>
            <w:tcW w:w="13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3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5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7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r>
      <w:tr>
        <w:trPr/>
        <w:tc>
          <w:tcPr>
            <w:tcW w:w="55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1,074.3</w:t>
            </w:r>
          </w:p>
        </w:tc>
        <w:tc>
          <w:tcPr>
            <w:tcW w:w="64" w:type="dxa"/>
            <w:tcBorders/>
            <w:shd w:fill="CCEEFF" w:val="clear"/>
            <w:vAlign w:val="center"/>
          </w:tcPr>
          <w:p>
            <w:pPr>
              <w:pStyle w:val="TableContents"/>
              <w:bidi w:val="0"/>
              <w:spacing w:before="0" w:after="0"/>
              <w:jc w:val="left"/>
              <w:rPr/>
            </w:pPr>
            <w:r>
              <w:rPr/>
              <w:t> </w:t>
            </w:r>
          </w:p>
        </w:tc>
        <w:tc>
          <w:tcPr>
            <w:tcW w:w="13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986.2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1,989.8</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1,843.2</w:t>
            </w:r>
          </w:p>
        </w:tc>
      </w:tr>
      <w:tr>
        <w:trPr/>
        <w:tc>
          <w:tcPr>
            <w:tcW w:w="552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5" w:type="dxa"/>
            <w:tcBorders/>
            <w:shd w:fill="FFFFFF" w:val="clear"/>
            <w:vAlign w:val="center"/>
          </w:tcPr>
          <w:p>
            <w:pPr>
              <w:pStyle w:val="TableContents"/>
              <w:bidi w:val="0"/>
              <w:spacing w:before="0" w:after="0"/>
              <w:jc w:val="left"/>
              <w:rPr/>
            </w:pPr>
            <w:r>
              <w:rPr/>
              <w:t> </w:t>
            </w:r>
          </w:p>
        </w:tc>
        <w:tc>
          <w:tcPr>
            <w:tcW w:w="1033" w:type="dxa"/>
            <w:tcBorders/>
            <w:shd w:fill="FFFFFF" w:val="clear"/>
            <w:vAlign w:val="center"/>
          </w:tcPr>
          <w:p>
            <w:pPr>
              <w:pStyle w:val="TableContents"/>
              <w:bidi w:val="0"/>
              <w:spacing w:before="0" w:after="0"/>
              <w:jc w:val="right"/>
              <w:rPr/>
            </w:pPr>
            <w:r>
              <w:rPr/>
              <w:t> </w:t>
            </w:r>
          </w:p>
        </w:tc>
        <w:tc>
          <w:tcPr>
            <w:tcW w:w="64" w:type="dxa"/>
            <w:tcBorders/>
            <w:shd w:fill="FFFFFF" w:val="clear"/>
            <w:vAlign w:val="center"/>
          </w:tcPr>
          <w:p>
            <w:pPr>
              <w:pStyle w:val="TableContents"/>
              <w:bidi w:val="0"/>
              <w:spacing w:before="0" w:after="0"/>
              <w:jc w:val="left"/>
              <w:rPr/>
            </w:pPr>
            <w:r>
              <w:rPr/>
              <w:t> </w:t>
            </w:r>
          </w:p>
        </w:tc>
        <w:tc>
          <w:tcPr>
            <w:tcW w:w="135" w:type="dxa"/>
            <w:tcBorders/>
            <w:shd w:fill="FFFFFF" w:val="clear"/>
            <w:vAlign w:val="center"/>
          </w:tcPr>
          <w:p>
            <w:pPr>
              <w:pStyle w:val="TableContents"/>
              <w:bidi w:val="0"/>
              <w:spacing w:before="0" w:after="0"/>
              <w:jc w:val="left"/>
              <w:rPr/>
            </w:pPr>
            <w:r>
              <w:rPr/>
              <w:t> </w:t>
            </w:r>
          </w:p>
        </w:tc>
        <w:tc>
          <w:tcPr>
            <w:tcW w:w="1033"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51"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71" w:type="dxa"/>
            <w:tcBorders/>
            <w:shd w:fill="FFFFFF" w:val="clear"/>
            <w:vAlign w:val="center"/>
          </w:tcPr>
          <w:p>
            <w:pPr>
              <w:pStyle w:val="TableContents"/>
              <w:bidi w:val="0"/>
              <w:spacing w:before="0" w:after="0"/>
              <w:jc w:val="right"/>
              <w:rPr/>
            </w:pPr>
            <w:r>
              <w:rPr/>
              <w:t> </w:t>
            </w:r>
          </w:p>
        </w:tc>
      </w:tr>
      <w:tr>
        <w:trPr/>
        <w:tc>
          <w:tcPr>
            <w:tcW w:w="552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Direct operating costs, exclusive of depreciation</w:t>
            </w:r>
          </w:p>
        </w:tc>
        <w:tc>
          <w:tcPr>
            <w:tcW w:w="125" w:type="dxa"/>
            <w:tcBorders/>
            <w:shd w:fill="CCEEFF" w:val="clear"/>
            <w:vAlign w:val="center"/>
          </w:tcPr>
          <w:p>
            <w:pPr>
              <w:pStyle w:val="TableContents"/>
              <w:bidi w:val="0"/>
              <w:spacing w:before="0" w:after="0"/>
              <w:jc w:val="left"/>
              <w:rPr/>
            </w:pPr>
            <w:r>
              <w:rPr/>
              <w:t> </w:t>
            </w:r>
          </w:p>
        </w:tc>
        <w:tc>
          <w:tcPr>
            <w:tcW w:w="103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620.6</w:t>
            </w:r>
          </w:p>
        </w:tc>
        <w:tc>
          <w:tcPr>
            <w:tcW w:w="64" w:type="dxa"/>
            <w:tcBorders/>
            <w:shd w:fill="CCEEFF" w:val="clear"/>
            <w:vAlign w:val="center"/>
          </w:tcPr>
          <w:p>
            <w:pPr>
              <w:pStyle w:val="TableContents"/>
              <w:bidi w:val="0"/>
              <w:spacing w:before="0" w:after="0"/>
              <w:jc w:val="left"/>
              <w:rPr/>
            </w:pPr>
            <w:r>
              <w:rPr/>
              <w:t> </w:t>
            </w:r>
          </w:p>
        </w:tc>
        <w:tc>
          <w:tcPr>
            <w:tcW w:w="135" w:type="dxa"/>
            <w:tcBorders/>
            <w:shd w:fill="CCEEFF" w:val="clear"/>
            <w:vAlign w:val="center"/>
          </w:tcPr>
          <w:p>
            <w:pPr>
              <w:pStyle w:val="TableContents"/>
              <w:bidi w:val="0"/>
              <w:spacing w:before="0" w:after="0"/>
              <w:jc w:val="left"/>
              <w:rPr/>
            </w:pPr>
            <w:r>
              <w:rPr/>
              <w:t> </w:t>
            </w:r>
          </w:p>
        </w:tc>
        <w:tc>
          <w:tcPr>
            <w:tcW w:w="103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580.8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1,181.6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7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1,114.5</w:t>
            </w:r>
          </w:p>
        </w:tc>
      </w:tr>
      <w:tr>
        <w:trPr/>
        <w:tc>
          <w:tcPr>
            <w:tcW w:w="552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Salaries and benefits</w:t>
            </w:r>
          </w:p>
        </w:tc>
        <w:tc>
          <w:tcPr>
            <w:tcW w:w="125" w:type="dxa"/>
            <w:tcBorders/>
            <w:shd w:fill="FFFFFF" w:val="clear"/>
            <w:vAlign w:val="center"/>
          </w:tcPr>
          <w:p>
            <w:pPr>
              <w:pStyle w:val="TableContents"/>
              <w:bidi w:val="0"/>
              <w:spacing w:before="0" w:after="0"/>
              <w:jc w:val="left"/>
              <w:rPr/>
            </w:pPr>
            <w:r>
              <w:rPr/>
              <w:t> </w:t>
            </w:r>
          </w:p>
        </w:tc>
        <w:tc>
          <w:tcPr>
            <w:tcW w:w="103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173.5</w:t>
            </w:r>
          </w:p>
        </w:tc>
        <w:tc>
          <w:tcPr>
            <w:tcW w:w="64" w:type="dxa"/>
            <w:tcBorders/>
            <w:shd w:fill="FFFFFF" w:val="clear"/>
            <w:vAlign w:val="center"/>
          </w:tcPr>
          <w:p>
            <w:pPr>
              <w:pStyle w:val="TableContents"/>
              <w:bidi w:val="0"/>
              <w:spacing w:before="0" w:after="0"/>
              <w:jc w:val="left"/>
              <w:rPr/>
            </w:pPr>
            <w:r>
              <w:rPr/>
              <w:t> </w:t>
            </w:r>
          </w:p>
        </w:tc>
        <w:tc>
          <w:tcPr>
            <w:tcW w:w="135" w:type="dxa"/>
            <w:tcBorders/>
            <w:shd w:fill="FFFFFF" w:val="clear"/>
            <w:vAlign w:val="center"/>
          </w:tcPr>
          <w:p>
            <w:pPr>
              <w:pStyle w:val="TableContents"/>
              <w:bidi w:val="0"/>
              <w:spacing w:before="0" w:after="0"/>
              <w:jc w:val="left"/>
              <w:rPr/>
            </w:pPr>
            <w:r>
              <w:rPr/>
              <w:t> </w:t>
            </w:r>
          </w:p>
        </w:tc>
        <w:tc>
          <w:tcPr>
            <w:tcW w:w="103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158.0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5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337.6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7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312.7</w:t>
            </w:r>
          </w:p>
        </w:tc>
      </w:tr>
      <w:tr>
        <w:trPr/>
        <w:tc>
          <w:tcPr>
            <w:tcW w:w="552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Selling, general and administrative</w:t>
            </w:r>
          </w:p>
        </w:tc>
        <w:tc>
          <w:tcPr>
            <w:tcW w:w="125" w:type="dxa"/>
            <w:tcBorders/>
            <w:shd w:fill="CCEEFF" w:val="clear"/>
            <w:vAlign w:val="center"/>
          </w:tcPr>
          <w:p>
            <w:pPr>
              <w:pStyle w:val="TableContents"/>
              <w:bidi w:val="0"/>
              <w:spacing w:before="0" w:after="0"/>
              <w:jc w:val="left"/>
              <w:rPr/>
            </w:pPr>
            <w:r>
              <w:rPr/>
              <w:t> </w:t>
            </w:r>
          </w:p>
        </w:tc>
        <w:tc>
          <w:tcPr>
            <w:tcW w:w="103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87.8</w:t>
            </w:r>
          </w:p>
        </w:tc>
        <w:tc>
          <w:tcPr>
            <w:tcW w:w="64" w:type="dxa"/>
            <w:tcBorders/>
            <w:shd w:fill="CCEEFF" w:val="clear"/>
            <w:vAlign w:val="center"/>
          </w:tcPr>
          <w:p>
            <w:pPr>
              <w:pStyle w:val="TableContents"/>
              <w:bidi w:val="0"/>
              <w:spacing w:before="0" w:after="0"/>
              <w:jc w:val="left"/>
              <w:rPr/>
            </w:pPr>
            <w:r>
              <w:rPr/>
              <w:t> </w:t>
            </w:r>
          </w:p>
        </w:tc>
        <w:tc>
          <w:tcPr>
            <w:tcW w:w="135" w:type="dxa"/>
            <w:tcBorders/>
            <w:shd w:fill="CCEEFF" w:val="clear"/>
            <w:vAlign w:val="center"/>
          </w:tcPr>
          <w:p>
            <w:pPr>
              <w:pStyle w:val="TableContents"/>
              <w:bidi w:val="0"/>
              <w:spacing w:before="0" w:after="0"/>
              <w:jc w:val="left"/>
              <w:rPr/>
            </w:pPr>
            <w:r>
              <w:rPr/>
              <w:t> </w:t>
            </w:r>
          </w:p>
        </w:tc>
        <w:tc>
          <w:tcPr>
            <w:tcW w:w="103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79.4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170.8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7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151.3</w:t>
            </w:r>
          </w:p>
        </w:tc>
      </w:tr>
      <w:tr>
        <w:trPr/>
        <w:tc>
          <w:tcPr>
            <w:tcW w:w="552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Depreciation and amortization</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3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33.8</w:t>
            </w:r>
          </w:p>
        </w:tc>
        <w:tc>
          <w:tcPr>
            <w:tcW w:w="64" w:type="dxa"/>
            <w:tcBorders/>
            <w:shd w:fill="FFFFFF" w:val="clear"/>
            <w:vAlign w:val="center"/>
          </w:tcPr>
          <w:p>
            <w:pPr>
              <w:pStyle w:val="TableContents"/>
              <w:bidi w:val="0"/>
              <w:spacing w:before="0" w:after="0"/>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3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33.7</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51"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66.0</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71"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66.4</w:t>
            </w:r>
          </w:p>
        </w:tc>
      </w:tr>
      <w:tr>
        <w:trPr/>
        <w:tc>
          <w:tcPr>
            <w:tcW w:w="5523" w:type="dxa"/>
            <w:tcBorders/>
            <w:shd w:fill="CCEEFF" w:val="clear"/>
            <w:vAlign w:val="center"/>
          </w:tcPr>
          <w:p>
            <w:pPr>
              <w:pStyle w:val="TableContents"/>
              <w:bidi w:val="0"/>
              <w:spacing w:before="0" w:after="0"/>
              <w:ind w:left="680" w:right="0" w:hanging="0"/>
              <w:jc w:val="left"/>
              <w:rPr>
                <w:rFonts w:ascii="Times New Roman" w:hAnsi="Times New Roman"/>
                <w:sz w:val="20"/>
              </w:rPr>
            </w:pPr>
            <w:r>
              <w:rPr>
                <w:rFonts w:ascii="Times New Roman" w:hAnsi="Times New Roman"/>
                <w:sz w:val="20"/>
              </w:rPr>
              <w:t>Total operating expenses</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3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915.7</w:t>
            </w:r>
          </w:p>
        </w:tc>
        <w:tc>
          <w:tcPr>
            <w:tcW w:w="64" w:type="dxa"/>
            <w:tcBorders/>
            <w:shd w:fill="CCEEFF" w:val="clear"/>
            <w:vAlign w:val="center"/>
          </w:tcPr>
          <w:p>
            <w:pPr>
              <w:pStyle w:val="TableContents"/>
              <w:bidi w:val="0"/>
              <w:spacing w:before="0" w:after="0"/>
              <w:jc w:val="left"/>
              <w:rPr/>
            </w:pPr>
            <w:r>
              <w:rPr/>
              <w:t> </w:t>
            </w:r>
          </w:p>
        </w:tc>
        <w:tc>
          <w:tcPr>
            <w:tcW w:w="13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3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851.9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9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1,756.0</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97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1,644.9</w:t>
            </w:r>
          </w:p>
        </w:tc>
      </w:tr>
      <w:tr>
        <w:trPr/>
        <w:tc>
          <w:tcPr>
            <w:tcW w:w="552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3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158.6</w:t>
            </w:r>
          </w:p>
        </w:tc>
        <w:tc>
          <w:tcPr>
            <w:tcW w:w="64" w:type="dxa"/>
            <w:tcBorders/>
            <w:shd w:fill="FFFFFF" w:val="clear"/>
            <w:vAlign w:val="center"/>
          </w:tcPr>
          <w:p>
            <w:pPr>
              <w:pStyle w:val="TableContents"/>
              <w:bidi w:val="0"/>
              <w:spacing w:before="0" w:after="0"/>
              <w:jc w:val="left"/>
              <w:rPr/>
            </w:pPr>
            <w:r>
              <w:rPr/>
              <w:t> </w:t>
            </w:r>
          </w:p>
        </w:tc>
        <w:tc>
          <w:tcPr>
            <w:tcW w:w="13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3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134.3</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95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233.8</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97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198.3</w:t>
            </w:r>
          </w:p>
        </w:tc>
      </w:tr>
      <w:tr>
        <w:trPr/>
        <w:tc>
          <w:tcPr>
            <w:tcW w:w="55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33"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4" w:type="dxa"/>
            <w:tcBorders/>
            <w:shd w:fill="CCEEFF" w:val="clear"/>
            <w:vAlign w:val="center"/>
          </w:tcPr>
          <w:p>
            <w:pPr>
              <w:pStyle w:val="TableContents"/>
              <w:bidi w:val="0"/>
              <w:spacing w:before="0" w:after="0"/>
              <w:jc w:val="left"/>
              <w:rPr/>
            </w:pPr>
            <w:r>
              <w:rPr/>
              <w:t> </w:t>
            </w:r>
          </w:p>
        </w:tc>
        <w:tc>
          <w:tcPr>
            <w:tcW w:w="13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33"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51"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71"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r>
      <w:tr>
        <w:trPr/>
        <w:tc>
          <w:tcPr>
            <w:tcW w:w="552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income</w:t>
            </w:r>
          </w:p>
        </w:tc>
        <w:tc>
          <w:tcPr>
            <w:tcW w:w="125" w:type="dxa"/>
            <w:tcBorders/>
            <w:shd w:fill="FFFFFF" w:val="clear"/>
            <w:vAlign w:val="center"/>
          </w:tcPr>
          <w:p>
            <w:pPr>
              <w:pStyle w:val="TableContents"/>
              <w:bidi w:val="0"/>
              <w:spacing w:before="0" w:after="0"/>
              <w:jc w:val="left"/>
              <w:rPr/>
            </w:pPr>
            <w:r>
              <w:rPr/>
              <w:t> </w:t>
            </w:r>
          </w:p>
        </w:tc>
        <w:tc>
          <w:tcPr>
            <w:tcW w:w="103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6.2</w:t>
            </w:r>
          </w:p>
        </w:tc>
        <w:tc>
          <w:tcPr>
            <w:tcW w:w="64" w:type="dxa"/>
            <w:tcBorders/>
            <w:shd w:fill="FFFFFF" w:val="clear"/>
            <w:vAlign w:val="center"/>
          </w:tcPr>
          <w:p>
            <w:pPr>
              <w:pStyle w:val="TableContents"/>
              <w:bidi w:val="0"/>
              <w:spacing w:before="0" w:after="0"/>
              <w:jc w:val="left"/>
              <w:rPr/>
            </w:pPr>
            <w:r>
              <w:rPr/>
              <w:t> </w:t>
            </w:r>
          </w:p>
        </w:tc>
        <w:tc>
          <w:tcPr>
            <w:tcW w:w="135" w:type="dxa"/>
            <w:tcBorders/>
            <w:shd w:fill="FFFFFF" w:val="clear"/>
            <w:vAlign w:val="center"/>
          </w:tcPr>
          <w:p>
            <w:pPr>
              <w:pStyle w:val="TableContents"/>
              <w:bidi w:val="0"/>
              <w:spacing w:before="0" w:after="0"/>
              <w:jc w:val="left"/>
              <w:rPr/>
            </w:pPr>
            <w:r>
              <w:rPr/>
              <w:t> </w:t>
            </w:r>
          </w:p>
        </w:tc>
        <w:tc>
          <w:tcPr>
            <w:tcW w:w="103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5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7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11.6</w:t>
            </w:r>
          </w:p>
        </w:tc>
      </w:tr>
      <w:tr>
        <w:trPr/>
        <w:tc>
          <w:tcPr>
            <w:tcW w:w="552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expense</w:t>
            </w:r>
          </w:p>
        </w:tc>
        <w:tc>
          <w:tcPr>
            <w:tcW w:w="125" w:type="dxa"/>
            <w:tcBorders/>
            <w:shd w:fill="CCEEFF" w:val="clear"/>
            <w:vAlign w:val="center"/>
          </w:tcPr>
          <w:p>
            <w:pPr>
              <w:pStyle w:val="TableContents"/>
              <w:bidi w:val="0"/>
              <w:spacing w:before="0" w:after="0"/>
              <w:jc w:val="left"/>
              <w:rPr/>
            </w:pPr>
            <w:r>
              <w:rPr/>
              <w:t> </w:t>
            </w:r>
          </w:p>
        </w:tc>
        <w:tc>
          <w:tcPr>
            <w:tcW w:w="1033"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28.2</w:t>
            </w:r>
            <w:r>
              <w:rPr>
                <w:rFonts w:ascii="Times New Roman" w:hAnsi="Times New Roman"/>
                <w:sz w:val="20"/>
              </w:rPr>
              <w:t>)</w:t>
            </w:r>
          </w:p>
        </w:tc>
        <w:tc>
          <w:tcPr>
            <w:tcW w:w="64" w:type="dxa"/>
            <w:tcBorders/>
            <w:shd w:fill="CCEEFF" w:val="clear"/>
            <w:vAlign w:val="center"/>
          </w:tcPr>
          <w:p>
            <w:pPr>
              <w:pStyle w:val="TableContents"/>
              <w:bidi w:val="0"/>
              <w:spacing w:before="0" w:after="0"/>
              <w:jc w:val="left"/>
              <w:rPr/>
            </w:pPr>
            <w:r>
              <w:rPr/>
              <w:t> </w:t>
            </w:r>
          </w:p>
        </w:tc>
        <w:tc>
          <w:tcPr>
            <w:tcW w:w="135" w:type="dxa"/>
            <w:tcBorders/>
            <w:shd w:fill="CCEEFF" w:val="clear"/>
            <w:vAlign w:val="center"/>
          </w:tcPr>
          <w:p>
            <w:pPr>
              <w:pStyle w:val="TableContents"/>
              <w:bidi w:val="0"/>
              <w:spacing w:before="0" w:after="0"/>
              <w:jc w:val="left"/>
              <w:rPr/>
            </w:pPr>
            <w:r>
              <w:rPr/>
              <w:t> </w:t>
            </w:r>
          </w:p>
        </w:tc>
        <w:tc>
          <w:tcPr>
            <w:tcW w:w="1033"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20.1</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47.6</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71"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35.0</w:t>
            </w:r>
            <w:r>
              <w:rPr>
                <w:rFonts w:ascii="Times New Roman" w:hAnsi="Times New Roman"/>
                <w:sz w:val="20"/>
              </w:rPr>
              <w:t>)</w:t>
            </w:r>
          </w:p>
        </w:tc>
      </w:tr>
      <w:tr>
        <w:trPr/>
        <w:tc>
          <w:tcPr>
            <w:tcW w:w="552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Foreign currency exchange loss (gain), net</w:t>
            </w:r>
          </w:p>
        </w:tc>
        <w:tc>
          <w:tcPr>
            <w:tcW w:w="125" w:type="dxa"/>
            <w:tcBorders/>
            <w:shd w:fill="FFFFFF" w:val="clear"/>
            <w:vAlign w:val="center"/>
          </w:tcPr>
          <w:p>
            <w:pPr>
              <w:pStyle w:val="TableContents"/>
              <w:bidi w:val="0"/>
              <w:spacing w:before="0" w:after="0"/>
              <w:jc w:val="left"/>
              <w:rPr/>
            </w:pPr>
            <w:r>
              <w:rPr/>
              <w:t> </w:t>
            </w:r>
          </w:p>
        </w:tc>
        <w:tc>
          <w:tcPr>
            <w:tcW w:w="1033"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5.7</w:t>
            </w:r>
            <w:r>
              <w:rPr>
                <w:rFonts w:ascii="Times New Roman" w:hAnsi="Times New Roman"/>
                <w:sz w:val="20"/>
              </w:rPr>
              <w:t>)</w:t>
            </w:r>
          </w:p>
        </w:tc>
        <w:tc>
          <w:tcPr>
            <w:tcW w:w="64" w:type="dxa"/>
            <w:tcBorders/>
            <w:shd w:fill="FFFFFF" w:val="clear"/>
            <w:vAlign w:val="center"/>
          </w:tcPr>
          <w:p>
            <w:pPr>
              <w:pStyle w:val="TableContents"/>
              <w:bidi w:val="0"/>
              <w:spacing w:before="0" w:after="0"/>
              <w:jc w:val="left"/>
              <w:rPr/>
            </w:pPr>
            <w:r>
              <w:rPr/>
              <w:t> </w:t>
            </w:r>
          </w:p>
        </w:tc>
        <w:tc>
          <w:tcPr>
            <w:tcW w:w="135" w:type="dxa"/>
            <w:tcBorders/>
            <w:shd w:fill="FFFFFF" w:val="clear"/>
            <w:vAlign w:val="center"/>
          </w:tcPr>
          <w:p>
            <w:pPr>
              <w:pStyle w:val="TableContents"/>
              <w:bidi w:val="0"/>
              <w:spacing w:before="0" w:after="0"/>
              <w:jc w:val="left"/>
              <w:rPr/>
            </w:pPr>
            <w:r>
              <w:rPr/>
              <w:t> </w:t>
            </w:r>
          </w:p>
        </w:tc>
        <w:tc>
          <w:tcPr>
            <w:tcW w:w="103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51"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23.8</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71"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11.0</w:t>
            </w:r>
            <w:r>
              <w:rPr>
                <w:rFonts w:ascii="Times New Roman" w:hAnsi="Times New Roman"/>
                <w:sz w:val="20"/>
              </w:rPr>
              <w:t>)</w:t>
            </w:r>
          </w:p>
        </w:tc>
      </w:tr>
      <w:tr>
        <w:trPr/>
        <w:tc>
          <w:tcPr>
            <w:tcW w:w="552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 gains (losses), net</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3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0.4</w:t>
            </w:r>
          </w:p>
        </w:tc>
        <w:tc>
          <w:tcPr>
            <w:tcW w:w="64" w:type="dxa"/>
            <w:tcBorders/>
            <w:shd w:fill="CCEEFF" w:val="clear"/>
            <w:vAlign w:val="center"/>
          </w:tcPr>
          <w:p>
            <w:pPr>
              <w:pStyle w:val="TableContents"/>
              <w:bidi w:val="0"/>
              <w:spacing w:before="0" w:after="0"/>
              <w:jc w:val="left"/>
              <w:rPr/>
            </w:pPr>
            <w:r>
              <w:rPr/>
              <w:t> </w:t>
            </w:r>
          </w:p>
        </w:tc>
        <w:tc>
          <w:tcPr>
            <w:tcW w:w="13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3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0.8</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5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7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0.7</w:t>
            </w:r>
          </w:p>
        </w:tc>
      </w:tr>
      <w:tr>
        <w:trPr/>
        <w:tc>
          <w:tcPr>
            <w:tcW w:w="5523" w:type="dxa"/>
            <w:tcBorders/>
            <w:shd w:fill="FFFFFF" w:val="clear"/>
            <w:vAlign w:val="center"/>
          </w:tcPr>
          <w:p>
            <w:pPr>
              <w:pStyle w:val="TableContents"/>
              <w:bidi w:val="0"/>
              <w:spacing w:before="0" w:after="0"/>
              <w:ind w:left="680" w:right="0" w:hanging="0"/>
              <w:jc w:val="left"/>
              <w:rPr>
                <w:rFonts w:ascii="Times New Roman" w:hAnsi="Times New Roman"/>
                <w:sz w:val="20"/>
              </w:rPr>
            </w:pPr>
            <w:r>
              <w:rPr>
                <w:rFonts w:ascii="Times New Roman" w:hAnsi="Times New Roman"/>
                <w:sz w:val="20"/>
              </w:rPr>
              <w:t>Other expense, net</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3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27.3</w:t>
            </w:r>
            <w:r>
              <w:rPr>
                <w:rFonts w:ascii="Times New Roman" w:hAnsi="Times New Roman"/>
                <w:sz w:val="20"/>
              </w:rPr>
              <w:t>)</w:t>
            </w:r>
          </w:p>
        </w:tc>
        <w:tc>
          <w:tcPr>
            <w:tcW w:w="64" w:type="dxa"/>
            <w:tcBorders/>
            <w:shd w:fill="FFFFFF" w:val="clear"/>
            <w:vAlign w:val="center"/>
          </w:tcPr>
          <w:p>
            <w:pPr>
              <w:pStyle w:val="TableContents"/>
              <w:bidi w:val="0"/>
              <w:spacing w:before="0" w:after="0"/>
              <w:jc w:val="left"/>
              <w:rPr/>
            </w:pPr>
            <w:r>
              <w:rPr/>
              <w:t> </w:t>
            </w:r>
          </w:p>
        </w:tc>
        <w:tc>
          <w:tcPr>
            <w:tcW w:w="13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3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11.9</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95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57.0</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97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33.7</w:t>
            </w:r>
            <w:r>
              <w:rPr>
                <w:rFonts w:ascii="Times New Roman" w:hAnsi="Times New Roman"/>
                <w:sz w:val="20"/>
              </w:rPr>
              <w:t>)</w:t>
            </w:r>
          </w:p>
        </w:tc>
      </w:tr>
      <w:tr>
        <w:trPr/>
        <w:tc>
          <w:tcPr>
            <w:tcW w:w="552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Income before income taxes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3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131.3</w:t>
            </w:r>
          </w:p>
        </w:tc>
        <w:tc>
          <w:tcPr>
            <w:tcW w:w="64" w:type="dxa"/>
            <w:tcBorders/>
            <w:shd w:fill="CCEEFF" w:val="clear"/>
            <w:vAlign w:val="center"/>
          </w:tcPr>
          <w:p>
            <w:pPr>
              <w:pStyle w:val="TableContents"/>
              <w:bidi w:val="0"/>
              <w:spacing w:before="0" w:after="0"/>
              <w:jc w:val="left"/>
              <w:rPr/>
            </w:pPr>
            <w:r>
              <w:rPr/>
              <w:t> </w:t>
            </w:r>
          </w:p>
        </w:tc>
        <w:tc>
          <w:tcPr>
            <w:tcW w:w="13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3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122.4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5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176.8</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7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164.6</w:t>
            </w:r>
          </w:p>
        </w:tc>
      </w:tr>
      <w:tr>
        <w:trPr/>
        <w:tc>
          <w:tcPr>
            <w:tcW w:w="552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5" w:type="dxa"/>
            <w:tcBorders>
              <w:bottom w:val="single" w:sz="6" w:space="0" w:color="000000"/>
            </w:tcBorders>
            <w:shd w:fill="FFFFFF" w:val="clear"/>
            <w:tcMar>
              <w:bottom w:w="28" w:type="dxa"/>
            </w:tcMar>
            <w:vAlign w:val="center"/>
          </w:tcPr>
          <w:p>
            <w:pPr>
              <w:pStyle w:val="TableContents"/>
              <w:bidi w:val="0"/>
              <w:spacing w:before="0" w:after="0"/>
              <w:jc w:val="left"/>
              <w:rPr/>
            </w:pPr>
            <w:r>
              <w:rPr/>
              <w:t> </w:t>
            </w:r>
          </w:p>
        </w:tc>
        <w:tc>
          <w:tcPr>
            <w:tcW w:w="1033" w:type="dxa"/>
            <w:tcBorders>
              <w:bottom w:val="single" w:sz="6"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33.6</w:t>
            </w:r>
            <w:r>
              <w:rPr>
                <w:rFonts w:ascii="Times New Roman" w:hAnsi="Times New Roman"/>
                <w:sz w:val="20"/>
              </w:rPr>
              <w:t>)</w:t>
            </w:r>
          </w:p>
        </w:tc>
        <w:tc>
          <w:tcPr>
            <w:tcW w:w="64" w:type="dxa"/>
            <w:tcBorders/>
            <w:shd w:fill="FFFFFF" w:val="clear"/>
            <w:vAlign w:val="center"/>
          </w:tcPr>
          <w:p>
            <w:pPr>
              <w:pStyle w:val="TableContents"/>
              <w:bidi w:val="0"/>
              <w:spacing w:before="0" w:after="0"/>
              <w:jc w:val="left"/>
              <w:rPr/>
            </w:pPr>
            <w:r>
              <w:rPr/>
              <w:t> </w:t>
            </w:r>
          </w:p>
        </w:tc>
        <w:tc>
          <w:tcPr>
            <w:tcW w:w="135" w:type="dxa"/>
            <w:tcBorders>
              <w:bottom w:val="single" w:sz="6" w:space="0" w:color="000000"/>
            </w:tcBorders>
            <w:shd w:fill="FFFFFF" w:val="clear"/>
            <w:tcMar>
              <w:bottom w:w="28" w:type="dxa"/>
            </w:tcMar>
            <w:vAlign w:val="center"/>
          </w:tcPr>
          <w:p>
            <w:pPr>
              <w:pStyle w:val="TableContents"/>
              <w:bidi w:val="0"/>
              <w:spacing w:before="0" w:after="0"/>
              <w:jc w:val="left"/>
              <w:rPr/>
            </w:pPr>
            <w:r>
              <w:rPr/>
              <w:t> </w:t>
            </w:r>
          </w:p>
        </w:tc>
        <w:tc>
          <w:tcPr>
            <w:tcW w:w="1033" w:type="dxa"/>
            <w:tcBorders>
              <w:bottom w:val="single" w:sz="6"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39.2</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6" w:space="0" w:color="000000"/>
            </w:tcBorders>
            <w:shd w:fill="FFFFFF" w:val="clear"/>
            <w:tcMar>
              <w:bottom w:w="28" w:type="dxa"/>
            </w:tcMar>
            <w:vAlign w:val="center"/>
          </w:tcPr>
          <w:p>
            <w:pPr>
              <w:pStyle w:val="TableContents"/>
              <w:bidi w:val="0"/>
              <w:spacing w:before="0" w:after="0"/>
              <w:jc w:val="left"/>
              <w:rPr/>
            </w:pPr>
            <w:r>
              <w:rPr/>
              <w:t> </w:t>
            </w:r>
          </w:p>
        </w:tc>
        <w:tc>
          <w:tcPr>
            <w:tcW w:w="951" w:type="dxa"/>
            <w:tcBorders>
              <w:bottom w:val="single" w:sz="6"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40.7</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6" w:space="0" w:color="000000"/>
            </w:tcBorders>
            <w:shd w:fill="FFFFFF" w:val="clear"/>
            <w:tcMar>
              <w:bottom w:w="28" w:type="dxa"/>
            </w:tcMar>
            <w:vAlign w:val="center"/>
          </w:tcPr>
          <w:p>
            <w:pPr>
              <w:pStyle w:val="TableContents"/>
              <w:bidi w:val="0"/>
              <w:spacing w:before="0" w:after="0"/>
              <w:jc w:val="left"/>
              <w:rPr/>
            </w:pPr>
            <w:r>
              <w:rPr/>
              <w:t> </w:t>
            </w:r>
          </w:p>
        </w:tc>
        <w:tc>
          <w:tcPr>
            <w:tcW w:w="971" w:type="dxa"/>
            <w:tcBorders>
              <w:bottom w:val="single" w:sz="6"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55.2</w:t>
            </w:r>
            <w:r>
              <w:rPr>
                <w:rFonts w:ascii="Times New Roman" w:hAnsi="Times New Roman"/>
                <w:sz w:val="20"/>
              </w:rPr>
              <w:t>)</w:t>
            </w:r>
          </w:p>
        </w:tc>
      </w:tr>
      <w:tr>
        <w:trPr/>
        <w:tc>
          <w:tcPr>
            <w:tcW w:w="552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income</w:t>
            </w:r>
          </w:p>
        </w:tc>
        <w:tc>
          <w:tcPr>
            <w:tcW w:w="125"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1033"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97.7</w:t>
            </w:r>
          </w:p>
        </w:tc>
        <w:tc>
          <w:tcPr>
            <w:tcW w:w="64" w:type="dxa"/>
            <w:tcBorders/>
            <w:shd w:fill="CCEEFF" w:val="clear"/>
            <w:vAlign w:val="center"/>
          </w:tcPr>
          <w:p>
            <w:pPr>
              <w:pStyle w:val="TableContents"/>
              <w:bidi w:val="0"/>
              <w:spacing w:before="0" w:after="0"/>
              <w:jc w:val="left"/>
              <w:rPr/>
            </w:pPr>
            <w:r>
              <w:rPr/>
              <w:t> </w:t>
            </w:r>
          </w:p>
        </w:tc>
        <w:tc>
          <w:tcPr>
            <w:tcW w:w="135"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1033"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83.2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951"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136.1</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971"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109.4</w:t>
            </w:r>
          </w:p>
        </w:tc>
      </w:tr>
      <w:tr>
        <w:trPr/>
        <w:tc>
          <w:tcPr>
            <w:tcW w:w="5523"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loss attributable to noncontrolling interests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33"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0.1</w:t>
            </w:r>
            <w:r>
              <w:rPr>
                <w:rFonts w:ascii="Times New Roman" w:hAnsi="Times New Roman"/>
                <w:sz w:val="20"/>
              </w:rPr>
              <w:t>)</w:t>
            </w:r>
          </w:p>
        </w:tc>
        <w:tc>
          <w:tcPr>
            <w:tcW w:w="64" w:type="dxa"/>
            <w:tcBorders/>
            <w:shd w:fill="FFFFFF" w:val="clear"/>
            <w:vAlign w:val="center"/>
          </w:tcPr>
          <w:p>
            <w:pPr>
              <w:pStyle w:val="TableContents"/>
              <w:bidi w:val="0"/>
              <w:spacing w:before="0" w:after="0"/>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33"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0.1</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51"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0.1</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71"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0.1</w:t>
            </w:r>
            <w:r>
              <w:rPr>
                <w:rFonts w:ascii="Times New Roman" w:hAnsi="Times New Roman"/>
                <w:sz w:val="20"/>
              </w:rPr>
              <w:t>)</w:t>
            </w:r>
          </w:p>
        </w:tc>
      </w:tr>
      <w:tr>
        <w:trPr/>
        <w:tc>
          <w:tcPr>
            <w:tcW w:w="552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income attributable to Euronet Worldwide, Inc.</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97.6</w:t>
            </w:r>
          </w:p>
        </w:tc>
        <w:tc>
          <w:tcPr>
            <w:tcW w:w="64" w:type="dxa"/>
            <w:tcBorders/>
            <w:shd w:fill="CCEEFF" w:val="clear"/>
            <w:vAlign w:val="center"/>
          </w:tcPr>
          <w:p>
            <w:pPr>
              <w:pStyle w:val="TableContents"/>
              <w:bidi w:val="0"/>
              <w:spacing w:before="0" w:after="0"/>
              <w:jc w:val="left"/>
              <w:rPr/>
            </w:pPr>
            <w:r>
              <w:rPr/>
              <w:t> </w:t>
            </w:r>
          </w:p>
        </w:tc>
        <w:tc>
          <w:tcPr>
            <w:tcW w:w="13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83.1</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136.0</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109.3</w:t>
            </w:r>
          </w:p>
        </w:tc>
      </w:tr>
      <w:tr>
        <w:trPr/>
        <w:tc>
          <w:tcPr>
            <w:tcW w:w="5523" w:type="dxa"/>
            <w:tcBorders/>
            <w:shd w:fill="FFFFFF" w:val="clear"/>
            <w:vAlign w:val="center"/>
          </w:tcPr>
          <w:p>
            <w:pPr>
              <w:pStyle w:val="TableContents"/>
              <w:bidi w:val="0"/>
              <w:spacing w:before="0" w:after="0"/>
              <w:jc w:val="left"/>
              <w:rPr/>
            </w:pPr>
            <w:r>
              <w:rPr/>
              <w:t> </w:t>
            </w:r>
          </w:p>
        </w:tc>
        <w:tc>
          <w:tcPr>
            <w:tcW w:w="125"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033"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64" w:type="dxa"/>
            <w:tcBorders/>
            <w:shd w:fill="FFFFFF" w:val="clear"/>
            <w:vAlign w:val="center"/>
          </w:tcPr>
          <w:p>
            <w:pPr>
              <w:pStyle w:val="TableContents"/>
              <w:bidi w:val="0"/>
              <w:spacing w:before="0" w:after="0"/>
              <w:jc w:val="left"/>
              <w:rPr/>
            </w:pPr>
            <w:r>
              <w:rPr/>
              <w:t> </w:t>
            </w:r>
          </w:p>
        </w:tc>
        <w:tc>
          <w:tcPr>
            <w:tcW w:w="135"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033"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951"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971"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r>
      <w:tr>
        <w:trPr/>
        <w:tc>
          <w:tcPr>
            <w:tcW w:w="55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Earnings per share attributable to Euronet Worldwide, Inc. stockholders:</w:t>
            </w:r>
          </w:p>
        </w:tc>
        <w:tc>
          <w:tcPr>
            <w:tcW w:w="125" w:type="dxa"/>
            <w:tcBorders/>
            <w:shd w:fill="CCEEFF" w:val="clear"/>
            <w:vAlign w:val="center"/>
          </w:tcPr>
          <w:p>
            <w:pPr>
              <w:pStyle w:val="TableContents"/>
              <w:bidi w:val="0"/>
              <w:spacing w:before="0" w:after="0"/>
              <w:jc w:val="left"/>
              <w:rPr/>
            </w:pPr>
            <w:r>
              <w:rPr/>
              <w:t> </w:t>
            </w:r>
          </w:p>
        </w:tc>
        <w:tc>
          <w:tcPr>
            <w:tcW w:w="1033" w:type="dxa"/>
            <w:tcBorders/>
            <w:shd w:fill="CCEEFF" w:val="clear"/>
            <w:vAlign w:val="center"/>
          </w:tcPr>
          <w:p>
            <w:pPr>
              <w:pStyle w:val="TableContents"/>
              <w:bidi w:val="0"/>
              <w:spacing w:before="0" w:after="0"/>
              <w:jc w:val="right"/>
              <w:rPr/>
            </w:pPr>
            <w:r>
              <w:rPr/>
              <w:t> </w:t>
            </w:r>
          </w:p>
        </w:tc>
        <w:tc>
          <w:tcPr>
            <w:tcW w:w="64" w:type="dxa"/>
            <w:tcBorders/>
            <w:shd w:fill="CCEEFF" w:val="clear"/>
            <w:vAlign w:val="center"/>
          </w:tcPr>
          <w:p>
            <w:pPr>
              <w:pStyle w:val="TableContents"/>
              <w:bidi w:val="0"/>
              <w:spacing w:before="0" w:after="0"/>
              <w:jc w:val="left"/>
              <w:rPr/>
            </w:pPr>
            <w:r>
              <w:rPr/>
              <w:t> </w:t>
            </w:r>
          </w:p>
        </w:tc>
        <w:tc>
          <w:tcPr>
            <w:tcW w:w="135" w:type="dxa"/>
            <w:tcBorders/>
            <w:shd w:fill="CCEEFF" w:val="clear"/>
            <w:vAlign w:val="center"/>
          </w:tcPr>
          <w:p>
            <w:pPr>
              <w:pStyle w:val="TableContents"/>
              <w:bidi w:val="0"/>
              <w:spacing w:before="0" w:after="0"/>
              <w:jc w:val="left"/>
              <w:rPr/>
            </w:pPr>
            <w:r>
              <w:rPr/>
              <w:t> </w:t>
            </w:r>
          </w:p>
        </w:tc>
        <w:tc>
          <w:tcPr>
            <w:tcW w:w="1033"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71" w:type="dxa"/>
            <w:tcBorders/>
            <w:shd w:fill="CCEEFF" w:val="clear"/>
            <w:vAlign w:val="center"/>
          </w:tcPr>
          <w:p>
            <w:pPr>
              <w:pStyle w:val="TableContents"/>
              <w:bidi w:val="0"/>
              <w:spacing w:before="0" w:after="0"/>
              <w:jc w:val="right"/>
              <w:rPr/>
            </w:pPr>
            <w:r>
              <w:rPr/>
              <w:t> </w:t>
            </w:r>
          </w:p>
        </w:tc>
      </w:tr>
      <w:tr>
        <w:trPr/>
        <w:tc>
          <w:tcPr>
            <w:tcW w:w="552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Basic</w:t>
            </w:r>
          </w:p>
        </w:tc>
        <w:tc>
          <w:tcPr>
            <w:tcW w:w="125" w:type="dxa"/>
            <w:tcBorders>
              <w:bottom w:val="double" w:sz="6"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2.31</w:t>
            </w:r>
          </w:p>
        </w:tc>
        <w:tc>
          <w:tcPr>
            <w:tcW w:w="64" w:type="dxa"/>
            <w:tcBorders/>
            <w:shd w:fill="FFFFFF" w:val="clear"/>
            <w:vAlign w:val="center"/>
          </w:tcPr>
          <w:p>
            <w:pPr>
              <w:pStyle w:val="TableContents"/>
              <w:bidi w:val="0"/>
              <w:spacing w:before="0" w:after="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1.83</w:t>
            </w:r>
          </w:p>
        </w:tc>
        <w:tc>
          <w:tcPr>
            <w:tcW w:w="60" w:type="dxa"/>
            <w:tcBorders/>
            <w:shd w:fill="FFFFFF" w:val="clear"/>
            <w:vAlign w:val="center"/>
          </w:tcPr>
          <w:p>
            <w:pPr>
              <w:pStyle w:val="TableContents"/>
              <w:bidi w:val="0"/>
              <w:spacing w:before="0" w:after="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1"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3.16</w:t>
            </w:r>
          </w:p>
        </w:tc>
        <w:tc>
          <w:tcPr>
            <w:tcW w:w="60" w:type="dxa"/>
            <w:tcBorders/>
            <w:shd w:fill="FFFFFF" w:val="clear"/>
            <w:vAlign w:val="center"/>
          </w:tcPr>
          <w:p>
            <w:pPr>
              <w:pStyle w:val="TableContents"/>
              <w:bidi w:val="0"/>
              <w:spacing w:before="0" w:after="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1"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2.40</w:t>
            </w:r>
          </w:p>
        </w:tc>
      </w:tr>
      <w:tr>
        <w:trPr/>
        <w:tc>
          <w:tcPr>
            <w:tcW w:w="552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Diluted</w:t>
            </w:r>
          </w:p>
        </w:tc>
        <w:tc>
          <w:tcPr>
            <w:tcW w:w="12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2.27</w:t>
            </w:r>
          </w:p>
        </w:tc>
        <w:tc>
          <w:tcPr>
            <w:tcW w:w="64" w:type="dxa"/>
            <w:tcBorders/>
            <w:shd w:fill="CCEEFF" w:val="clear"/>
            <w:vAlign w:val="center"/>
          </w:tcPr>
          <w:p>
            <w:pPr>
              <w:pStyle w:val="TableContents"/>
              <w:bidi w:val="0"/>
              <w:spacing w:before="0" w:after="0"/>
              <w:jc w:val="left"/>
              <w:rPr/>
            </w:pPr>
            <w:r>
              <w:rPr/>
              <w:t> </w:t>
            </w:r>
          </w:p>
        </w:tc>
        <w:tc>
          <w:tcPr>
            <w:tcW w:w="13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1.73</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3.08</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2.28</w:t>
            </w:r>
          </w:p>
        </w:tc>
      </w:tr>
      <w:tr>
        <w:trPr/>
        <w:tc>
          <w:tcPr>
            <w:tcW w:w="5523" w:type="dxa"/>
            <w:tcBorders/>
            <w:shd w:fill="FFFFFF" w:val="clear"/>
            <w:vAlign w:val="center"/>
          </w:tcPr>
          <w:p>
            <w:pPr>
              <w:pStyle w:val="TableContents"/>
              <w:bidi w:val="0"/>
              <w:spacing w:before="0" w:after="0"/>
              <w:jc w:val="left"/>
              <w:rPr/>
            </w:pPr>
            <w:r>
              <w:rPr/>
              <w:t> </w:t>
            </w:r>
          </w:p>
        </w:tc>
        <w:tc>
          <w:tcPr>
            <w:tcW w:w="125"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033"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64" w:type="dxa"/>
            <w:tcBorders/>
            <w:shd w:fill="FFFFFF" w:val="clear"/>
            <w:vAlign w:val="center"/>
          </w:tcPr>
          <w:p>
            <w:pPr>
              <w:pStyle w:val="TableContents"/>
              <w:bidi w:val="0"/>
              <w:spacing w:before="0" w:after="0"/>
              <w:jc w:val="left"/>
              <w:rPr/>
            </w:pPr>
            <w:r>
              <w:rPr/>
              <w:t> </w:t>
            </w:r>
          </w:p>
        </w:tc>
        <w:tc>
          <w:tcPr>
            <w:tcW w:w="135"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033"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951"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971"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r>
      <w:tr>
        <w:trPr/>
        <w:tc>
          <w:tcPr>
            <w:tcW w:w="55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w:t>
            </w:r>
          </w:p>
        </w:tc>
        <w:tc>
          <w:tcPr>
            <w:tcW w:w="125" w:type="dxa"/>
            <w:tcBorders/>
            <w:shd w:fill="CCEEFF" w:val="clear"/>
            <w:vAlign w:val="center"/>
          </w:tcPr>
          <w:p>
            <w:pPr>
              <w:pStyle w:val="TableContents"/>
              <w:bidi w:val="0"/>
              <w:spacing w:before="0" w:after="0"/>
              <w:jc w:val="left"/>
              <w:rPr/>
            </w:pPr>
            <w:r>
              <w:rPr/>
              <w:t> </w:t>
            </w:r>
          </w:p>
        </w:tc>
        <w:tc>
          <w:tcPr>
            <w:tcW w:w="1033" w:type="dxa"/>
            <w:tcBorders/>
            <w:shd w:fill="CCEEFF" w:val="clear"/>
            <w:vAlign w:val="center"/>
          </w:tcPr>
          <w:p>
            <w:pPr>
              <w:pStyle w:val="TableContents"/>
              <w:bidi w:val="0"/>
              <w:spacing w:before="0" w:after="0"/>
              <w:jc w:val="right"/>
              <w:rPr/>
            </w:pPr>
            <w:r>
              <w:rPr/>
              <w:t> </w:t>
            </w:r>
          </w:p>
        </w:tc>
        <w:tc>
          <w:tcPr>
            <w:tcW w:w="64" w:type="dxa"/>
            <w:tcBorders/>
            <w:shd w:fill="CCEEFF" w:val="clear"/>
            <w:vAlign w:val="center"/>
          </w:tcPr>
          <w:p>
            <w:pPr>
              <w:pStyle w:val="TableContents"/>
              <w:bidi w:val="0"/>
              <w:spacing w:before="0" w:after="0"/>
              <w:jc w:val="left"/>
              <w:rPr/>
            </w:pPr>
            <w:r>
              <w:rPr/>
              <w:t> </w:t>
            </w:r>
          </w:p>
        </w:tc>
        <w:tc>
          <w:tcPr>
            <w:tcW w:w="135" w:type="dxa"/>
            <w:tcBorders/>
            <w:shd w:fill="CCEEFF" w:val="clear"/>
            <w:vAlign w:val="center"/>
          </w:tcPr>
          <w:p>
            <w:pPr>
              <w:pStyle w:val="TableContents"/>
              <w:bidi w:val="0"/>
              <w:spacing w:before="0" w:after="0"/>
              <w:jc w:val="left"/>
              <w:rPr/>
            </w:pPr>
            <w:r>
              <w:rPr/>
              <w:t> </w:t>
            </w:r>
          </w:p>
        </w:tc>
        <w:tc>
          <w:tcPr>
            <w:tcW w:w="1033"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71" w:type="dxa"/>
            <w:tcBorders/>
            <w:shd w:fill="CCEEFF" w:val="clear"/>
            <w:vAlign w:val="center"/>
          </w:tcPr>
          <w:p>
            <w:pPr>
              <w:pStyle w:val="TableContents"/>
              <w:bidi w:val="0"/>
              <w:spacing w:before="0" w:after="0"/>
              <w:jc w:val="right"/>
              <w:rPr/>
            </w:pPr>
            <w:r>
              <w:rPr/>
              <w:t> </w:t>
            </w:r>
          </w:p>
        </w:tc>
      </w:tr>
      <w:tr>
        <w:trPr/>
        <w:tc>
          <w:tcPr>
            <w:tcW w:w="552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Basic</w:t>
            </w:r>
          </w:p>
        </w:tc>
        <w:tc>
          <w:tcPr>
            <w:tcW w:w="125"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c>
          <w:tcPr>
            <w:tcW w:w="103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42,321,267</w:t>
            </w:r>
          </w:p>
        </w:tc>
        <w:tc>
          <w:tcPr>
            <w:tcW w:w="64" w:type="dxa"/>
            <w:tcBorders/>
            <w:shd w:fill="FFFFFF" w:val="clear"/>
            <w:vAlign w:val="center"/>
          </w:tcPr>
          <w:p>
            <w:pPr>
              <w:pStyle w:val="TableContents"/>
              <w:bidi w:val="0"/>
              <w:spacing w:before="0" w:after="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c>
          <w:tcPr>
            <w:tcW w:w="103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45,429,998</w:t>
            </w:r>
          </w:p>
        </w:tc>
        <w:tc>
          <w:tcPr>
            <w:tcW w:w="60" w:type="dxa"/>
            <w:tcBorders/>
            <w:shd w:fill="FFFFFF" w:val="clear"/>
            <w:vAlign w:val="center"/>
          </w:tcPr>
          <w:p>
            <w:pPr>
              <w:pStyle w:val="TableContents"/>
              <w:bidi w:val="0"/>
              <w:spacing w:before="0" w:after="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c>
          <w:tcPr>
            <w:tcW w:w="951"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42,999,281</w:t>
            </w:r>
          </w:p>
        </w:tc>
        <w:tc>
          <w:tcPr>
            <w:tcW w:w="60" w:type="dxa"/>
            <w:tcBorders/>
            <w:shd w:fill="FFFFFF" w:val="clear"/>
            <w:vAlign w:val="center"/>
          </w:tcPr>
          <w:p>
            <w:pPr>
              <w:pStyle w:val="TableContents"/>
              <w:bidi w:val="0"/>
              <w:spacing w:before="0" w:after="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c>
          <w:tcPr>
            <w:tcW w:w="971"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45,623,470</w:t>
            </w:r>
          </w:p>
        </w:tc>
      </w:tr>
      <w:tr>
        <w:trPr/>
        <w:tc>
          <w:tcPr>
            <w:tcW w:w="552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Diluted</w:t>
            </w:r>
          </w:p>
        </w:tc>
        <w:tc>
          <w:tcPr>
            <w:tcW w:w="12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103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42,954,631</w:t>
            </w:r>
          </w:p>
        </w:tc>
        <w:tc>
          <w:tcPr>
            <w:tcW w:w="64" w:type="dxa"/>
            <w:tcBorders/>
            <w:shd w:fill="CCEEFF" w:val="clear"/>
            <w:vAlign w:val="center"/>
          </w:tcPr>
          <w:p>
            <w:pPr>
              <w:pStyle w:val="TableContents"/>
              <w:bidi w:val="0"/>
              <w:spacing w:before="0" w:after="0"/>
              <w:jc w:val="left"/>
              <w:rPr/>
            </w:pPr>
            <w:r>
              <w:rPr/>
              <w:t> </w:t>
            </w:r>
          </w:p>
        </w:tc>
        <w:tc>
          <w:tcPr>
            <w:tcW w:w="13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103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48,700,270</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95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44,518,132</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97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48,828,642</w:t>
            </w:r>
          </w:p>
        </w:tc>
      </w:tr>
    </w:tbl>
    <w:p>
      <w:pPr>
        <w:pStyle w:val="TextBody"/>
        <w:bidi w:val="0"/>
        <w:spacing w:lineRule="atLeast" w:line="240" w:before="0" w:after="0"/>
        <w:jc w:val="center"/>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See accompanying notes to the unaudited consolidated financial statements.</w:t>
      </w:r>
    </w:p>
    <w:p>
      <w:pPr>
        <w:pStyle w:val="TextBody"/>
        <w:bidi w:val="0"/>
        <w:spacing w:lineRule="atLeast" w:line="240"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rFonts w:ascii="Times New Roman" w:hAnsi="Times New Roman"/>
          <w:b/>
          <w:sz w:val="20"/>
        </w:rPr>
      </w:pPr>
      <w:r>
        <w:rPr>
          <w:rFonts w:ascii="Times New Roman" w:hAnsi="Times New Roman"/>
          <w:b/>
          <w:sz w:val="20"/>
        </w:rPr>
        <w:t>EURONET WORLDWIDE, INC. AND SUBSIDIARIES</w:t>
      </w:r>
    </w:p>
    <w:p>
      <w:pPr>
        <w:pStyle w:val="TextBody"/>
        <w:bidi w:val="0"/>
        <w:spacing w:lineRule="atLeast" w:line="240" w:before="0" w:after="0"/>
        <w:jc w:val="center"/>
        <w:rPr>
          <w:rFonts w:ascii="Times New Roman" w:hAnsi="Times New Roman"/>
          <w:b/>
          <w:sz w:val="20"/>
        </w:rPr>
      </w:pPr>
      <w:bookmarkStart w:id="11" w:name="TOC_c164572bc288f76e5faf"/>
      <w:bookmarkEnd w:id="11"/>
      <w:r>
        <w:rPr>
          <w:rFonts w:ascii="Times New Roman" w:hAnsi="Times New Roman"/>
          <w:b/>
          <w:sz w:val="20"/>
        </w:rPr>
        <w:t>CONSOLIDATED STATEMENTS OF COMPREHENSIVE INCOME (LOSS)</w:t>
      </w:r>
    </w:p>
    <w:p>
      <w:pPr>
        <w:pStyle w:val="TextBody"/>
        <w:bidi w:val="0"/>
        <w:spacing w:lineRule="atLeast" w:line="240" w:before="0" w:after="0"/>
        <w:jc w:val="center"/>
        <w:rPr>
          <w:rFonts w:ascii="Times New Roman" w:hAnsi="Times New Roman"/>
          <w:b/>
          <w:sz w:val="20"/>
        </w:rPr>
      </w:pPr>
      <w:r>
        <w:rPr>
          <w:rFonts w:ascii="Times New Roman" w:hAnsi="Times New Roman"/>
          <w:b/>
          <w:sz w:val="20"/>
        </w:rPr>
        <w:t>(Unaudited, in millions)</w:t>
      </w:r>
    </w:p>
    <w:p>
      <w:pPr>
        <w:pStyle w:val="TextBody"/>
        <w:bidi w:val="0"/>
        <w:spacing w:lineRule="atLeast" w:line="240" w:before="0" w:after="0"/>
        <w:jc w:val="center"/>
        <w:rPr/>
      </w:pPr>
      <w:r>
        <w:rPr/>
        <w:t> </w:t>
      </w:r>
    </w:p>
    <w:tbl>
      <w:tblPr>
        <w:tblW w:w="10145" w:type="dxa"/>
        <w:jc w:val="left"/>
        <w:tblInd w:w="0" w:type="dxa"/>
        <w:tblLayout w:type="fixed"/>
        <w:tblCellMar>
          <w:top w:w="0" w:type="dxa"/>
          <w:left w:w="0" w:type="dxa"/>
          <w:bottom w:w="0" w:type="dxa"/>
          <w:right w:w="0" w:type="dxa"/>
        </w:tblCellMar>
      </w:tblPr>
      <w:tblGrid>
        <w:gridCol w:w="5660"/>
        <w:gridCol w:w="125"/>
        <w:gridCol w:w="903"/>
        <w:gridCol w:w="111"/>
        <w:gridCol w:w="232"/>
        <w:gridCol w:w="931"/>
        <w:gridCol w:w="60"/>
        <w:gridCol w:w="125"/>
        <w:gridCol w:w="818"/>
        <w:gridCol w:w="101"/>
        <w:gridCol w:w="210"/>
        <w:gridCol w:w="869"/>
      </w:tblGrid>
      <w:tr>
        <w:trPr/>
        <w:tc>
          <w:tcPr>
            <w:tcW w:w="56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177"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998"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w:t>
            </w:r>
          </w:p>
        </w:tc>
      </w:tr>
      <w:tr>
        <w:trPr/>
        <w:tc>
          <w:tcPr>
            <w:tcW w:w="56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0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111" w:type="dxa"/>
            <w:tcBorders>
              <w:top w:val="single" w:sz="8" w:space="0" w:color="000000"/>
            </w:tcBorders>
            <w:tcMar>
              <w:top w:w="28" w:type="dxa"/>
            </w:tcMar>
            <w:vAlign w:val="center"/>
          </w:tcPr>
          <w:p>
            <w:pPr>
              <w:pStyle w:val="TableContents"/>
              <w:bidi w:val="0"/>
              <w:spacing w:before="0" w:after="0"/>
              <w:jc w:val="left"/>
              <w:rPr/>
            </w:pPr>
            <w:r>
              <w:rPr/>
              <w:t> </w:t>
            </w:r>
          </w:p>
        </w:tc>
        <w:tc>
          <w:tcPr>
            <w:tcW w:w="23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3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1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101" w:type="dxa"/>
            <w:tcBorders>
              <w:top w:val="single" w:sz="8" w:space="0" w:color="000000"/>
            </w:tcBorders>
            <w:tcMar>
              <w:top w:w="28" w:type="dxa"/>
            </w:tcMar>
            <w:vAlign w:val="center"/>
          </w:tcPr>
          <w:p>
            <w:pPr>
              <w:pStyle w:val="TableContents"/>
              <w:bidi w:val="0"/>
              <w:spacing w:before="0" w:after="0"/>
              <w:jc w:val="left"/>
              <w:rPr/>
            </w:pPr>
            <w:r>
              <w:rPr/>
              <w:t> </w:t>
            </w:r>
          </w:p>
        </w:tc>
        <w:tc>
          <w:tcPr>
            <w:tcW w:w="21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6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r>
      <w:tr>
        <w:trPr/>
        <w:tc>
          <w:tcPr>
            <w:tcW w:w="5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97.7</w:t>
            </w:r>
          </w:p>
        </w:tc>
        <w:tc>
          <w:tcPr>
            <w:tcW w:w="111" w:type="dxa"/>
            <w:tcBorders/>
            <w:shd w:fill="CCEEFF" w:val="clear"/>
            <w:vAlign w:val="center"/>
          </w:tcPr>
          <w:p>
            <w:pPr>
              <w:pStyle w:val="TableContents"/>
              <w:bidi w:val="0"/>
              <w:spacing w:before="0" w:after="0"/>
              <w:jc w:val="left"/>
              <w:rPr/>
            </w:pPr>
            <w:r>
              <w:rPr/>
              <w:t> </w:t>
            </w:r>
          </w:p>
        </w:tc>
        <w:tc>
          <w:tcPr>
            <w:tcW w:w="232"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83.2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136.1</w:t>
            </w:r>
          </w:p>
        </w:tc>
        <w:tc>
          <w:tcPr>
            <w:tcW w:w="101" w:type="dxa"/>
            <w:tcBorders/>
            <w:shd w:fill="CCEEFF" w:val="clear"/>
            <w:vAlign w:val="center"/>
          </w:tcPr>
          <w:p>
            <w:pPr>
              <w:pStyle w:val="TableContents"/>
              <w:bidi w:val="0"/>
              <w:spacing w:before="0" w:after="0"/>
              <w:jc w:val="left"/>
              <w:rPr/>
            </w:pPr>
            <w:r>
              <w:rPr/>
              <w:t> </w:t>
            </w:r>
          </w:p>
        </w:tc>
        <w:tc>
          <w:tcPr>
            <w:tcW w:w="21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9"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109.4</w:t>
            </w:r>
          </w:p>
        </w:tc>
      </w:tr>
      <w:tr>
        <w:trPr/>
        <w:tc>
          <w:tcPr>
            <w:tcW w:w="566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Translation adjustment</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186.0</w:t>
            </w:r>
          </w:p>
        </w:tc>
        <w:tc>
          <w:tcPr>
            <w:tcW w:w="111" w:type="dxa"/>
            <w:tcBorders/>
            <w:shd w:fill="FFFFFF" w:val="clear"/>
            <w:vAlign w:val="center"/>
          </w:tcPr>
          <w:p>
            <w:pPr>
              <w:pStyle w:val="TableContents"/>
              <w:bidi w:val="0"/>
              <w:spacing w:before="0" w:after="0"/>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31"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10.0</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818"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270.0</w:t>
            </w:r>
          </w:p>
        </w:tc>
        <w:tc>
          <w:tcPr>
            <w:tcW w:w="101" w:type="dxa"/>
            <w:tcBorders/>
            <w:shd w:fill="FFFFFF" w:val="clear"/>
            <w:vAlign w:val="center"/>
          </w:tcPr>
          <w:p>
            <w:pPr>
              <w:pStyle w:val="TableContents"/>
              <w:bidi w:val="0"/>
              <w:spacing w:before="0" w:after="0"/>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55.0</w:t>
            </w:r>
            <w:r>
              <w:rPr>
                <w:rFonts w:ascii="Times New Roman" w:hAnsi="Times New Roman"/>
                <w:sz w:val="20"/>
              </w:rPr>
              <w:t>)</w:t>
            </w:r>
          </w:p>
        </w:tc>
      </w:tr>
      <w:tr>
        <w:trPr/>
        <w:tc>
          <w:tcPr>
            <w:tcW w:w="566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Comprehensive income (loss)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0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283.7</w:t>
            </w:r>
          </w:p>
        </w:tc>
        <w:tc>
          <w:tcPr>
            <w:tcW w:w="111" w:type="dxa"/>
            <w:tcBorders/>
            <w:shd w:fill="CCEEFF" w:val="clear"/>
            <w:vAlign w:val="center"/>
          </w:tcPr>
          <w:p>
            <w:pPr>
              <w:pStyle w:val="TableContents"/>
              <w:bidi w:val="0"/>
              <w:spacing w:before="0" w:after="0"/>
              <w:jc w:val="left"/>
              <w:rPr/>
            </w:pPr>
            <w:r>
              <w:rPr/>
              <w:t> </w:t>
            </w:r>
          </w:p>
        </w:tc>
        <w:tc>
          <w:tcPr>
            <w:tcW w:w="232"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3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73.2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81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406.1</w:t>
            </w:r>
          </w:p>
        </w:tc>
        <w:tc>
          <w:tcPr>
            <w:tcW w:w="101" w:type="dxa"/>
            <w:tcBorders/>
            <w:shd w:fill="CCEEFF" w:val="clear"/>
            <w:vAlign w:val="center"/>
          </w:tcPr>
          <w:p>
            <w:pPr>
              <w:pStyle w:val="TableContents"/>
              <w:bidi w:val="0"/>
              <w:spacing w:before="0" w:after="0"/>
              <w:jc w:val="left"/>
              <w:rPr/>
            </w:pPr>
            <w:r>
              <w:rPr/>
              <w:t> </w:t>
            </w:r>
          </w:p>
        </w:tc>
        <w:tc>
          <w:tcPr>
            <w:tcW w:w="21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869"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54.4</w:t>
            </w:r>
          </w:p>
        </w:tc>
      </w:tr>
      <w:tr>
        <w:trPr/>
        <w:tc>
          <w:tcPr>
            <w:tcW w:w="566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Comprehensive income attributable to noncontrolling interests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111" w:type="dxa"/>
            <w:tcBorders/>
            <w:shd w:fill="FFFFFF" w:val="clear"/>
            <w:vAlign w:val="center"/>
          </w:tcPr>
          <w:p>
            <w:pPr>
              <w:pStyle w:val="TableContents"/>
              <w:bidi w:val="0"/>
              <w:spacing w:before="0" w:after="0"/>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31"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818"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0.9</w:t>
            </w:r>
            <w:r>
              <w:rPr>
                <w:rFonts w:ascii="Times New Roman" w:hAnsi="Times New Roman"/>
                <w:sz w:val="20"/>
              </w:rPr>
              <w:t>)</w:t>
            </w:r>
          </w:p>
        </w:tc>
        <w:tc>
          <w:tcPr>
            <w:tcW w:w="101" w:type="dxa"/>
            <w:tcBorders/>
            <w:shd w:fill="FFFFFF" w:val="clear"/>
            <w:vAlign w:val="center"/>
          </w:tcPr>
          <w:p>
            <w:pPr>
              <w:pStyle w:val="TableContents"/>
              <w:bidi w:val="0"/>
              <w:spacing w:before="0" w:after="0"/>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r>
      <w:tr>
        <w:trPr/>
        <w:tc>
          <w:tcPr>
            <w:tcW w:w="5660"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Comprehensive income (loss) attributable to Euronet Worldwide, Inc.</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283.8</w:t>
            </w:r>
          </w:p>
        </w:tc>
        <w:tc>
          <w:tcPr>
            <w:tcW w:w="111" w:type="dxa"/>
            <w:tcBorders/>
            <w:shd w:fill="CCEEFF" w:val="clear"/>
            <w:vAlign w:val="center"/>
          </w:tcPr>
          <w:p>
            <w:pPr>
              <w:pStyle w:val="TableContents"/>
              <w:bidi w:val="0"/>
              <w:spacing w:before="0" w:after="0"/>
              <w:jc w:val="left"/>
              <w:rPr/>
            </w:pPr>
            <w:r>
              <w:rPr/>
              <w:t> </w:t>
            </w:r>
          </w:p>
        </w:tc>
        <w:tc>
          <w:tcPr>
            <w:tcW w:w="23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73.3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405.2</w:t>
            </w:r>
          </w:p>
        </w:tc>
        <w:tc>
          <w:tcPr>
            <w:tcW w:w="101" w:type="dxa"/>
            <w:tcBorders/>
            <w:shd w:fill="CCEEFF" w:val="clear"/>
            <w:vAlign w:val="center"/>
          </w:tcPr>
          <w:p>
            <w:pPr>
              <w:pStyle w:val="TableContents"/>
              <w:bidi w:val="0"/>
              <w:spacing w:before="0" w:after="0"/>
              <w:jc w:val="left"/>
              <w:rPr/>
            </w:pPr>
            <w:r>
              <w:rPr/>
              <w:t> </w:t>
            </w:r>
          </w:p>
        </w:tc>
        <w:tc>
          <w:tcPr>
            <w:tcW w:w="21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54.5</w:t>
            </w:r>
          </w:p>
        </w:tc>
      </w:tr>
    </w:tbl>
    <w:p>
      <w:pPr>
        <w:pStyle w:val="TextBody"/>
        <w:bidi w:val="0"/>
        <w:spacing w:lineRule="atLeast" w:line="240" w:before="0" w:after="0"/>
        <w:jc w:val="center"/>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See accompanying notes to the unaudited consolidated financial statements.</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pPr>
      <w:r>
        <w:rPr/>
        <w:t> </w:t>
      </w:r>
      <w:r>
        <w:rPr>
          <w:rFonts w:ascii="Times New Roman" w:hAnsi="Times New Roman"/>
          <w:b/>
          <w:sz w:val="20"/>
        </w:rPr>
        <w:t>EURONET WORLDWIDE, INC. AND SUBSIDIARIES</w:t>
      </w:r>
    </w:p>
    <w:p>
      <w:pPr>
        <w:pStyle w:val="TextBody"/>
        <w:bidi w:val="0"/>
        <w:spacing w:lineRule="atLeast" w:line="240" w:before="0" w:after="0"/>
        <w:jc w:val="center"/>
        <w:rPr>
          <w:rFonts w:ascii="Times New Roman" w:hAnsi="Times New Roman"/>
          <w:b/>
          <w:sz w:val="20"/>
        </w:rPr>
      </w:pPr>
      <w:bookmarkStart w:id="12" w:name="TOC_c2874be597bd34072123"/>
      <w:bookmarkEnd w:id="12"/>
      <w:r>
        <w:rPr>
          <w:rFonts w:ascii="Times New Roman" w:hAnsi="Times New Roman"/>
          <w:b/>
          <w:sz w:val="20"/>
        </w:rPr>
        <w:t>CONSOLIDATED STATEMENTS OF CHANGES IN EQUITY</w:t>
      </w:r>
    </w:p>
    <w:p>
      <w:pPr>
        <w:pStyle w:val="TextBody"/>
        <w:bidi w:val="0"/>
        <w:spacing w:lineRule="atLeast" w:line="240" w:before="0" w:after="0"/>
        <w:jc w:val="center"/>
        <w:rPr>
          <w:rFonts w:ascii="Times New Roman" w:hAnsi="Times New Roman"/>
          <w:b/>
          <w:sz w:val="20"/>
        </w:rPr>
      </w:pPr>
      <w:r>
        <w:rPr>
          <w:rFonts w:ascii="Times New Roman" w:hAnsi="Times New Roman"/>
          <w:b/>
          <w:sz w:val="20"/>
        </w:rPr>
        <w:t>(Unaudited, in millions, except share data)</w:t>
      </w:r>
    </w:p>
    <w:p>
      <w:pPr>
        <w:pStyle w:val="TextBody"/>
        <w:bidi w:val="0"/>
        <w:spacing w:lineRule="atLeast" w:line="240" w:before="0" w:after="0"/>
        <w:jc w:val="center"/>
        <w:rPr/>
      </w:pPr>
      <w:r>
        <w:rPr/>
        <w:t>  </w:t>
      </w:r>
    </w:p>
    <w:tbl>
      <w:tblPr>
        <w:tblW w:w="9595" w:type="dxa"/>
        <w:jc w:val="left"/>
        <w:tblInd w:w="0" w:type="dxa"/>
        <w:tblLayout w:type="fixed"/>
        <w:tblCellMar>
          <w:top w:w="0" w:type="dxa"/>
          <w:left w:w="0" w:type="dxa"/>
          <w:bottom w:w="0" w:type="dxa"/>
          <w:right w:w="0" w:type="dxa"/>
        </w:tblCellMar>
      </w:tblPr>
      <w:tblGrid>
        <w:gridCol w:w="3365"/>
        <w:gridCol w:w="2270"/>
        <w:gridCol w:w="60"/>
        <w:gridCol w:w="125"/>
        <w:gridCol w:w="1130"/>
        <w:gridCol w:w="60"/>
        <w:gridCol w:w="125"/>
        <w:gridCol w:w="1130"/>
        <w:gridCol w:w="60"/>
        <w:gridCol w:w="125"/>
        <w:gridCol w:w="1145"/>
      </w:tblGrid>
      <w:tr>
        <w:trPr/>
        <w:tc>
          <w:tcPr>
            <w:tcW w:w="3365" w:type="dxa"/>
            <w:tcBorders/>
            <w:vAlign w:val="center"/>
          </w:tcPr>
          <w:p>
            <w:pPr>
              <w:pStyle w:val="TableContents"/>
              <w:bidi w:val="0"/>
              <w:spacing w:before="0" w:after="0"/>
              <w:jc w:val="left"/>
              <w:rPr/>
            </w:pPr>
            <w:r>
              <w:rPr/>
              <w:t> </w:t>
            </w:r>
          </w:p>
        </w:tc>
        <w:tc>
          <w:tcPr>
            <w:tcW w:w="227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Number of Shares Outstanding</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Common Stock</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Additional</w:t>
            </w:r>
          </w:p>
          <w:p>
            <w:pPr>
              <w:pStyle w:val="TableContents"/>
              <w:bidi w:val="0"/>
              <w:spacing w:before="0" w:after="0"/>
              <w:jc w:val="center"/>
              <w:rPr>
                <w:rFonts w:ascii="Times New Roman" w:hAnsi="Times New Roman"/>
                <w:b/>
                <w:sz w:val="16"/>
              </w:rPr>
            </w:pPr>
            <w:r>
              <w:rPr>
                <w:rFonts w:ascii="Times New Roman" w:hAnsi="Times New Roman"/>
                <w:b/>
                <w:sz w:val="16"/>
              </w:rPr>
              <w:t>Paid-in Capital</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Treasury Stock</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227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45,777,962</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1,311.6</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1,487.7</w:t>
            </w:r>
            <w:r>
              <w:rPr>
                <w:rFonts w:ascii="Times New Roman" w:hAnsi="Times New Roman"/>
                <w:sz w:val="20"/>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270"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right"/>
              <w:rPr/>
            </w:pPr>
            <w:r>
              <w:rPr/>
              <w:t> </w:t>
            </w:r>
          </w:p>
        </w:tc>
        <w:tc>
          <w:tcPr>
            <w:tcW w:w="1130"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color w:val="333333"/>
              </w:rPr>
            </w:pPr>
            <w:r>
              <w:rPr>
                <w:color w:val="333333"/>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227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right"/>
              <w:rPr/>
            </w:pPr>
            <w:r>
              <w:rPr/>
              <w:t> </w:t>
            </w:r>
          </w:p>
        </w:tc>
        <w:tc>
          <w:tcPr>
            <w:tcW w:w="113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color w:val="333333"/>
              </w:rPr>
            </w:pPr>
            <w:r>
              <w:rPr>
                <w:color w:val="333333"/>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22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90,812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0.7</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0.5</w:t>
            </w:r>
            <w:r>
              <w:rPr>
                <w:rFonts w:ascii="Times New Roman" w:hAnsi="Times New Roman"/>
                <w:sz w:val="20"/>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227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right"/>
              <w:rPr/>
            </w:pPr>
            <w:r>
              <w:rPr/>
              <w:t> </w:t>
            </w:r>
          </w:p>
        </w:tc>
        <w:tc>
          <w:tcPr>
            <w:tcW w:w="113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12.5</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color w:val="333333"/>
              </w:rPr>
            </w:pPr>
            <w:r>
              <w:rPr>
                <w:color w:val="333333"/>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227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March 31, 2024</w:t>
            </w:r>
          </w:p>
        </w:tc>
        <w:tc>
          <w:tcPr>
            <w:tcW w:w="227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45,868,774</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1,324.8</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45"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1,488.2</w:t>
            </w:r>
            <w:r>
              <w:rPr>
                <w:rFonts w:ascii="Times New Roman" w:hAnsi="Times New Roman"/>
                <w:sz w:val="20"/>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27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pPr>
            <w:r>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227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pPr>
            <w:r>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22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38,576</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1.4</w:t>
            </w:r>
            <w:r>
              <w:rPr>
                <w:rFonts w:ascii="Times New Roman" w:hAnsi="Times New Roman"/>
                <w:sz w:val="20"/>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227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10.2</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pPr>
            <w:r>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2270"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1,000,000</w:t>
            </w: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113.9</w:t>
            </w:r>
            <w:r>
              <w:rPr>
                <w:rFonts w:ascii="Times New Roman" w:hAnsi="Times New Roman"/>
                <w:sz w:val="20"/>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30, 2024</w:t>
            </w:r>
          </w:p>
        </w:tc>
        <w:tc>
          <w:tcPr>
            <w:tcW w:w="227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44,907,350</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1,336.9</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1,603.5</w:t>
            </w:r>
            <w:r>
              <w:rPr>
                <w:rFonts w:ascii="Times New Roman" w:hAnsi="Times New Roman"/>
                <w:sz w:val="20"/>
              </w:rPr>
              <w:t>)</w:t>
            </w:r>
          </w:p>
        </w:tc>
      </w:tr>
    </w:tbl>
    <w:p>
      <w:pPr>
        <w:pStyle w:val="TextBody"/>
        <w:bidi w:val="0"/>
        <w:spacing w:before="0" w:after="0"/>
        <w:jc w:val="center"/>
        <w:rPr/>
      </w:pPr>
      <w:r>
        <w:rPr/>
        <w:t xml:space="preserve">    </w:t>
      </w:r>
    </w:p>
    <w:tbl>
      <w:tblPr>
        <w:tblW w:w="9595" w:type="dxa"/>
        <w:jc w:val="left"/>
        <w:tblInd w:w="0" w:type="dxa"/>
        <w:tblLayout w:type="fixed"/>
        <w:tblCellMar>
          <w:top w:w="0" w:type="dxa"/>
          <w:left w:w="0" w:type="dxa"/>
          <w:bottom w:w="0" w:type="dxa"/>
          <w:right w:w="0" w:type="dxa"/>
        </w:tblCellMar>
      </w:tblPr>
      <w:tblGrid>
        <w:gridCol w:w="3365"/>
        <w:gridCol w:w="2270"/>
        <w:gridCol w:w="60"/>
        <w:gridCol w:w="125"/>
        <w:gridCol w:w="1130"/>
        <w:gridCol w:w="60"/>
        <w:gridCol w:w="125"/>
        <w:gridCol w:w="1130"/>
        <w:gridCol w:w="60"/>
        <w:gridCol w:w="125"/>
        <w:gridCol w:w="1145"/>
      </w:tblGrid>
      <w:tr>
        <w:trPr/>
        <w:tc>
          <w:tcPr>
            <w:tcW w:w="3365" w:type="dxa"/>
            <w:tcBorders/>
            <w:vAlign w:val="center"/>
          </w:tcPr>
          <w:p>
            <w:pPr>
              <w:pStyle w:val="TableContents"/>
              <w:bidi w:val="0"/>
              <w:spacing w:before="0" w:after="0"/>
              <w:jc w:val="left"/>
              <w:rPr/>
            </w:pPr>
            <w:r>
              <w:rPr/>
              <w:t> </w:t>
            </w:r>
          </w:p>
        </w:tc>
        <w:tc>
          <w:tcPr>
            <w:tcW w:w="227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Number of Shares Outstanding</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Common Stock</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Additional</w:t>
            </w:r>
          </w:p>
          <w:p>
            <w:pPr>
              <w:pStyle w:val="TableContents"/>
              <w:bidi w:val="0"/>
              <w:spacing w:before="0" w:after="0"/>
              <w:jc w:val="center"/>
              <w:rPr>
                <w:rFonts w:ascii="Times New Roman" w:hAnsi="Times New Roman"/>
                <w:b/>
                <w:sz w:val="16"/>
              </w:rPr>
            </w:pPr>
            <w:r>
              <w:rPr>
                <w:rFonts w:ascii="Times New Roman" w:hAnsi="Times New Roman"/>
                <w:b/>
                <w:sz w:val="16"/>
              </w:rPr>
              <w:t>Paid-in Capital</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Treasury Stock</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2024</w:t>
            </w:r>
          </w:p>
        </w:tc>
        <w:tc>
          <w:tcPr>
            <w:tcW w:w="227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43,727,615</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1,370.1</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1,755.2</w:t>
            </w:r>
            <w:r>
              <w:rPr>
                <w:rFonts w:ascii="Times New Roman" w:hAnsi="Times New Roman"/>
                <w:sz w:val="20"/>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70"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color w:val="333333"/>
              </w:rPr>
            </w:pPr>
            <w:r>
              <w:rPr>
                <w:color w:val="333333"/>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227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color w:val="333333"/>
              </w:rPr>
            </w:pPr>
            <w:r>
              <w:rPr>
                <w:color w:val="333333"/>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22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108,333</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0.8</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2.3</w:t>
            </w:r>
            <w:r>
              <w:rPr>
                <w:rFonts w:ascii="Times New Roman" w:hAnsi="Times New Roman"/>
                <w:sz w:val="20"/>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227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11.2</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color w:val="333333"/>
              </w:rPr>
            </w:pPr>
            <w:r>
              <w:rPr>
                <w:color w:val="333333"/>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2270"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591,258</w:t>
            </w: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59.6</w:t>
            </w:r>
            <w:r>
              <w:rPr>
                <w:rFonts w:ascii="Times New Roman" w:hAnsi="Times New Roman"/>
                <w:sz w:val="20"/>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March 31, 2025</w:t>
            </w:r>
          </w:p>
        </w:tc>
        <w:tc>
          <w:tcPr>
            <w:tcW w:w="227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43,244,690</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1,382.1</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45"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1,817.1</w:t>
            </w:r>
            <w:r>
              <w:rPr>
                <w:rFonts w:ascii="Times New Roman" w:hAnsi="Times New Roman"/>
                <w:sz w:val="20"/>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7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pPr>
            <w:r>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227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pPr>
            <w:r>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22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38,433</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r>
      <w:tr>
        <w:trPr/>
        <w:tc>
          <w:tcPr>
            <w:tcW w:w="3365" w:type="dxa"/>
            <w:tcBorders/>
            <w:shd w:fill="CCEEFF" w:val="clear"/>
            <w:vAlign w:val="center"/>
          </w:tcPr>
          <w:p>
            <w:pPr>
              <w:pStyle w:val="TableContents"/>
              <w:bidi w:val="0"/>
              <w:spacing w:before="0" w:after="0"/>
              <w:jc w:val="left"/>
              <w:rPr>
                <w:sz w:val="20"/>
              </w:rPr>
            </w:pPr>
            <w:r>
              <w:rPr>
                <w:rFonts w:ascii="Times New Roman" w:hAnsi="Times New Roman"/>
                <w:sz w:val="20"/>
              </w:rPr>
              <w:t xml:space="preserve">Share-based </w:t>
            </w:r>
            <w:r>
              <w:rPr>
                <w:sz w:val="20"/>
              </w:rPr>
              <w:t>compensation</w:t>
            </w:r>
          </w:p>
        </w:tc>
        <w:tc>
          <w:tcPr>
            <w:tcW w:w="227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14.0</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pPr>
            <w:r>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w:t>
            </w:r>
          </w:p>
        </w:tc>
        <w:tc>
          <w:tcPr>
            <w:tcW w:w="227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pPr>
            <w:r>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2270"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2,287,052</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249.6</w:t>
            </w:r>
            <w:r>
              <w:rPr>
                <w:rFonts w:ascii="Times New Roman" w:hAnsi="Times New Roman"/>
                <w:sz w:val="20"/>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30, 2025</w:t>
            </w:r>
          </w:p>
        </w:tc>
        <w:tc>
          <w:tcPr>
            <w:tcW w:w="227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40,996,071</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1,397.6</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2,066.6</w:t>
            </w:r>
            <w:r>
              <w:rPr>
                <w:rFonts w:ascii="Times New Roman" w:hAnsi="Times New Roman"/>
                <w:sz w:val="20"/>
              </w:rPr>
              <w:t>)</w:t>
            </w:r>
          </w:p>
        </w:tc>
      </w:tr>
    </w:tbl>
    <w:p>
      <w:pPr>
        <w:pStyle w:val="TextBody"/>
        <w:bidi w:val="0"/>
        <w:spacing w:lineRule="atLeast" w:line="240"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pPr>
      <w:r>
        <w:rPr/>
        <w:t> </w:t>
      </w:r>
      <w:r>
        <w:rPr>
          <w:rFonts w:ascii="Times New Roman" w:hAnsi="Times New Roman"/>
          <w:b/>
          <w:sz w:val="20"/>
        </w:rPr>
        <w:t>EURONET WORLDWIDE, INC. AND SUBSIDIARIES</w:t>
      </w:r>
    </w:p>
    <w:p>
      <w:pPr>
        <w:pStyle w:val="TextBody"/>
        <w:bidi w:val="0"/>
        <w:spacing w:lineRule="atLeast" w:line="240" w:before="0" w:after="0"/>
        <w:jc w:val="center"/>
        <w:rPr>
          <w:rFonts w:ascii="Times New Roman" w:hAnsi="Times New Roman"/>
          <w:b/>
          <w:sz w:val="20"/>
        </w:rPr>
      </w:pPr>
      <w:r>
        <w:rPr>
          <w:rFonts w:ascii="Times New Roman" w:hAnsi="Times New Roman"/>
          <w:b/>
          <w:sz w:val="20"/>
        </w:rPr>
        <w:t>CONSOLIDATED STATEMENTS OF CHANGES IN EQUITY</w:t>
      </w:r>
    </w:p>
    <w:p>
      <w:pPr>
        <w:pStyle w:val="TextBody"/>
        <w:bidi w:val="0"/>
        <w:spacing w:lineRule="atLeast" w:line="240" w:before="0" w:after="0"/>
        <w:jc w:val="center"/>
        <w:rPr>
          <w:rFonts w:ascii="Times New Roman" w:hAnsi="Times New Roman"/>
          <w:b/>
          <w:sz w:val="20"/>
        </w:rPr>
      </w:pPr>
      <w:r>
        <w:rPr>
          <w:rFonts w:ascii="Times New Roman" w:hAnsi="Times New Roman"/>
          <w:b/>
          <w:sz w:val="20"/>
        </w:rPr>
        <w:t>(Unaudited, in millions, except share data)</w:t>
      </w:r>
    </w:p>
    <w:p>
      <w:pPr>
        <w:pStyle w:val="TextBody"/>
        <w:bidi w:val="0"/>
        <w:spacing w:lineRule="atLeast" w:line="240" w:before="0" w:after="0"/>
        <w:jc w:val="left"/>
        <w:rPr/>
      </w:pPr>
      <w:r>
        <w:rPr/>
        <w:t> </w:t>
      </w:r>
    </w:p>
    <w:tbl>
      <w:tblPr>
        <w:tblW w:w="10185" w:type="dxa"/>
        <w:jc w:val="left"/>
        <w:tblInd w:w="0" w:type="dxa"/>
        <w:tblLayout w:type="fixed"/>
        <w:tblCellMar>
          <w:top w:w="0" w:type="dxa"/>
          <w:left w:w="0" w:type="dxa"/>
          <w:bottom w:w="0" w:type="dxa"/>
          <w:right w:w="0" w:type="dxa"/>
        </w:tblCellMar>
      </w:tblPr>
      <w:tblGrid>
        <w:gridCol w:w="3365"/>
        <w:gridCol w:w="125"/>
        <w:gridCol w:w="1415"/>
        <w:gridCol w:w="60"/>
        <w:gridCol w:w="125"/>
        <w:gridCol w:w="2960"/>
        <w:gridCol w:w="60"/>
        <w:gridCol w:w="125"/>
        <w:gridCol w:w="1115"/>
        <w:gridCol w:w="60"/>
        <w:gridCol w:w="125"/>
        <w:gridCol w:w="650"/>
      </w:tblGrid>
      <w:tr>
        <w:trPr/>
        <w:tc>
          <w:tcPr>
            <w:tcW w:w="3365"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415" w:type="dxa"/>
            <w:tcBorders>
              <w:bottom w:val="single" w:sz="8" w:space="0" w:color="000000"/>
            </w:tcBorders>
            <w:tcMar>
              <w:bottom w:w="28" w:type="dxa"/>
            </w:tcMar>
            <w:vAlign w:val="center"/>
          </w:tcPr>
          <w:p>
            <w:pPr>
              <w:pStyle w:val="TableContents"/>
              <w:bidi w:val="0"/>
              <w:spacing w:before="0" w:after="0"/>
              <w:jc w:val="center"/>
              <w:rPr/>
            </w:pPr>
            <w:r>
              <w:rPr/>
              <w:t> </w:t>
            </w:r>
            <w:r>
              <w:rPr>
                <w:rFonts w:ascii="Times New Roman" w:hAnsi="Times New Roman"/>
                <w:b/>
                <w:sz w:val="16"/>
              </w:rPr>
              <w:t>Retained Earnings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9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Accumulated Other Comprehensive Loss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Noncontrolling</w:t>
            </w:r>
          </w:p>
          <w:p>
            <w:pPr>
              <w:pStyle w:val="TableContents"/>
              <w:bidi w:val="0"/>
              <w:spacing w:before="0" w:after="0"/>
              <w:jc w:val="center"/>
              <w:rPr>
                <w:rFonts w:ascii="Times New Roman" w:hAnsi="Times New Roman"/>
                <w:b/>
                <w:sz w:val="16"/>
              </w:rPr>
            </w:pPr>
            <w:r>
              <w:rPr>
                <w:rFonts w:ascii="Times New Roman" w:hAnsi="Times New Roman"/>
                <w:b/>
                <w:sz w:val="16"/>
              </w:rPr>
              <w:t>Interests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1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1,627.9</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960"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203.2</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5"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0.2</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1,249.7</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26.2</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25"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right"/>
              <w:rPr/>
            </w:pPr>
            <w:r>
              <w:rPr/>
              <w:t> </w:t>
            </w:r>
          </w:p>
        </w:tc>
        <w:tc>
          <w:tcPr>
            <w:tcW w:w="2960"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45.0</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115"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right"/>
              <w:rPr/>
            </w:pPr>
            <w:r>
              <w:rPr/>
              <w:t> </w:t>
            </w:r>
          </w:p>
        </w:tc>
        <w:tc>
          <w:tcPr>
            <w:tcW w:w="650"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45.0</w:t>
            </w:r>
            <w:r>
              <w:rPr>
                <w:rFonts w:ascii="Times New Roman" w:hAnsi="Times New Roman"/>
                <w:sz w:val="20"/>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15"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righ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5"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296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115"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righ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12.5</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15"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296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March 31, 2024</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1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1,654.1</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2960"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248.2</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1115"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0.2</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5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1,243.6</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83.1</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83.2</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25"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2960"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10.1</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1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650"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10.0</w:t>
            </w:r>
            <w:r>
              <w:rPr>
                <w:rFonts w:ascii="Times New Roman" w:hAnsi="Times New Roman"/>
                <w:sz w:val="20"/>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0.5</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5"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296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1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10.2</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15"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296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113.9</w:t>
            </w:r>
            <w:r>
              <w:rPr>
                <w:rFonts w:ascii="Times New Roman" w:hAnsi="Times New Roman"/>
                <w:sz w:val="20"/>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30, 2024</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1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1,737.3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96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258.3</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0.1</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1,213.6</w:t>
            </w:r>
          </w:p>
        </w:tc>
      </w:tr>
    </w:tbl>
    <w:p>
      <w:pPr>
        <w:pStyle w:val="TextBody"/>
        <w:bidi w:val="0"/>
        <w:spacing w:lineRule="atLeast" w:line="240" w:before="0" w:after="0"/>
        <w:jc w:val="left"/>
        <w:rPr/>
      </w:pPr>
      <w:r>
        <w:rPr/>
        <w:t> </w:t>
      </w:r>
    </w:p>
    <w:tbl>
      <w:tblPr>
        <w:tblW w:w="10185" w:type="dxa"/>
        <w:jc w:val="left"/>
        <w:tblInd w:w="0" w:type="dxa"/>
        <w:tblLayout w:type="fixed"/>
        <w:tblCellMar>
          <w:top w:w="0" w:type="dxa"/>
          <w:left w:w="0" w:type="dxa"/>
          <w:bottom w:w="0" w:type="dxa"/>
          <w:right w:w="0" w:type="dxa"/>
        </w:tblCellMar>
      </w:tblPr>
      <w:tblGrid>
        <w:gridCol w:w="3365"/>
        <w:gridCol w:w="125"/>
        <w:gridCol w:w="1415"/>
        <w:gridCol w:w="60"/>
        <w:gridCol w:w="125"/>
        <w:gridCol w:w="2960"/>
        <w:gridCol w:w="60"/>
        <w:gridCol w:w="125"/>
        <w:gridCol w:w="1115"/>
        <w:gridCol w:w="60"/>
        <w:gridCol w:w="125"/>
        <w:gridCol w:w="650"/>
      </w:tblGrid>
      <w:tr>
        <w:trPr/>
        <w:tc>
          <w:tcPr>
            <w:tcW w:w="3365"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415" w:type="dxa"/>
            <w:tcBorders>
              <w:bottom w:val="single" w:sz="8" w:space="0" w:color="000000"/>
            </w:tcBorders>
            <w:tcMar>
              <w:bottom w:w="28" w:type="dxa"/>
            </w:tcMar>
            <w:vAlign w:val="center"/>
          </w:tcPr>
          <w:p>
            <w:pPr>
              <w:pStyle w:val="TableContents"/>
              <w:bidi w:val="0"/>
              <w:spacing w:before="0" w:after="0"/>
              <w:jc w:val="center"/>
              <w:rPr/>
            </w:pPr>
            <w:r>
              <w:rPr/>
              <w:t> </w:t>
            </w:r>
            <w:r>
              <w:rPr>
                <w:rFonts w:ascii="Times New Roman" w:hAnsi="Times New Roman"/>
                <w:b/>
                <w:sz w:val="16"/>
              </w:rPr>
              <w:t>Retained Earnings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9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Accumulated Other Comprehensive Loss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Noncontrolling</w:t>
            </w:r>
          </w:p>
          <w:p>
            <w:pPr>
              <w:pStyle w:val="TableContents"/>
              <w:bidi w:val="0"/>
              <w:spacing w:before="0" w:after="0"/>
              <w:jc w:val="center"/>
              <w:rPr>
                <w:rFonts w:ascii="Times New Roman" w:hAnsi="Times New Roman"/>
                <w:b/>
                <w:sz w:val="16"/>
              </w:rPr>
            </w:pPr>
            <w:r>
              <w:rPr>
                <w:rFonts w:ascii="Times New Roman" w:hAnsi="Times New Roman"/>
                <w:b/>
                <w:sz w:val="16"/>
              </w:rPr>
              <w:t>Interests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2024</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1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1,934.0</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960"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321.5</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0.5</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1,229.2</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38.4</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15"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38.4</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125"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296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85.0</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right"/>
              <w:rPr>
                <w:sz w:val="20"/>
              </w:rPr>
            </w:pPr>
            <w:r>
              <w:rPr>
                <w:rFonts w:ascii="Times New Roman" w:hAnsi="Times New Roman"/>
                <w:color w:val="333333"/>
                <w:sz w:val="20"/>
              </w:rPr>
              <w:t>(</w:t>
            </w:r>
            <w:r>
              <w:rPr>
                <w:color w:val="333333"/>
                <w:sz w:val="20"/>
              </w:rPr>
              <w:t>1.0</w:t>
            </w:r>
            <w:r>
              <w:rPr>
                <w:rFonts w:ascii="Times New Roman" w:hAnsi="Times New Roman"/>
                <w:color w:val="333333"/>
                <w:sz w:val="20"/>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84.0</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15"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650"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1.5</w:t>
            </w:r>
            <w:r>
              <w:rPr>
                <w:rFonts w:ascii="Times New Roman" w:hAnsi="Times New Roman"/>
                <w:sz w:val="20"/>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5"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296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11.2</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15"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296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59.6</w:t>
            </w:r>
            <w:r>
              <w:rPr>
                <w:rFonts w:ascii="Times New Roman" w:hAnsi="Times New Roman"/>
                <w:sz w:val="20"/>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March 31, 2025</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1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1,972.4</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2960"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236.5</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15"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0.5</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5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1,301.7</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97.6</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97.7</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125"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296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185.9</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186.0</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5"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296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14.0</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12.0</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12.0</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1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96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1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249.6</w:t>
            </w:r>
            <w:r>
              <w:rPr>
                <w:rFonts w:ascii="Times New Roman" w:hAnsi="Times New Roman"/>
                <w:sz w:val="20"/>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30, 2025</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1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2,070.0</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96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50.6</w:t>
            </w: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1,363.4</w:t>
            </w:r>
          </w:p>
        </w:tc>
      </w:tr>
    </w:tbl>
    <w:p>
      <w:pPr>
        <w:pStyle w:val="TextBody"/>
        <w:bidi w:val="0"/>
        <w:spacing w:lineRule="atLeast" w:line="240" w:before="0" w:after="0"/>
        <w:jc w:val="center"/>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See accompanying notes to the unaudited consolidated financial statements.</w:t>
      </w:r>
    </w:p>
    <w:p>
      <w:pPr>
        <w:pStyle w:val="TextBody"/>
        <w:bidi w:val="0"/>
        <w:spacing w:lineRule="atLeast" w:line="240"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rFonts w:ascii="Times New Roman" w:hAnsi="Times New Roman"/>
          <w:b/>
          <w:sz w:val="20"/>
        </w:rPr>
      </w:pPr>
      <w:r>
        <w:rPr>
          <w:rFonts w:ascii="Times New Roman" w:hAnsi="Times New Roman"/>
          <w:b/>
          <w:sz w:val="20"/>
        </w:rPr>
        <w:t>EURONET WORLDWIDE, INC. AND SUBSIDIARIES</w:t>
      </w:r>
    </w:p>
    <w:p>
      <w:pPr>
        <w:pStyle w:val="TextBody"/>
        <w:bidi w:val="0"/>
        <w:spacing w:lineRule="atLeast" w:line="240" w:before="0" w:after="0"/>
        <w:jc w:val="center"/>
        <w:rPr>
          <w:rFonts w:ascii="Times New Roman" w:hAnsi="Times New Roman"/>
          <w:b/>
          <w:sz w:val="20"/>
        </w:rPr>
      </w:pPr>
      <w:bookmarkStart w:id="13" w:name="TOC_c1e78c691e171e77fc9c"/>
      <w:bookmarkEnd w:id="13"/>
      <w:r>
        <w:rPr>
          <w:rFonts w:ascii="Times New Roman" w:hAnsi="Times New Roman"/>
          <w:b/>
          <w:sz w:val="20"/>
        </w:rPr>
        <w:t>CONSOLIDATED STATEMENTS OF CASH FLOWS</w:t>
      </w:r>
    </w:p>
    <w:p>
      <w:pPr>
        <w:pStyle w:val="TextBody"/>
        <w:bidi w:val="0"/>
        <w:spacing w:lineRule="atLeast" w:line="240" w:before="0" w:after="0"/>
        <w:jc w:val="center"/>
        <w:rPr>
          <w:rFonts w:ascii="Times New Roman" w:hAnsi="Times New Roman"/>
          <w:b/>
          <w:sz w:val="20"/>
        </w:rPr>
      </w:pPr>
      <w:r>
        <w:rPr>
          <w:rFonts w:ascii="Times New Roman" w:hAnsi="Times New Roman"/>
          <w:b/>
          <w:sz w:val="20"/>
        </w:rPr>
        <w:t>(Unaudited, in millions)</w:t>
      </w:r>
    </w:p>
    <w:p>
      <w:pPr>
        <w:pStyle w:val="TextBody"/>
        <w:bidi w:val="0"/>
        <w:spacing w:lineRule="atLeast" w:line="240" w:before="0" w:after="0"/>
        <w:jc w:val="center"/>
        <w:rPr/>
      </w:pPr>
      <w:r>
        <w:rPr/>
        <w:t> </w:t>
      </w:r>
    </w:p>
    <w:tbl>
      <w:tblPr>
        <w:tblW w:w="9597" w:type="dxa"/>
        <w:jc w:val="left"/>
        <w:tblInd w:w="0" w:type="dxa"/>
        <w:tblLayout w:type="fixed"/>
        <w:tblCellMar>
          <w:top w:w="0" w:type="dxa"/>
          <w:left w:w="0" w:type="dxa"/>
          <w:bottom w:w="0" w:type="dxa"/>
          <w:right w:w="0" w:type="dxa"/>
        </w:tblCellMar>
      </w:tblPr>
      <w:tblGrid>
        <w:gridCol w:w="7430"/>
        <w:gridCol w:w="125"/>
        <w:gridCol w:w="902"/>
        <w:gridCol w:w="71"/>
        <w:gridCol w:w="149"/>
        <w:gridCol w:w="920"/>
      </w:tblGrid>
      <w:tr>
        <w:trPr/>
        <w:tc>
          <w:tcPr>
            <w:tcW w:w="743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042"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 xml:space="preserve">Six Months Ended June 30, </w:t>
            </w:r>
          </w:p>
        </w:tc>
      </w:tr>
      <w:tr>
        <w:trPr/>
        <w:tc>
          <w:tcPr>
            <w:tcW w:w="743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0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71" w:type="dxa"/>
            <w:tcBorders>
              <w:top w:val="single" w:sz="8" w:space="0" w:color="000000"/>
            </w:tcBorders>
            <w:tcMar>
              <w:top w:w="28" w:type="dxa"/>
            </w:tcM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2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136.1</w:t>
            </w:r>
          </w:p>
        </w:tc>
        <w:tc>
          <w:tcPr>
            <w:tcW w:w="71" w:type="dxa"/>
            <w:tcBorders/>
            <w:shd w:fill="CCEEFF" w:val="cle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109.4</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125" w:type="dxa"/>
            <w:tcBorders/>
            <w:shd w:fill="FFFFFF" w:val="clear"/>
            <w:vAlign w:val="center"/>
          </w:tcPr>
          <w:p>
            <w:pPr>
              <w:pStyle w:val="TableContents"/>
              <w:bidi w:val="0"/>
              <w:spacing w:before="0" w:after="0"/>
              <w:jc w:val="left"/>
              <w:rPr/>
            </w:pPr>
            <w:r>
              <w:rPr/>
              <w:t> </w:t>
            </w:r>
          </w:p>
        </w:tc>
        <w:tc>
          <w:tcPr>
            <w:tcW w:w="902" w:type="dxa"/>
            <w:tcBorders/>
            <w:shd w:fill="FFFFFF" w:val="clear"/>
            <w:vAlign w:val="center"/>
          </w:tcPr>
          <w:p>
            <w:pPr>
              <w:pStyle w:val="TableContents"/>
              <w:bidi w:val="0"/>
              <w:spacing w:before="0" w:after="0"/>
              <w:jc w:val="right"/>
              <w:rPr/>
            </w:pPr>
            <w:r>
              <w:rPr/>
              <w:t> </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920" w:type="dxa"/>
            <w:tcBorders/>
            <w:shd w:fill="FFFFFF" w:val="clear"/>
            <w:vAlign w:val="center"/>
          </w:tcPr>
          <w:p>
            <w:pPr>
              <w:pStyle w:val="TableContents"/>
              <w:bidi w:val="0"/>
              <w:spacing w:before="0" w:after="0"/>
              <w:jc w:val="right"/>
              <w:rPr/>
            </w:pPr>
            <w:r>
              <w:rPr/>
              <w:t> </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Depreciation and amortization</w:t>
            </w:r>
          </w:p>
        </w:tc>
        <w:tc>
          <w:tcPr>
            <w:tcW w:w="125"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66.0</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66.4</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Share-based compensation</w:t>
            </w:r>
          </w:p>
        </w:tc>
        <w:tc>
          <w:tcPr>
            <w:tcW w:w="125" w:type="dxa"/>
            <w:tcBorders/>
            <w:shd w:fill="FFFFFF" w:val="clear"/>
            <w:vAlign w:val="center"/>
          </w:tcPr>
          <w:p>
            <w:pPr>
              <w:pStyle w:val="TableContents"/>
              <w:bidi w:val="0"/>
              <w:spacing w:before="0" w:after="0"/>
              <w:jc w:val="left"/>
              <w:rPr/>
            </w:pPr>
            <w:r>
              <w:rPr/>
              <w:t> </w:t>
            </w:r>
          </w:p>
        </w:tc>
        <w:tc>
          <w:tcPr>
            <w:tcW w:w="90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25.0</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92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22.7</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Unrealized foreign exchange loss, net</w:t>
            </w:r>
          </w:p>
        </w:tc>
        <w:tc>
          <w:tcPr>
            <w:tcW w:w="125"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23.8</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11.0</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Deferred income taxes</w:t>
            </w:r>
          </w:p>
        </w:tc>
        <w:tc>
          <w:tcPr>
            <w:tcW w:w="125" w:type="dxa"/>
            <w:tcBorders/>
            <w:shd w:fill="FFFFFF" w:val="clear"/>
            <w:vAlign w:val="center"/>
          </w:tcPr>
          <w:p>
            <w:pPr>
              <w:pStyle w:val="TableContents"/>
              <w:bidi w:val="0"/>
              <w:spacing w:before="0" w:after="0"/>
              <w:jc w:val="left"/>
              <w:rPr/>
            </w:pPr>
            <w:r>
              <w:rPr/>
              <w:t> </w:t>
            </w:r>
          </w:p>
        </w:tc>
        <w:tc>
          <w:tcPr>
            <w:tcW w:w="902"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26.6</w:t>
            </w:r>
            <w:r>
              <w:rPr>
                <w:rFonts w:ascii="Times New Roman" w:hAnsi="Times New Roman"/>
                <w:sz w:val="20"/>
              </w:rPr>
              <w:t>)</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92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6.9</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Amortization of debt issuance costs</w:t>
            </w:r>
          </w:p>
        </w:tc>
        <w:tc>
          <w:tcPr>
            <w:tcW w:w="125"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Changes in working capital, net of amounts acquired:</w:t>
            </w:r>
          </w:p>
        </w:tc>
        <w:tc>
          <w:tcPr>
            <w:tcW w:w="125" w:type="dxa"/>
            <w:tcBorders/>
            <w:shd w:fill="FFFFFF" w:val="clear"/>
            <w:vAlign w:val="center"/>
          </w:tcPr>
          <w:p>
            <w:pPr>
              <w:pStyle w:val="TableContents"/>
              <w:bidi w:val="0"/>
              <w:spacing w:before="0" w:after="0"/>
              <w:jc w:val="left"/>
              <w:rPr/>
            </w:pPr>
            <w:r>
              <w:rPr/>
              <w:t> </w:t>
            </w:r>
          </w:p>
        </w:tc>
        <w:tc>
          <w:tcPr>
            <w:tcW w:w="902" w:type="dxa"/>
            <w:tcBorders/>
            <w:shd w:fill="FFFFFF" w:val="clear"/>
            <w:vAlign w:val="center"/>
          </w:tcPr>
          <w:p>
            <w:pPr>
              <w:pStyle w:val="TableContents"/>
              <w:bidi w:val="0"/>
              <w:spacing w:before="0" w:after="0"/>
              <w:jc w:val="right"/>
              <w:rPr/>
            </w:pPr>
            <w:r>
              <w:rPr/>
              <w:t> </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920" w:type="dxa"/>
            <w:tcBorders/>
            <w:shd w:fill="FFFFFF" w:val="clear"/>
            <w:vAlign w:val="center"/>
          </w:tcPr>
          <w:p>
            <w:pPr>
              <w:pStyle w:val="TableContents"/>
              <w:bidi w:val="0"/>
              <w:spacing w:before="0" w:after="0"/>
              <w:jc w:val="right"/>
              <w:rPr/>
            </w:pPr>
            <w:r>
              <w:rPr/>
              <w:t> </w:t>
            </w:r>
          </w:p>
        </w:tc>
      </w:tr>
      <w:tr>
        <w:trPr/>
        <w:tc>
          <w:tcPr>
            <w:tcW w:w="7430"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Income taxes payable, net</w:t>
            </w:r>
          </w:p>
        </w:tc>
        <w:tc>
          <w:tcPr>
            <w:tcW w:w="125"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0.5</w:t>
            </w:r>
          </w:p>
        </w:tc>
      </w:tr>
      <w:tr>
        <w:trPr/>
        <w:tc>
          <w:tcPr>
            <w:tcW w:w="7430" w:type="dxa"/>
            <w:tcBorders/>
            <w:shd w:fill="FFFF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Trade accounts receivable, including amounts in settlement assets</w:t>
            </w:r>
          </w:p>
        </w:tc>
        <w:tc>
          <w:tcPr>
            <w:tcW w:w="125" w:type="dxa"/>
            <w:tcBorders/>
            <w:shd w:fill="FFFFFF" w:val="clear"/>
            <w:vAlign w:val="center"/>
          </w:tcPr>
          <w:p>
            <w:pPr>
              <w:pStyle w:val="TableContents"/>
              <w:bidi w:val="0"/>
              <w:spacing w:before="0" w:after="0"/>
              <w:jc w:val="left"/>
              <w:rPr/>
            </w:pPr>
            <w:r>
              <w:rPr/>
              <w:t> </w:t>
            </w:r>
          </w:p>
        </w:tc>
        <w:tc>
          <w:tcPr>
            <w:tcW w:w="90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80.8</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92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56.7</w:t>
            </w:r>
          </w:p>
        </w:tc>
      </w:tr>
      <w:tr>
        <w:trPr/>
        <w:tc>
          <w:tcPr>
            <w:tcW w:w="7430" w:type="dxa"/>
            <w:tcBorders/>
            <w:shd w:fill="CCEEFF" w:val="clear"/>
            <w:vAlign w:val="center"/>
          </w:tcPr>
          <w:p>
            <w:pPr>
              <w:pStyle w:val="TableContents"/>
              <w:bidi w:val="0"/>
              <w:spacing w:before="0" w:after="0"/>
              <w:ind w:left="288" w:right="0" w:hanging="0"/>
              <w:jc w:val="left"/>
              <w:rPr>
                <w:sz w:val="20"/>
              </w:rPr>
            </w:pPr>
            <w:r>
              <w:rPr>
                <w:rFonts w:ascii="Times New Roman" w:hAnsi="Times New Roman"/>
                <w:sz w:val="20"/>
              </w:rPr>
              <w:t>Prepaid expenses and other current assets, including amounts in settlement</w:t>
            </w:r>
            <w:r>
              <w:rPr>
                <w:sz w:val="20"/>
              </w:rPr>
              <w:t> </w:t>
            </w:r>
            <w:r>
              <w:rPr>
                <w:rFonts w:ascii="Times New Roman" w:hAnsi="Times New Roman"/>
                <w:sz w:val="20"/>
              </w:rPr>
              <w:t>assets</w:t>
            </w:r>
          </w:p>
        </w:tc>
        <w:tc>
          <w:tcPr>
            <w:tcW w:w="125"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30.3</w:t>
            </w:r>
            <w:r>
              <w:rPr>
                <w:rFonts w:ascii="Times New Roman" w:hAnsi="Times New Roman"/>
                <w:sz w:val="20"/>
              </w:rPr>
              <w:t>)</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112.8</w:t>
            </w:r>
          </w:p>
        </w:tc>
      </w:tr>
      <w:tr>
        <w:trPr/>
        <w:tc>
          <w:tcPr>
            <w:tcW w:w="7430" w:type="dxa"/>
            <w:tcBorders/>
            <w:shd w:fill="FFFF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Trade accounts payable, including amounts in settlement obligations</w:t>
            </w:r>
          </w:p>
        </w:tc>
        <w:tc>
          <w:tcPr>
            <w:tcW w:w="125" w:type="dxa"/>
            <w:tcBorders/>
            <w:shd w:fill="FFFFFF" w:val="clear"/>
            <w:vAlign w:val="center"/>
          </w:tcPr>
          <w:p>
            <w:pPr>
              <w:pStyle w:val="TableContents"/>
              <w:bidi w:val="0"/>
              <w:spacing w:before="0" w:after="0"/>
              <w:jc w:val="left"/>
              <w:rPr/>
            </w:pPr>
            <w:r>
              <w:rPr/>
              <w:t> </w:t>
            </w:r>
          </w:p>
        </w:tc>
        <w:tc>
          <w:tcPr>
            <w:tcW w:w="902"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159.7</w:t>
            </w:r>
            <w:r>
              <w:rPr>
                <w:rFonts w:ascii="Times New Roman" w:hAnsi="Times New Roman"/>
                <w:sz w:val="20"/>
              </w:rPr>
              <w:t>)</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920"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121.9</w:t>
            </w:r>
            <w:r>
              <w:rPr>
                <w:rFonts w:ascii="Times New Roman" w:hAnsi="Times New Roman"/>
                <w:sz w:val="20"/>
              </w:rPr>
              <w:t>)</w:t>
            </w:r>
          </w:p>
        </w:tc>
      </w:tr>
      <w:tr>
        <w:trPr/>
        <w:tc>
          <w:tcPr>
            <w:tcW w:w="7430"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Deferred revenue</w:t>
            </w:r>
          </w:p>
        </w:tc>
        <w:tc>
          <w:tcPr>
            <w:tcW w:w="125"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4.3</w:t>
            </w:r>
            <w:r>
              <w:rPr>
                <w:rFonts w:ascii="Times New Roman" w:hAnsi="Times New Roman"/>
                <w:sz w:val="20"/>
              </w:rPr>
              <w:t>)</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0.1</w:t>
            </w:r>
            <w:r>
              <w:rPr>
                <w:rFonts w:ascii="Times New Roman" w:hAnsi="Times New Roman"/>
                <w:sz w:val="20"/>
              </w:rPr>
              <w:t>)</w:t>
            </w:r>
          </w:p>
        </w:tc>
      </w:tr>
      <w:tr>
        <w:trPr/>
        <w:tc>
          <w:tcPr>
            <w:tcW w:w="7430" w:type="dxa"/>
            <w:tcBorders/>
            <w:shd w:fill="FFFF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Accrued expenses and other current liabilities, including amounts in settlement obligations</w:t>
            </w:r>
          </w:p>
        </w:tc>
        <w:tc>
          <w:tcPr>
            <w:tcW w:w="125" w:type="dxa"/>
            <w:tcBorders/>
            <w:shd w:fill="FFFFFF" w:val="clear"/>
            <w:vAlign w:val="center"/>
          </w:tcPr>
          <w:p>
            <w:pPr>
              <w:pStyle w:val="TableContents"/>
              <w:bidi w:val="0"/>
              <w:spacing w:before="0" w:after="0"/>
              <w:jc w:val="left"/>
              <w:rPr/>
            </w:pPr>
            <w:r>
              <w:rPr/>
              <w:t> </w:t>
            </w:r>
          </w:p>
        </w:tc>
        <w:tc>
          <w:tcPr>
            <w:tcW w:w="90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86.0</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920"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55.3</w:t>
            </w:r>
            <w:r>
              <w:rPr>
                <w:rFonts w:ascii="Times New Roman" w:hAnsi="Times New Roman"/>
                <w:sz w:val="20"/>
              </w:rPr>
              <w:t>)</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Changes in noncurrent assets and liabilities</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02"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16.0</w:t>
            </w:r>
            <w:r>
              <w:rPr>
                <w:rFonts w:ascii="Times New Roman" w:hAnsi="Times New Roman"/>
                <w:sz w:val="20"/>
              </w:rPr>
              <w:t>)</w:t>
            </w:r>
          </w:p>
        </w:tc>
        <w:tc>
          <w:tcPr>
            <w:tcW w:w="71" w:type="dxa"/>
            <w:tcBorders/>
            <w:shd w:fill="CCEEFF" w:val="clear"/>
            <w:vAlign w:val="center"/>
          </w:tcPr>
          <w:p>
            <w:pPr>
              <w:pStyle w:val="TableContents"/>
              <w:bidi w:val="0"/>
              <w:spacing w:before="0" w:after="0"/>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w:t>
            </w:r>
          </w:p>
        </w:tc>
      </w:tr>
      <w:tr>
        <w:trPr/>
        <w:tc>
          <w:tcPr>
            <w:tcW w:w="7430" w:type="dxa"/>
            <w:tcBorders/>
            <w:shd w:fill="FFFFFF" w:val="clear"/>
            <w:vAlign w:val="center"/>
          </w:tcPr>
          <w:p>
            <w:pPr>
              <w:pStyle w:val="TableContents"/>
              <w:bidi w:val="0"/>
              <w:spacing w:before="0" w:after="0"/>
              <w:ind w:left="576" w:right="0" w:hanging="0"/>
              <w:jc w:val="left"/>
              <w:rPr>
                <w:rFonts w:ascii="Times New Roman" w:hAnsi="Times New Roman"/>
                <w:sz w:val="20"/>
              </w:rPr>
            </w:pPr>
            <w:r>
              <w:rPr>
                <w:rFonts w:ascii="Times New Roman" w:hAnsi="Times New Roman"/>
                <w:sz w:val="20"/>
              </w:rPr>
              <w:t>Net cash provided by operating activities</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02"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184.6</w:t>
            </w:r>
          </w:p>
        </w:tc>
        <w:tc>
          <w:tcPr>
            <w:tcW w:w="71" w:type="dxa"/>
            <w:tcBorders/>
            <w:shd w:fill="FFFFFF" w:val="clear"/>
            <w:vAlign w:val="center"/>
          </w:tcPr>
          <w:p>
            <w:pPr>
              <w:pStyle w:val="TableContents"/>
              <w:bidi w:val="0"/>
              <w:spacing w:before="0" w:after="0"/>
              <w:jc w:val="left"/>
              <w:rPr/>
            </w:pPr>
            <w:r>
              <w:rPr/>
              <w:t> </w:t>
            </w:r>
          </w:p>
        </w:tc>
        <w:tc>
          <w:tcPr>
            <w:tcW w:w="149"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2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212.2</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125"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right"/>
              <w:rPr/>
            </w:pPr>
            <w:r>
              <w:rPr/>
              <w:t> </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right"/>
              <w:rPr/>
            </w:pPr>
            <w:r>
              <w:rPr/>
              <w:t> </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Acquisitions, net of cash acquired</w:t>
            </w:r>
          </w:p>
        </w:tc>
        <w:tc>
          <w:tcPr>
            <w:tcW w:w="125" w:type="dxa"/>
            <w:tcBorders/>
            <w:shd w:fill="FFFFFF" w:val="clear"/>
            <w:vAlign w:val="center"/>
          </w:tcPr>
          <w:p>
            <w:pPr>
              <w:pStyle w:val="TableContents"/>
              <w:bidi w:val="0"/>
              <w:spacing w:before="0" w:after="0"/>
              <w:jc w:val="left"/>
              <w:rPr/>
            </w:pPr>
            <w:r>
              <w:rPr/>
              <w:t> </w:t>
            </w:r>
          </w:p>
        </w:tc>
        <w:tc>
          <w:tcPr>
            <w:tcW w:w="90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920"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90.8</w:t>
            </w:r>
            <w:r>
              <w:rPr>
                <w:rFonts w:ascii="Times New Roman" w:hAnsi="Times New Roman"/>
                <w:sz w:val="20"/>
              </w:rPr>
              <w:t>)</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Issuance of convertible notes receivable</w:t>
            </w:r>
          </w:p>
        </w:tc>
        <w:tc>
          <w:tcPr>
            <w:tcW w:w="125"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25.0</w:t>
            </w:r>
            <w:r>
              <w:rPr>
                <w:rFonts w:ascii="Times New Roman" w:hAnsi="Times New Roman"/>
                <w:sz w:val="20"/>
              </w:rPr>
              <w:t>)</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right"/>
              <w:rPr/>
            </w:pPr>
            <w:r>
              <w:rPr/>
              <w:t>—</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Purchases and proceeds of property and equipment</w:t>
            </w:r>
          </w:p>
        </w:tc>
        <w:tc>
          <w:tcPr>
            <w:tcW w:w="125" w:type="dxa"/>
            <w:tcBorders/>
            <w:shd w:fill="FFFFFF" w:val="clear"/>
            <w:vAlign w:val="center"/>
          </w:tcPr>
          <w:p>
            <w:pPr>
              <w:pStyle w:val="TableContents"/>
              <w:bidi w:val="0"/>
              <w:spacing w:before="0" w:after="0"/>
              <w:jc w:val="left"/>
              <w:rPr/>
            </w:pPr>
            <w:r>
              <w:rPr/>
              <w:t> </w:t>
            </w:r>
          </w:p>
        </w:tc>
        <w:tc>
          <w:tcPr>
            <w:tcW w:w="902"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57.8</w:t>
            </w:r>
            <w:r>
              <w:rPr>
                <w:rFonts w:ascii="Times New Roman" w:hAnsi="Times New Roman"/>
                <w:sz w:val="20"/>
              </w:rPr>
              <w:t>)</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920"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57.2</w:t>
            </w:r>
            <w:r>
              <w:rPr>
                <w:rFonts w:ascii="Times New Roman" w:hAnsi="Times New Roman"/>
                <w:sz w:val="20"/>
              </w:rPr>
              <w:t>)</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Purchases of other long-term assets</w:t>
            </w:r>
          </w:p>
        </w:tc>
        <w:tc>
          <w:tcPr>
            <w:tcW w:w="125"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7.1</w:t>
            </w:r>
            <w:r>
              <w:rPr>
                <w:rFonts w:ascii="Times New Roman" w:hAnsi="Times New Roman"/>
                <w:sz w:val="20"/>
              </w:rPr>
              <w:t>)</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6.6</w:t>
            </w:r>
            <w:r>
              <w:rPr>
                <w:rFonts w:ascii="Times New Roman" w:hAnsi="Times New Roman"/>
                <w:sz w:val="20"/>
              </w:rPr>
              <w:t>)</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Other, net</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02"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2.2</w:t>
            </w:r>
            <w:r>
              <w:rPr>
                <w:rFonts w:ascii="Times New Roman" w:hAnsi="Times New Roman"/>
                <w:sz w:val="20"/>
              </w:rPr>
              <w:t>)</w:t>
            </w:r>
          </w:p>
        </w:tc>
        <w:tc>
          <w:tcPr>
            <w:tcW w:w="71" w:type="dxa"/>
            <w:tcBorders/>
            <w:shd w:fill="FFFFFF" w:val="clear"/>
            <w:vAlign w:val="center"/>
          </w:tcPr>
          <w:p>
            <w:pPr>
              <w:pStyle w:val="TableContents"/>
              <w:bidi w:val="0"/>
              <w:spacing w:before="0" w:after="0"/>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0.6</w:t>
            </w:r>
            <w:r>
              <w:rPr>
                <w:rFonts w:ascii="Times New Roman" w:hAnsi="Times New Roman"/>
                <w:sz w:val="20"/>
              </w:rPr>
              <w:t>)</w:t>
            </w:r>
          </w:p>
        </w:tc>
      </w:tr>
      <w:tr>
        <w:trPr/>
        <w:tc>
          <w:tcPr>
            <w:tcW w:w="7430" w:type="dxa"/>
            <w:tcBorders/>
            <w:shd w:fill="CCEEFF" w:val="clear"/>
            <w:vAlign w:val="center"/>
          </w:tcPr>
          <w:p>
            <w:pPr>
              <w:pStyle w:val="TableContents"/>
              <w:bidi w:val="0"/>
              <w:spacing w:before="0" w:after="0"/>
              <w:ind w:left="576" w:right="0" w:hanging="0"/>
              <w:jc w:val="left"/>
              <w:rPr>
                <w:rFonts w:ascii="Times New Roman" w:hAnsi="Times New Roman"/>
                <w:sz w:val="20"/>
              </w:rPr>
            </w:pPr>
            <w:r>
              <w:rPr>
                <w:rFonts w:ascii="Times New Roman" w:hAnsi="Times New Roman"/>
                <w:sz w:val="20"/>
              </w:rPr>
              <w:t>Net cash used in investing activities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02"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88.9</w:t>
            </w:r>
            <w:r>
              <w:rPr>
                <w:rFonts w:ascii="Times New Roman" w:hAnsi="Times New Roman"/>
                <w:sz w:val="20"/>
              </w:rPr>
              <w:t>)</w:t>
            </w:r>
          </w:p>
        </w:tc>
        <w:tc>
          <w:tcPr>
            <w:tcW w:w="71" w:type="dxa"/>
            <w:tcBorders/>
            <w:shd w:fill="CCEEFF" w:val="cle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20"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155.2</w:t>
            </w:r>
            <w:r>
              <w:rPr>
                <w:rFonts w:ascii="Times New Roman" w:hAnsi="Times New Roman"/>
                <w:sz w:val="20"/>
              </w:rPr>
              <w:t>)</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125" w:type="dxa"/>
            <w:tcBorders/>
            <w:shd w:fill="FFFFFF" w:val="clear"/>
            <w:vAlign w:val="center"/>
          </w:tcPr>
          <w:p>
            <w:pPr>
              <w:pStyle w:val="TableContents"/>
              <w:bidi w:val="0"/>
              <w:spacing w:before="0" w:after="0"/>
              <w:jc w:val="left"/>
              <w:rPr/>
            </w:pPr>
            <w:r>
              <w:rPr/>
              <w:t> </w:t>
            </w:r>
          </w:p>
        </w:tc>
        <w:tc>
          <w:tcPr>
            <w:tcW w:w="902" w:type="dxa"/>
            <w:tcBorders/>
            <w:shd w:fill="FFFFFF" w:val="clear"/>
            <w:vAlign w:val="center"/>
          </w:tcPr>
          <w:p>
            <w:pPr>
              <w:pStyle w:val="TableContents"/>
              <w:bidi w:val="0"/>
              <w:spacing w:before="0" w:after="0"/>
              <w:jc w:val="right"/>
              <w:rPr/>
            </w:pPr>
            <w:r>
              <w:rPr/>
              <w:t> </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920" w:type="dxa"/>
            <w:tcBorders/>
            <w:shd w:fill="FFFFFF" w:val="clear"/>
            <w:vAlign w:val="center"/>
          </w:tcPr>
          <w:p>
            <w:pPr>
              <w:pStyle w:val="TableContents"/>
              <w:bidi w:val="0"/>
              <w:spacing w:before="0" w:after="0"/>
              <w:jc w:val="right"/>
              <w:rPr/>
            </w:pPr>
            <w:r>
              <w:rPr/>
              <w:t> </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Proceeds from issuance of shares</w:t>
            </w:r>
          </w:p>
        </w:tc>
        <w:tc>
          <w:tcPr>
            <w:tcW w:w="125"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Repurchase of shares</w:t>
            </w:r>
          </w:p>
        </w:tc>
        <w:tc>
          <w:tcPr>
            <w:tcW w:w="125" w:type="dxa"/>
            <w:tcBorders/>
            <w:shd w:fill="FFFFFF" w:val="clear"/>
            <w:vAlign w:val="center"/>
          </w:tcPr>
          <w:p>
            <w:pPr>
              <w:pStyle w:val="TableContents"/>
              <w:bidi w:val="0"/>
              <w:spacing w:before="0" w:after="0"/>
              <w:jc w:val="left"/>
              <w:rPr/>
            </w:pPr>
            <w:r>
              <w:rPr/>
              <w:t> </w:t>
            </w:r>
          </w:p>
        </w:tc>
        <w:tc>
          <w:tcPr>
            <w:tcW w:w="902"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310.6</w:t>
            </w:r>
            <w:r>
              <w:rPr>
                <w:rFonts w:ascii="Times New Roman" w:hAnsi="Times New Roman"/>
                <w:sz w:val="20"/>
              </w:rPr>
              <w:t>)</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920"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116.3</w:t>
            </w:r>
            <w:r>
              <w:rPr>
                <w:rFonts w:ascii="Times New Roman" w:hAnsi="Times New Roman"/>
                <w:sz w:val="20"/>
              </w:rPr>
              <w:t>)</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Borrowings from credit agreements</w:t>
            </w:r>
          </w:p>
        </w:tc>
        <w:tc>
          <w:tcPr>
            <w:tcW w:w="125"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4,848.0</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3,990.8</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 xml:space="preserve">Repayments of credit agreements </w:t>
            </w:r>
          </w:p>
        </w:tc>
        <w:tc>
          <w:tcPr>
            <w:tcW w:w="125" w:type="dxa"/>
            <w:tcBorders/>
            <w:shd w:fill="FFFFFF" w:val="clear"/>
            <w:vAlign w:val="center"/>
          </w:tcPr>
          <w:p>
            <w:pPr>
              <w:pStyle w:val="TableContents"/>
              <w:bidi w:val="0"/>
              <w:spacing w:before="0" w:after="0"/>
              <w:jc w:val="left"/>
              <w:rPr/>
            </w:pPr>
            <w:r>
              <w:rPr/>
              <w:t> </w:t>
            </w:r>
          </w:p>
        </w:tc>
        <w:tc>
          <w:tcPr>
            <w:tcW w:w="902"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4,404.0</w:t>
            </w:r>
            <w:r>
              <w:rPr>
                <w:rFonts w:ascii="Times New Roman" w:hAnsi="Times New Roman"/>
                <w:sz w:val="20"/>
              </w:rPr>
              <w:t>)</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920"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4,131.1</w:t>
            </w:r>
            <w:r>
              <w:rPr>
                <w:rFonts w:ascii="Times New Roman" w:hAnsi="Times New Roman"/>
                <w:sz w:val="20"/>
              </w:rPr>
              <w:t>)</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Repayment of convertible notes</w:t>
            </w:r>
          </w:p>
        </w:tc>
        <w:tc>
          <w:tcPr>
            <w:tcW w:w="125"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491.8</w:t>
            </w:r>
            <w:r>
              <w:rPr>
                <w:rFonts w:ascii="Times New Roman" w:hAnsi="Times New Roman"/>
                <w:sz w:val="20"/>
              </w:rPr>
              <w:t>)</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right"/>
              <w:rPr/>
            </w:pPr>
            <w:r>
              <w:rPr/>
              <w:t>—</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Repayments of capital lease obligations</w:t>
            </w:r>
          </w:p>
        </w:tc>
        <w:tc>
          <w:tcPr>
            <w:tcW w:w="125" w:type="dxa"/>
            <w:tcBorders/>
            <w:shd w:fill="FFFFFF" w:val="clear"/>
            <w:vAlign w:val="center"/>
          </w:tcPr>
          <w:p>
            <w:pPr>
              <w:pStyle w:val="TableContents"/>
              <w:bidi w:val="0"/>
              <w:spacing w:before="0" w:after="0"/>
              <w:jc w:val="left"/>
              <w:rPr/>
            </w:pPr>
            <w:r>
              <w:rPr/>
              <w:t> </w:t>
            </w:r>
          </w:p>
        </w:tc>
        <w:tc>
          <w:tcPr>
            <w:tcW w:w="902"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0.7</w:t>
            </w:r>
            <w:r>
              <w:rPr>
                <w:rFonts w:ascii="Times New Roman" w:hAnsi="Times New Roman"/>
                <w:sz w:val="20"/>
              </w:rPr>
              <w:t>)</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920"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1.0</w:t>
            </w:r>
            <w:r>
              <w:rPr>
                <w:rFonts w:ascii="Times New Roman" w:hAnsi="Times New Roman"/>
                <w:sz w:val="20"/>
              </w:rPr>
              <w:t>)</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Net borrowing from short-term debt obligations</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02"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434.8</w:t>
            </w:r>
          </w:p>
        </w:tc>
        <w:tc>
          <w:tcPr>
            <w:tcW w:w="71" w:type="dxa"/>
            <w:tcBorders/>
            <w:shd w:fill="CCEEFF" w:val="clear"/>
            <w:vAlign w:val="center"/>
          </w:tcPr>
          <w:p>
            <w:pPr>
              <w:pStyle w:val="TableContents"/>
              <w:bidi w:val="0"/>
              <w:spacing w:before="0" w:after="0"/>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558.7</w:t>
            </w:r>
          </w:p>
        </w:tc>
      </w:tr>
      <w:tr>
        <w:trPr/>
        <w:tc>
          <w:tcPr>
            <w:tcW w:w="7430" w:type="dxa"/>
            <w:tcBorders/>
            <w:shd w:fill="FFFFFF" w:val="clear"/>
            <w:vAlign w:val="center"/>
          </w:tcPr>
          <w:p>
            <w:pPr>
              <w:pStyle w:val="TableContents"/>
              <w:bidi w:val="0"/>
              <w:spacing w:before="0" w:after="0"/>
              <w:ind w:left="576" w:right="0" w:hanging="0"/>
              <w:jc w:val="left"/>
              <w:rPr>
                <w:rFonts w:ascii="Times New Roman" w:hAnsi="Times New Roman"/>
                <w:sz w:val="20"/>
              </w:rPr>
            </w:pPr>
            <w:r>
              <w:rPr>
                <w:rFonts w:ascii="Times New Roman" w:hAnsi="Times New Roman"/>
                <w:sz w:val="20"/>
              </w:rPr>
              <w:t>Net cash provided by financing activities</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902"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79.2</w:t>
            </w:r>
          </w:p>
        </w:tc>
        <w:tc>
          <w:tcPr>
            <w:tcW w:w="71" w:type="dxa"/>
            <w:tcBorders/>
            <w:shd w:fill="FFFFFF" w:val="cle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92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304.4</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 and restricted cash</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90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257.8</w:t>
            </w:r>
          </w:p>
        </w:tc>
        <w:tc>
          <w:tcPr>
            <w:tcW w:w="71" w:type="dxa"/>
            <w:tcBorders/>
            <w:shd w:fill="CCEEFF" w:val="cle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92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53.2</w:t>
            </w:r>
            <w:r>
              <w:rPr>
                <w:rFonts w:ascii="Times New Roman" w:hAnsi="Times New Roman"/>
                <w:sz w:val="20"/>
              </w:rPr>
              <w:t>)</w:t>
            </w:r>
          </w:p>
        </w:tc>
      </w:tr>
      <w:tr>
        <w:trPr/>
        <w:tc>
          <w:tcPr>
            <w:tcW w:w="7430" w:type="dxa"/>
            <w:tcBorders/>
            <w:shd w:fill="FFFFFF" w:val="clear"/>
            <w:vAlign w:val="center"/>
          </w:tcPr>
          <w:p>
            <w:pPr>
              <w:pStyle w:val="TableContents"/>
              <w:bidi w:val="0"/>
              <w:spacing w:before="0" w:after="0"/>
              <w:ind w:left="576" w:right="0" w:hanging="0"/>
              <w:jc w:val="left"/>
              <w:rPr>
                <w:rFonts w:ascii="Times New Roman" w:hAnsi="Times New Roman"/>
                <w:sz w:val="20"/>
              </w:rPr>
            </w:pPr>
            <w:r>
              <w:rPr>
                <w:rFonts w:ascii="Times New Roman" w:hAnsi="Times New Roman"/>
                <w:sz w:val="20"/>
              </w:rPr>
              <w:t>Increase in cash and cash equivalents and restricted cash</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02"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432.7</w:t>
            </w:r>
          </w:p>
        </w:tc>
        <w:tc>
          <w:tcPr>
            <w:tcW w:w="71" w:type="dxa"/>
            <w:tcBorders/>
            <w:shd w:fill="FFFFFF" w:val="clear"/>
            <w:vAlign w:val="center"/>
          </w:tcPr>
          <w:p>
            <w:pPr>
              <w:pStyle w:val="TableContents"/>
              <w:bidi w:val="0"/>
              <w:spacing w:before="0" w:after="0"/>
              <w:jc w:val="left"/>
              <w:rPr/>
            </w:pPr>
            <w:r>
              <w:rPr/>
              <w:t> </w:t>
            </w:r>
          </w:p>
        </w:tc>
        <w:tc>
          <w:tcPr>
            <w:tcW w:w="149"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2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308.2</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at beginning of period</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02"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2,488.2</w:t>
            </w:r>
          </w:p>
        </w:tc>
        <w:tc>
          <w:tcPr>
            <w:tcW w:w="71" w:type="dxa"/>
            <w:tcBorders/>
            <w:shd w:fill="CCEEFF" w:val="clear"/>
            <w:vAlign w:val="center"/>
          </w:tcPr>
          <w:p>
            <w:pPr>
              <w:pStyle w:val="TableContents"/>
              <w:bidi w:val="0"/>
              <w:spacing w:before="0" w:after="0"/>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2,247.0</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at end of period</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2,920.9</w:t>
            </w:r>
          </w:p>
        </w:tc>
        <w:tc>
          <w:tcPr>
            <w:tcW w:w="71" w:type="dxa"/>
            <w:tcBorders/>
            <w:shd w:fill="FFFFFF" w:val="clear"/>
            <w:vAlign w:val="center"/>
          </w:tcPr>
          <w:p>
            <w:pPr>
              <w:pStyle w:val="TableContents"/>
              <w:bidi w:val="0"/>
              <w:spacing w:before="0" w:after="0"/>
              <w:jc w:val="left"/>
              <w:rPr/>
            </w:pPr>
            <w:r>
              <w:rPr/>
              <w:t> </w:t>
            </w:r>
          </w:p>
        </w:tc>
        <w:tc>
          <w:tcPr>
            <w:tcW w:w="14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2,555.2</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Supplemental disclosure of cash flow information:</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902"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c>
          <w:tcPr>
            <w:tcW w:w="71" w:type="dxa"/>
            <w:tcBorders/>
            <w:shd w:fill="CCEEFF" w:val="clear"/>
            <w:vAlign w:val="center"/>
          </w:tcPr>
          <w:p>
            <w:pPr>
              <w:pStyle w:val="TableContents"/>
              <w:bidi w:val="0"/>
              <w:spacing w:before="0" w:after="0"/>
              <w:jc w:val="left"/>
              <w:rPr/>
            </w:pPr>
            <w:r>
              <w:rPr/>
              <w:t> </w:t>
            </w:r>
          </w:p>
        </w:tc>
        <w:tc>
          <w:tcPr>
            <w:tcW w:w="149"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920"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paid during the period</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33.3</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29.5</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taxes paid during the period</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74.7</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52.1</w:t>
            </w:r>
          </w:p>
        </w:tc>
      </w:tr>
    </w:tbl>
    <w:p>
      <w:pPr>
        <w:pStyle w:val="TextBody"/>
        <w:bidi w:val="0"/>
        <w:spacing w:before="0" w:after="0"/>
        <w:jc w:val="both"/>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See accompanying notes to the unaudited consolidated financial statements.</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rFonts w:ascii="Times New Roman" w:hAnsi="Times New Roman"/>
          <w:b/>
          <w:sz w:val="20"/>
        </w:rPr>
      </w:pPr>
      <w:r>
        <w:rPr>
          <w:rFonts w:ascii="Times New Roman" w:hAnsi="Times New Roman"/>
          <w:b/>
          <w:sz w:val="20"/>
        </w:rPr>
        <w:t>EURONET WORLDWIDE, INC. AND SUBSIDIARIES</w:t>
      </w:r>
    </w:p>
    <w:p>
      <w:pPr>
        <w:pStyle w:val="TextBody"/>
        <w:bidi w:val="0"/>
        <w:spacing w:lineRule="atLeast" w:line="240" w:before="0" w:after="0"/>
        <w:jc w:val="center"/>
        <w:rPr>
          <w:rFonts w:ascii="Times New Roman" w:hAnsi="Times New Roman"/>
          <w:b/>
          <w:sz w:val="20"/>
        </w:rPr>
      </w:pPr>
      <w:bookmarkStart w:id="14" w:name="TOC_c9778ca2fd8db93587bb"/>
      <w:bookmarkEnd w:id="14"/>
      <w:r>
        <w:rPr>
          <w:rFonts w:ascii="Times New Roman" w:hAnsi="Times New Roman"/>
          <w:b/>
          <w:sz w:val="20"/>
        </w:rPr>
        <w:t>NOTES TO THE UNAUDITED CONSOLIDATED FINANCIAL STATEMENTS</w:t>
      </w:r>
    </w:p>
    <w:p>
      <w:pPr>
        <w:pStyle w:val="TextBody"/>
        <w:bidi w:val="0"/>
        <w:spacing w:lineRule="atLeast" w:line="240" w:before="0" w:after="0"/>
        <w:jc w:val="center"/>
        <w:rPr/>
      </w:pPr>
      <w:r>
        <w:rPr/>
        <w:t> </w:t>
      </w:r>
    </w:p>
    <w:p>
      <w:pPr>
        <w:pStyle w:val="TextBody"/>
        <w:bidi w:val="0"/>
        <w:spacing w:lineRule="atLeast" w:line="240" w:before="0" w:after="200"/>
        <w:jc w:val="left"/>
        <w:rPr>
          <w:rFonts w:ascii="Times New Roman" w:hAnsi="Times New Roman"/>
          <w:sz w:val="24"/>
        </w:rPr>
      </w:pPr>
      <w:r>
        <w:rPr>
          <w:rFonts w:ascii="Times New Roman" w:hAnsi="Times New Roman"/>
          <w:b/>
          <w:sz w:val="20"/>
        </w:rPr>
        <w:t>(1)</w:t>
      </w:r>
      <w:r>
        <w:rPr>
          <w:rFonts w:ascii="Times New Roman" w:hAnsi="Times New Roman"/>
          <w:sz w:val="24"/>
        </w:rPr>
        <w:t> </w:t>
      </w:r>
      <w:r>
        <w:rPr>
          <w:rFonts w:ascii="Times New Roman" w:hAnsi="Times New Roman"/>
          <w:b/>
          <w:sz w:val="20"/>
        </w:rPr>
        <w:t>GENERAL</w:t>
      </w:r>
    </w:p>
    <w:p>
      <w:pPr>
        <w:pStyle w:val="TextBody"/>
        <w:bidi w:val="0"/>
        <w:spacing w:lineRule="atLeast" w:line="240" w:before="0" w:after="200"/>
        <w:jc w:val="both"/>
        <w:rPr>
          <w:rFonts w:ascii="Times New Roman" w:hAnsi="Times New Roman"/>
          <w:i/>
          <w:sz w:val="20"/>
        </w:rPr>
      </w:pPr>
      <w:r>
        <w:rPr>
          <w:rFonts w:ascii="Times New Roman" w:hAnsi="Times New Roman"/>
          <w:i/>
          <w:sz w:val="20"/>
        </w:rPr>
        <w:t>Organization</w:t>
      </w:r>
    </w:p>
    <w:p>
      <w:pPr>
        <w:pStyle w:val="TextBody"/>
        <w:bidi w:val="0"/>
        <w:spacing w:lineRule="atLeast" w:line="240" w:before="0" w:after="200"/>
        <w:jc w:val="both"/>
        <w:rPr>
          <w:rFonts w:ascii="Times New Roman" w:hAnsi="Times New Roman"/>
          <w:sz w:val="20"/>
        </w:rPr>
      </w:pPr>
      <w:r>
        <w:rPr>
          <w:rFonts w:ascii="Times New Roman" w:hAnsi="Times New Roman"/>
          <w:sz w:val="20"/>
        </w:rPr>
        <w:t>Euronet Worldwide, Inc. (the "Company" or "Euronet") was established as a Delaware corporation on December 13, 1996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ATM, point-of-sale ("POS"), card outsourcing, card issuing and merchant acquiring services, electronic distribution of prepaid mobile airtime and other electronic payment products, and international payment services.</w:t>
      </w:r>
    </w:p>
    <w:p>
      <w:pPr>
        <w:pStyle w:val="TextBody"/>
        <w:bidi w:val="0"/>
        <w:spacing w:lineRule="atLeast" w:line="240" w:before="0" w:after="200"/>
        <w:jc w:val="both"/>
        <w:rPr>
          <w:rFonts w:ascii="Times New Roman" w:hAnsi="Times New Roman"/>
          <w:i/>
          <w:sz w:val="20"/>
        </w:rPr>
      </w:pPr>
      <w:r>
        <w:rPr>
          <w:rFonts w:ascii="Times New Roman" w:hAnsi="Times New Roman"/>
          <w:i/>
          <w:sz w:val="20"/>
        </w:rPr>
        <w:t>Basis of Presentation</w:t>
      </w:r>
    </w:p>
    <w:p>
      <w:pPr>
        <w:pStyle w:val="TextBody"/>
        <w:bidi w:val="0"/>
        <w:spacing w:lineRule="atLeast" w:line="240" w:before="0" w:after="200"/>
        <w:jc w:val="both"/>
        <w:rPr>
          <w:rFonts w:ascii="Times New Roman" w:hAnsi="Times New Roman"/>
          <w:sz w:val="24"/>
        </w:rPr>
      </w:pPr>
      <w:r>
        <w:rPr>
          <w:rFonts w:ascii="Times New Roman" w:hAnsi="Times New Roman"/>
          <w:sz w:val="20"/>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changes in equity and cash flows for the interim periods. The unaudited consolidated financial statements should be read in conjunction with the Company's audited consolidated financial statements for the year ended</w:t>
      </w:r>
      <w:r>
        <w:rPr>
          <w:rFonts w:ascii="Times New Roman" w:hAnsi="Times New Roman"/>
          <w:sz w:val="24"/>
        </w:rPr>
        <w:t> </w:t>
      </w:r>
      <w:r>
        <w:rPr>
          <w:rFonts w:ascii="Times New Roman" w:hAnsi="Times New Roman"/>
          <w:sz w:val="20"/>
        </w:rPr>
        <w:t>December 31, 2024, including the notes thereto, set forth in the Company's 2024</w:t>
      </w:r>
      <w:r>
        <w:rPr>
          <w:rFonts w:ascii="Times New Roman" w:hAnsi="Times New Roman"/>
          <w:sz w:val="24"/>
        </w:rPr>
        <w:t xml:space="preserve"> </w:t>
      </w:r>
      <w:r>
        <w:rPr>
          <w:rFonts w:ascii="Times New Roman" w:hAnsi="Times New Roman"/>
          <w:sz w:val="20"/>
        </w:rPr>
        <w:t>Annual Report on Form 10-K.</w:t>
      </w:r>
    </w:p>
    <w:p>
      <w:pPr>
        <w:pStyle w:val="TextBody"/>
        <w:bidi w:val="0"/>
        <w:spacing w:lineRule="atLeast" w:line="240" w:before="0" w:after="200"/>
        <w:jc w:val="both"/>
        <w:rPr>
          <w:rFonts w:ascii="Times New Roman" w:hAnsi="Times New Roman"/>
          <w:sz w:val="24"/>
        </w:rPr>
      </w:pPr>
      <w:r>
        <w:rPr>
          <w:rFonts w:ascii="Times New Roman" w:hAnsi="Times New Roman"/>
          <w:i/>
          <w:sz w:val="20"/>
        </w:rPr>
        <w:t>Use of Estimates</w:t>
      </w:r>
      <w:r>
        <w:rPr>
          <w:rFonts w:ascii="Times New Roman" w:hAnsi="Times New Roman"/>
          <w:sz w:val="24"/>
        </w:rPr>
        <w:t> </w:t>
      </w:r>
    </w:p>
    <w:p>
      <w:pPr>
        <w:pStyle w:val="TextBody"/>
        <w:bidi w:val="0"/>
        <w:spacing w:lineRule="atLeast" w:line="240" w:before="0" w:after="200"/>
        <w:jc w:val="both"/>
        <w:rPr>
          <w:rFonts w:ascii="Times New Roman" w:hAnsi="Times New Roman"/>
          <w:sz w:val="20"/>
        </w:rPr>
      </w:pPr>
      <w:r>
        <w:rPr>
          <w:rFonts w:ascii="Times New Roman" w:hAnsi="Times New Roman"/>
          <w:sz w:val="20"/>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reporting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2025.</w:t>
      </w:r>
    </w:p>
    <w:p>
      <w:pPr>
        <w:pStyle w:val="TextBody"/>
        <w:bidi w:val="0"/>
        <w:spacing w:lineRule="atLeast" w:line="240" w:before="0" w:after="200"/>
        <w:jc w:val="both"/>
        <w:rPr>
          <w:rFonts w:ascii="Times New Roman" w:hAnsi="Times New Roman"/>
          <w:i/>
          <w:sz w:val="20"/>
        </w:rPr>
      </w:pPr>
      <w:r>
        <w:rPr>
          <w:rFonts w:ascii="Times New Roman" w:hAnsi="Times New Roman"/>
          <w:i/>
          <w:sz w:val="20"/>
        </w:rPr>
        <w:t>Seasonality</w:t>
      </w:r>
    </w:p>
    <w:p>
      <w:pPr>
        <w:pStyle w:val="TextBody"/>
        <w:bidi w:val="0"/>
        <w:spacing w:lineRule="atLeast" w:line="240" w:before="0" w:after="0"/>
        <w:jc w:val="both"/>
        <w:rPr>
          <w:rFonts w:ascii="Times New Roman" w:hAnsi="Times New Roman"/>
          <w:sz w:val="24"/>
        </w:rPr>
      </w:pPr>
      <w:r>
        <w:rPr>
          <w:rFonts w:ascii="Times New Roman" w:hAnsi="Times New Roman"/>
          <w:sz w:val="20"/>
        </w:rPr>
        <w:t>Euronet’s</w:t>
      </w:r>
      <w:r>
        <w:rPr>
          <w:rFonts w:ascii="Times New Roman" w:hAnsi="Times New Roman"/>
          <w:sz w:val="24"/>
        </w:rPr>
        <w:t> </w:t>
      </w:r>
      <w:r>
        <w:rPr>
          <w:rFonts w:ascii="Times New Roman" w:hAnsi="Times New Roman"/>
          <w:sz w:val="20"/>
        </w:rPr>
        <w:t>EFT Processing Segment normally experiences its heaviest demand for dynamic currency conversion ("DCC") services during the third quarter of the fiscal year, normally coinciding with the tourism season. The epay Segment is normally impacted by seasonality during the fourth quarter and first quarter of each year due to higher transaction levels during the holiday season and lower levels following the holiday season. Also, epay sells large loyalty rewards campaigns to retailers, which could be deployed in any given quarter and will impact the activity in that quarter accordingly.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sz w:val="24"/>
        </w:rPr>
      </w:pPr>
      <w:r>
        <w:rPr>
          <w:rFonts w:ascii="Times New Roman" w:hAnsi="Times New Roman"/>
          <w:b/>
          <w:sz w:val="20"/>
        </w:rPr>
        <w:t>(2)</w:t>
      </w:r>
      <w:r>
        <w:rPr>
          <w:rFonts w:ascii="Times New Roman" w:hAnsi="Times New Roman"/>
          <w:sz w:val="24"/>
        </w:rPr>
        <w:t> </w:t>
      </w:r>
      <w:r>
        <w:rPr>
          <w:rFonts w:ascii="Times New Roman" w:hAnsi="Times New Roman"/>
          <w:b/>
          <w:sz w:val="20"/>
        </w:rPr>
        <w:t>RECENTLY ISSUED ACCOUNTING PRONOUNCEMENTS</w:t>
      </w:r>
    </w:p>
    <w:p>
      <w:pPr>
        <w:pStyle w:val="TextBody"/>
        <w:bidi w:val="0"/>
        <w:spacing w:lineRule="atLeast" w:line="240" w:before="0" w:after="0"/>
        <w:jc w:val="left"/>
        <w:rPr/>
      </w:pPr>
      <w:r>
        <w:rPr/>
        <w:t>  </w:t>
      </w:r>
    </w:p>
    <w:p>
      <w:pPr>
        <w:pStyle w:val="TextBody"/>
        <w:bidi w:val="0"/>
        <w:spacing w:lineRule="atLeast" w:line="240" w:before="0" w:after="200"/>
        <w:jc w:val="both"/>
        <w:rPr>
          <w:rFonts w:ascii="Times New Roman" w:hAnsi="Times New Roman"/>
          <w:sz w:val="24"/>
        </w:rPr>
      </w:pPr>
      <w:r>
        <w:rPr>
          <w:rFonts w:ascii="Times New Roman" w:hAnsi="Times New Roman"/>
          <w:sz w:val="20"/>
        </w:rPr>
        <w:t>In November 2023, the FASB issued Accounting Standards Update (“ASU”)</w:t>
      </w:r>
      <w:r>
        <w:rPr>
          <w:rFonts w:ascii="Times New Roman" w:hAnsi="Times New Roman"/>
          <w:sz w:val="24"/>
        </w:rPr>
        <w:t> </w:t>
      </w:r>
      <w:r>
        <w:rPr>
          <w:rFonts w:ascii="Times New Roman" w:hAnsi="Times New Roman"/>
          <w:sz w:val="20"/>
        </w:rPr>
        <w:t>2023-07,</w:t>
      </w:r>
      <w:r>
        <w:rPr>
          <w:rFonts w:ascii="Times New Roman" w:hAnsi="Times New Roman"/>
          <w:sz w:val="24"/>
        </w:rPr>
        <w:t> </w:t>
      </w:r>
      <w:r>
        <w:rPr>
          <w:rFonts w:ascii="Times New Roman" w:hAnsi="Times New Roman"/>
          <w:i/>
          <w:sz w:val="20"/>
        </w:rPr>
        <w:t>Segment Reporting</w:t>
      </w:r>
      <w:r>
        <w:rPr>
          <w:rFonts w:ascii="Times New Roman" w:hAnsi="Times New Roman"/>
          <w:sz w:val="24"/>
        </w:rPr>
        <w:t> </w:t>
      </w:r>
      <w:r>
        <w:rPr>
          <w:rFonts w:ascii="Times New Roman" w:hAnsi="Times New Roman"/>
          <w:sz w:val="20"/>
        </w:rPr>
        <w:t>(Topic</w:t>
      </w:r>
      <w:r>
        <w:rPr>
          <w:rFonts w:ascii="Times New Roman" w:hAnsi="Times New Roman"/>
          <w:sz w:val="24"/>
        </w:rPr>
        <w:t> </w:t>
      </w:r>
      <w:r>
        <w:rPr>
          <w:rFonts w:ascii="Times New Roman" w:hAnsi="Times New Roman"/>
          <w:sz w:val="20"/>
        </w:rPr>
        <w:t>280):</w:t>
      </w:r>
      <w:r>
        <w:rPr>
          <w:rFonts w:ascii="Times New Roman" w:hAnsi="Times New Roman"/>
          <w:sz w:val="24"/>
        </w:rPr>
        <w:t> </w:t>
      </w:r>
      <w:r>
        <w:rPr>
          <w:rFonts w:ascii="Times New Roman" w:hAnsi="Times New Roman"/>
          <w:i/>
          <w:sz w:val="20"/>
        </w:rPr>
        <w:t>Improvements to Reportable Segment Disclosures</w:t>
      </w:r>
      <w:r>
        <w:rPr>
          <w:rFonts w:ascii="Times New Roman" w:hAnsi="Times New Roman"/>
          <w:sz w:val="20"/>
        </w:rPr>
        <w:t>. The amended guidance requires incremental reportable segment disclosures, primarily about significant segment expenses. The amendments also require entities with a single reportable segment to provide all disclosures required by these amendments, and all existing segment disclosures. The amendments will be applied retrospectively to all prior periods presented in the financial statements and is effective for fiscal years beginning after December 15, 2023, and interim periods in fiscal years beginning after December 15, 2024, with early adoption permitted.</w:t>
      </w:r>
      <w:r>
        <w:rPr>
          <w:rFonts w:ascii="Times New Roman" w:hAnsi="Times New Roman"/>
          <w:sz w:val="24"/>
        </w:rPr>
        <w:t> </w:t>
      </w:r>
      <w:r>
        <w:rPr>
          <w:rFonts w:ascii="Times New Roman" w:hAnsi="Times New Roman"/>
          <w:color w:val="212529"/>
          <w:sz w:val="20"/>
        </w:rPr>
        <w:t>The adoption of this standard did not have a significant impact on the Company's consolidated financial statements and related disclosures.</w:t>
      </w:r>
    </w:p>
    <w:p>
      <w:pPr>
        <w:pStyle w:val="TextBody"/>
        <w:bidi w:val="0"/>
        <w:spacing w:before="0" w:after="0"/>
        <w:jc w:val="both"/>
        <w:rPr>
          <w:rFonts w:ascii="Times New Roman" w:hAnsi="Times New Roman"/>
          <w:sz w:val="20"/>
        </w:rPr>
      </w:pPr>
      <w:r>
        <w:rPr>
          <w:rFonts w:ascii="Times New Roman" w:hAnsi="Times New Roman"/>
          <w:sz w:val="20"/>
        </w:rPr>
        <w:t>In December 2023, the FASB issued ASU 2023-09, </w:t>
      </w:r>
      <w:r>
        <w:rPr>
          <w:rFonts w:ascii="Times New Roman" w:hAnsi="Times New Roman"/>
          <w:i/>
          <w:sz w:val="20"/>
        </w:rPr>
        <w:t>Income Taxes (Topic 740): Improvements to Income Tax Disclosures.</w:t>
      </w:r>
      <w:r>
        <w:rPr>
          <w:rFonts w:ascii="Times New Roman" w:hAnsi="Times New Roman"/>
          <w:sz w:val="20"/>
        </w:rPr>
        <w:t> The amended guidance enhances income tax disclosures primarily related to the effective tax rate reconciliation and income taxes paid information. This guidance requires disclosure of specific categories in the effective tax rate reconciliation and further information on reconciling items meeting a quantitative threshold. In addition, the amended guidance requires disaggregating income taxes paid (net of refunds received) by federal, state, and foreign taxes. It also requires disaggregating individual jurisdictions in which income taxes paid (net of refunds received) is equal to or greater than 5 percent of total income taxes paid (net of refunds received). ASU 2023-09 is effective for fiscal years beginning after December 15, 2024, and the Company will adopt the standard in the following fiscal year. The adoption of this standard is not expected to have a significant impact on the Company's consolidated financial statements and related disclosures.</w:t>
      </w:r>
    </w:p>
    <w:p>
      <w:pPr>
        <w:pStyle w:val="TextBody"/>
        <w:bidi w:val="0"/>
        <w:spacing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In November 2024, the FASB issued ASU 2024-03, Income Statement Reporting Comprehensive Income Expense Disaggregation Disclosures. In January 2025, the FASB issued ASU 2025-01, Income Statement Reporting Comprehensive Income-Expense Disaggregation Disclosures (Subtopic 220-40): Clarifying the Effective Date to clarify the effective date of ASU 2024-03. The amendments require Comprehensive Income to expand income statement expense disclosures and require disclosure in the notes to the financial statements of specified information about certain costs and expenses. ASU 2024-03 is required to be adopted for fiscal years commencing after December 15, 2026 and interim reporting periods beginning after December 15, 2027 with early adoption permitted. The Company expects to adopt the update for the annual financial statements issued for the year ending December 31, 2027 and is currently evaluating the impact of adopting the standard on the condensed consolidated financial statements.</w:t>
      </w:r>
      <w:r>
        <w:rPr>
          <w:rFonts w:ascii="Times New Roman" w:hAnsi="Times New Roman"/>
          <w:sz w:val="24"/>
        </w:rPr>
        <w:t xml:space="preserve">                            </w:t>
      </w:r>
    </w:p>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b/>
          <w:sz w:val="20"/>
        </w:rPr>
      </w:pPr>
      <w:r>
        <w:rPr>
          <w:rFonts w:ascii="Times New Roman" w:hAnsi="Times New Roman"/>
          <w:b/>
          <w:sz w:val="20"/>
        </w:rPr>
        <w:t>(3) ACQUISITIONS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Acquisitions 2025</w:t>
      </w:r>
    </w:p>
    <w:p>
      <w:pPr>
        <w:pStyle w:val="TextBody"/>
        <w:bidi w:val="0"/>
        <w:spacing w:lineRule="atLeast" w:line="240"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May 31, 2025, Euronet completed the acquisition of a 60% equity stake in UNIDOS CO. LTD from multiple shareholders for a consideration of USD 18 million. The effective date of control is June 1, 2025. An additional earn-out payment will be made upon achieving key performance indicators (KPIs) after year one and year two. </w:t>
      </w:r>
      <w:r>
        <w:rPr>
          <w:rFonts w:ascii="Times New Roman" w:hAnsi="Times New Roman"/>
          <w:color w:val="212529"/>
          <w:sz w:val="20"/>
        </w:rPr>
        <w:t xml:space="preserve">The Company allocated $9.9 million of the enterprise value to customer relationships, $7.9 million to acquired net assets, $3.5 million to deferred tax liability, $12 million to non-controlling interest and the remaining $15.7 million to goodwill. </w:t>
      </w:r>
      <w:r>
        <w:rPr>
          <w:rFonts w:ascii="Times New Roman" w:hAnsi="Times New Roman"/>
          <w:sz w:val="20"/>
        </w:rPr>
        <w:t xml:space="preserve">The initial accounting for this acquisition is complete as of June 30, 2025. The purchase price was preliminary allocated to the assets acquired and liabilities assumed including identifiable intangible assets based on provisional values at the date of the acquisition. Additional time is needed to refine and finalize the valuation of assets and liabilities. The acquisition has been accounted for as a business combination in accordance with US GAAP and the results of operations have been included in the Money Transfer segment. </w:t>
      </w:r>
    </w:p>
    <w:p>
      <w:pPr>
        <w:pStyle w:val="TextBody"/>
        <w:bidi w:val="0"/>
        <w:spacing w:lineRule="atLeast" w:line="240" w:before="0" w:after="0"/>
        <w:jc w:val="both"/>
        <w:rPr>
          <w:color w:val="212529"/>
        </w:rPr>
      </w:pPr>
      <w:r>
        <w:rPr>
          <w:color w:val="212529"/>
        </w:rPr>
        <w:t> </w:t>
      </w:r>
    </w:p>
    <w:p>
      <w:pPr>
        <w:pStyle w:val="TextBody"/>
        <w:bidi w:val="0"/>
        <w:spacing w:lineRule="atLeast" w:line="240" w:before="0" w:after="0"/>
        <w:jc w:val="both"/>
        <w:rPr>
          <w:rFonts w:ascii="Times New Roman" w:hAnsi="Times New Roman"/>
          <w:sz w:val="24"/>
        </w:rPr>
      </w:pPr>
      <w:r>
        <w:rPr>
          <w:rFonts w:ascii="Times New Roman" w:hAnsi="Times New Roman"/>
          <w:i/>
          <w:sz w:val="20"/>
        </w:rPr>
        <w:t>Acquisitions</w:t>
      </w:r>
      <w:r>
        <w:rPr>
          <w:rFonts w:ascii="Times New Roman" w:hAnsi="Times New Roman"/>
          <w:sz w:val="24"/>
        </w:rPr>
        <w:t> </w:t>
      </w:r>
      <w:r>
        <w:rPr>
          <w:rFonts w:ascii="Times New Roman" w:hAnsi="Times New Roman"/>
          <w:i/>
          <w:sz w:val="20"/>
        </w:rPr>
        <w:t>2024</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color w:val="212529"/>
          <w:sz w:val="20"/>
        </w:rPr>
        <w:t>On February 1, 2024, Euronet acquired Infinitium Group, a leading regional solutions provider with Payments Authentication services, for a purchase consideration of $70.0</w:t>
      </w:r>
      <w:r>
        <w:rPr>
          <w:rFonts w:ascii="Times New Roman" w:hAnsi="Times New Roman"/>
          <w:color w:val="212529"/>
          <w:sz w:val="24"/>
        </w:rPr>
        <w:t xml:space="preserve"> </w:t>
      </w:r>
      <w:r>
        <w:rPr>
          <w:rFonts w:ascii="Times New Roman" w:hAnsi="Times New Roman"/>
          <w:color w:val="212529"/>
          <w:sz w:val="20"/>
        </w:rPr>
        <w:t>million cash and $5.0</w:t>
      </w:r>
      <w:r>
        <w:rPr>
          <w:rFonts w:ascii="Times New Roman" w:hAnsi="Times New Roman"/>
          <w:color w:val="212529"/>
          <w:sz w:val="24"/>
        </w:rPr>
        <w:t xml:space="preserve"> </w:t>
      </w:r>
      <w:r>
        <w:rPr>
          <w:rFonts w:ascii="Times New Roman" w:hAnsi="Times New Roman"/>
          <w:color w:val="212529"/>
          <w:sz w:val="20"/>
        </w:rPr>
        <w:t>million of the Company’s common stock to be paid over two</w:t>
      </w:r>
      <w:r>
        <w:rPr>
          <w:rFonts w:ascii="Times New Roman" w:hAnsi="Times New Roman"/>
          <w:color w:val="212529"/>
          <w:sz w:val="24"/>
        </w:rPr>
        <w:t xml:space="preserve"> </w:t>
      </w:r>
      <w:r>
        <w:rPr>
          <w:rFonts w:ascii="Times New Roman" w:hAnsi="Times New Roman"/>
          <w:color w:val="212529"/>
          <w:sz w:val="20"/>
        </w:rPr>
        <w:t>installments on February 1, 2026</w:t>
      </w:r>
      <w:r>
        <w:rPr>
          <w:rFonts w:ascii="Times New Roman" w:hAnsi="Times New Roman"/>
          <w:color w:val="212529"/>
          <w:sz w:val="24"/>
        </w:rPr>
        <w:t xml:space="preserve"> </w:t>
      </w:r>
      <w:r>
        <w:rPr>
          <w:rFonts w:ascii="Times New Roman" w:hAnsi="Times New Roman"/>
          <w:color w:val="212529"/>
          <w:sz w:val="20"/>
        </w:rPr>
        <w:t>and 2027. The Company allocated $51.0</w:t>
      </w:r>
      <w:r>
        <w:rPr>
          <w:rFonts w:ascii="Times New Roman" w:hAnsi="Times New Roman"/>
          <w:color w:val="212529"/>
          <w:sz w:val="24"/>
        </w:rPr>
        <w:t xml:space="preserve"> </w:t>
      </w:r>
      <w:r>
        <w:rPr>
          <w:rFonts w:ascii="Times New Roman" w:hAnsi="Times New Roman"/>
          <w:color w:val="212529"/>
          <w:sz w:val="20"/>
        </w:rPr>
        <w:t>million of the purchase consideration to customer relationships, $5.6</w:t>
      </w:r>
      <w:r>
        <w:rPr>
          <w:rFonts w:ascii="Times New Roman" w:hAnsi="Times New Roman"/>
          <w:color w:val="212529"/>
          <w:sz w:val="24"/>
        </w:rPr>
        <w:t xml:space="preserve"> </w:t>
      </w:r>
      <w:r>
        <w:rPr>
          <w:rFonts w:ascii="Times New Roman" w:hAnsi="Times New Roman"/>
          <w:color w:val="212529"/>
          <w:sz w:val="20"/>
        </w:rPr>
        <w:t>million to acquired net assets, $10.2</w:t>
      </w:r>
      <w:r>
        <w:rPr>
          <w:rFonts w:ascii="Times New Roman" w:hAnsi="Times New Roman"/>
          <w:color w:val="212529"/>
          <w:sz w:val="24"/>
        </w:rPr>
        <w:t xml:space="preserve"> </w:t>
      </w:r>
      <w:r>
        <w:rPr>
          <w:rFonts w:ascii="Times New Roman" w:hAnsi="Times New Roman"/>
          <w:color w:val="212529"/>
          <w:sz w:val="20"/>
        </w:rPr>
        <w:t>million to deferred tax liability and the remaining $28.6</w:t>
      </w:r>
      <w:r>
        <w:rPr>
          <w:rFonts w:ascii="Times New Roman" w:hAnsi="Times New Roman"/>
          <w:color w:val="212529"/>
          <w:sz w:val="24"/>
        </w:rPr>
        <w:t xml:space="preserve"> </w:t>
      </w:r>
      <w:r>
        <w:rPr>
          <w:rFonts w:ascii="Times New Roman" w:hAnsi="Times New Roman"/>
          <w:color w:val="212529"/>
          <w:sz w:val="20"/>
        </w:rPr>
        <w:t>million to goodwill.</w:t>
      </w:r>
    </w:p>
    <w:p>
      <w:pPr>
        <w:pStyle w:val="TextBody"/>
        <w:bidi w:val="0"/>
        <w:spacing w:lineRule="atLeast" w:line="240" w:before="0" w:after="0"/>
        <w:jc w:val="both"/>
        <w:rPr>
          <w:color w:val="212529"/>
        </w:rPr>
      </w:pPr>
      <w:r>
        <w:rPr>
          <w:color w:val="212529"/>
        </w:rPr>
        <w:t> </w:t>
      </w:r>
    </w:p>
    <w:p>
      <w:pPr>
        <w:pStyle w:val="TextBody"/>
        <w:bidi w:val="0"/>
        <w:spacing w:before="0" w:after="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sz w:val="24"/>
        </w:rPr>
      </w:pPr>
      <w:r>
        <w:rPr>
          <w:rFonts w:ascii="Times New Roman" w:hAnsi="Times New Roman"/>
          <w:b/>
          <w:sz w:val="20"/>
        </w:rPr>
        <w:t>(4)</w:t>
      </w:r>
      <w:r>
        <w:rPr>
          <w:rFonts w:ascii="Times New Roman" w:hAnsi="Times New Roman"/>
          <w:sz w:val="24"/>
        </w:rPr>
        <w:t> </w:t>
      </w:r>
      <w:r>
        <w:rPr>
          <w:rFonts w:ascii="Times New Roman" w:hAnsi="Times New Roman"/>
          <w:b/>
          <w:sz w:val="20"/>
        </w:rPr>
        <w:t>SETTLEMENT ASSETS AND OBLIGATIONS</w:t>
      </w:r>
    </w:p>
    <w:p>
      <w:pPr>
        <w:pStyle w:val="TextBody"/>
        <w:bidi w:val="0"/>
        <w:spacing w:lineRule="atLeast" w:line="264"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Settlement assets represent funds received or to be received from agents for unsettled money transfers and from merchants for unsettled prepaid transactions. The Company records corresponding settlement obligations relating to accounts payable. Settlement assets consist of cash and cash equivalents, restricted cash, accounts receivable and prepaid expenses and other current assets. The settlement cash held at the Company is primarily generated from the monies remitted by consumers through Company agents and financial institutions in payment of the face value of the payment service or foreign</w:t>
      </w:r>
      <w:r>
        <w:rPr>
          <w:rFonts w:ascii="Times New Roman" w:hAnsi="Times New Roman"/>
          <w:sz w:val="24"/>
        </w:rPr>
        <w:t> </w:t>
      </w:r>
      <w:r>
        <w:rPr>
          <w:rFonts w:ascii="Times New Roman" w:hAnsi="Times New Roman"/>
          <w:sz w:val="20"/>
        </w:rPr>
        <w:t>currency purchased and the related fees charged to purchase the currency. The Company uses its cash and cash equivalents to pay the face value of the payment service product upon presentation by the recipient. Cash received by Company agents and merchants generally becomes available to us within two weeks after initial receipt by the business partner. Receivables from business partners represent funds collected by such business partners that are in transit to the Company.</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Settlement obligations consist of accrued expenses for money transfers, content providers, and EFT customer deposits and accounts payable to agents and content providers. Money transfer accrued expenses represent amounts to be paid to transferees when they request funds. Most agents typically settle with transferees first then obtain reimbursement from us. Money order accrued expenses represent amounts not yet presented for payment. Due to the agent funding and settlement process, accrued expenses to agents represent amounts due to agents for money transfers that have not been settled with transferees.</w:t>
      </w:r>
    </w:p>
    <w:p>
      <w:pPr>
        <w:pStyle w:val="TextBody"/>
        <w:bidi w:val="0"/>
        <w:spacing w:lineRule="atLeast" w:line="264" w:before="0" w:after="0"/>
        <w:jc w:val="both"/>
        <w:rPr/>
      </w:pPr>
      <w:r>
        <w:rPr/>
        <w:t> </w:t>
      </w:r>
    </w:p>
    <w:tbl>
      <w:tblPr>
        <w:tblW w:w="7015" w:type="dxa"/>
        <w:jc w:val="left"/>
        <w:tblInd w:w="0" w:type="dxa"/>
        <w:tblLayout w:type="fixed"/>
        <w:tblCellMar>
          <w:top w:w="0" w:type="dxa"/>
          <w:left w:w="0" w:type="dxa"/>
          <w:bottom w:w="0" w:type="dxa"/>
          <w:right w:w="0" w:type="dxa"/>
        </w:tblCellMar>
      </w:tblPr>
      <w:tblGrid>
        <w:gridCol w:w="4895"/>
        <w:gridCol w:w="60"/>
        <w:gridCol w:w="125"/>
        <w:gridCol w:w="680"/>
        <w:gridCol w:w="60"/>
        <w:gridCol w:w="125"/>
        <w:gridCol w:w="1070"/>
      </w:tblGrid>
      <w:tr>
        <w:trPr/>
        <w:tc>
          <w:tcPr>
            <w:tcW w:w="48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935"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w:t>
            </w:r>
          </w:p>
        </w:tc>
      </w:tr>
      <w:tr>
        <w:trPr/>
        <w:tc>
          <w:tcPr>
            <w:tcW w:w="4895"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8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 xml:space="preserve">June 30, </w:t>
            </w:r>
          </w:p>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7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 xml:space="preserve">December 31, </w:t>
            </w:r>
          </w:p>
          <w:p>
            <w:pPr>
              <w:pStyle w:val="TableContents"/>
              <w:bidi w:val="0"/>
              <w:spacing w:before="0" w:after="0"/>
              <w:jc w:val="center"/>
              <w:rPr>
                <w:rFonts w:ascii="Times New Roman" w:hAnsi="Times New Roman"/>
                <w:b/>
                <w:sz w:val="16"/>
              </w:rPr>
            </w:pPr>
            <w:r>
              <w:rPr>
                <w:rFonts w:ascii="Times New Roman" w:hAnsi="Times New Roman"/>
                <w:b/>
                <w:sz w:val="16"/>
              </w:rPr>
              <w:t>2024</w:t>
            </w:r>
          </w:p>
        </w:tc>
      </w:tr>
      <w:tr>
        <w:trPr/>
        <w:tc>
          <w:tcPr>
            <w:tcW w:w="489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Settlement assets: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8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7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4895" w:type="dxa"/>
            <w:tcBorders/>
            <w:shd w:fill="FFFFFF" w:val="clear"/>
            <w:vAlign w:val="center"/>
          </w:tcPr>
          <w:p>
            <w:pPr>
              <w:pStyle w:val="TableContents"/>
              <w:bidi w:val="0"/>
              <w:spacing w:before="0" w:after="0"/>
              <w:ind w:left="150" w:right="0" w:hanging="0"/>
              <w:jc w:val="left"/>
              <w:rPr>
                <w:rFonts w:ascii="Times New Roman" w:hAnsi="Times New Roman"/>
                <w:sz w:val="20"/>
              </w:rPr>
            </w:pPr>
            <w:r>
              <w:rPr>
                <w:rFonts w:ascii="Times New Roman" w:hAnsi="Times New Roman"/>
                <w:sz w:val="20"/>
              </w:rPr>
              <w:t>Settlement cash and cash equivalents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456.1</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367.2</w:t>
            </w:r>
          </w:p>
        </w:tc>
      </w:tr>
      <w:tr>
        <w:trPr/>
        <w:tc>
          <w:tcPr>
            <w:tcW w:w="4895" w:type="dxa"/>
            <w:tcBorders/>
            <w:shd w:fill="CCEEFF" w:val="clear"/>
            <w:vAlign w:val="center"/>
          </w:tcPr>
          <w:p>
            <w:pPr>
              <w:pStyle w:val="TableContents"/>
              <w:bidi w:val="0"/>
              <w:spacing w:before="0" w:after="0"/>
              <w:ind w:left="150" w:right="0" w:hanging="0"/>
              <w:jc w:val="left"/>
              <w:rPr>
                <w:rFonts w:ascii="Times New Roman" w:hAnsi="Times New Roman"/>
                <w:sz w:val="20"/>
              </w:rPr>
            </w:pPr>
            <w:r>
              <w:rPr>
                <w:rFonts w:ascii="Times New Roman" w:hAnsi="Times New Roman"/>
                <w:sz w:val="20"/>
              </w:rPr>
              <w:t>Settlement restricted cash</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157.8</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189.2</w:t>
            </w:r>
          </w:p>
        </w:tc>
      </w:tr>
      <w:tr>
        <w:trPr/>
        <w:tc>
          <w:tcPr>
            <w:tcW w:w="4895" w:type="dxa"/>
            <w:tcBorders/>
            <w:shd w:fill="FFFFFF" w:val="clear"/>
            <w:vAlign w:val="center"/>
          </w:tcPr>
          <w:p>
            <w:pPr>
              <w:pStyle w:val="TableContents"/>
              <w:bidi w:val="0"/>
              <w:spacing w:before="0" w:after="0"/>
              <w:ind w:left="150" w:right="0" w:hanging="0"/>
              <w:jc w:val="left"/>
              <w:rPr>
                <w:sz w:val="20"/>
              </w:rPr>
            </w:pPr>
            <w:r>
              <w:rPr>
                <w:rFonts w:ascii="Times New Roman" w:hAnsi="Times New Roman"/>
                <w:sz w:val="20"/>
              </w:rPr>
              <w:t>Accounts receivable, net of credit losses of $39.9</w:t>
            </w:r>
            <w:r>
              <w:rPr>
                <w:sz w:val="20"/>
              </w:rPr>
              <w:t> </w:t>
            </w:r>
            <w:r>
              <w:rPr>
                <w:rFonts w:ascii="Times New Roman" w:hAnsi="Times New Roman"/>
                <w:sz w:val="20"/>
              </w:rPr>
              <w:t>and $31.7</w:t>
            </w:r>
            <w:r>
              <w:rPr>
                <w:sz w:val="20"/>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743.2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0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769.5</w:t>
            </w:r>
          </w:p>
        </w:tc>
      </w:tr>
      <w:tr>
        <w:trPr/>
        <w:tc>
          <w:tcPr>
            <w:tcW w:w="4895" w:type="dxa"/>
            <w:tcBorders/>
            <w:shd w:fill="CCEEFF" w:val="clear"/>
            <w:vAlign w:val="center"/>
          </w:tcPr>
          <w:p>
            <w:pPr>
              <w:pStyle w:val="TableContents"/>
              <w:bidi w:val="0"/>
              <w:spacing w:before="0" w:after="0"/>
              <w:ind w:left="150" w:right="0" w:hanging="0"/>
              <w:jc w:val="left"/>
              <w:rPr>
                <w:rFonts w:ascii="Times New Roman" w:hAnsi="Times New Roman"/>
                <w:sz w:val="20"/>
              </w:rPr>
            </w:pPr>
            <w:r>
              <w:rPr>
                <w:rFonts w:ascii="Times New Roman" w:hAnsi="Times New Roman"/>
                <w:sz w:val="20"/>
              </w:rPr>
              <w:t>Prepaid expenses and other current assets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190.0</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196.8</w:t>
            </w:r>
          </w:p>
        </w:tc>
      </w:tr>
      <w:tr>
        <w:trPr/>
        <w:tc>
          <w:tcPr>
            <w:tcW w:w="48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settlement assets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1,547.1</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7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1,522.7</w:t>
            </w:r>
          </w:p>
        </w:tc>
      </w:tr>
      <w:tr>
        <w:trPr/>
        <w:tc>
          <w:tcPr>
            <w:tcW w:w="4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Settlement obligations:</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680"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070"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r>
      <w:tr>
        <w:trPr/>
        <w:tc>
          <w:tcPr>
            <w:tcW w:w="4895" w:type="dxa"/>
            <w:tcBorders/>
            <w:shd w:fill="FFFFFF" w:val="clear"/>
            <w:vAlign w:val="center"/>
          </w:tcPr>
          <w:p>
            <w:pPr>
              <w:pStyle w:val="TableContents"/>
              <w:bidi w:val="0"/>
              <w:spacing w:before="0" w:after="0"/>
              <w:ind w:left="150" w:right="0" w:hanging="0"/>
              <w:jc w:val="left"/>
              <w:rPr>
                <w:rFonts w:ascii="Times New Roman" w:hAnsi="Times New Roman"/>
                <w:sz w:val="20"/>
              </w:rPr>
            </w:pPr>
            <w:r>
              <w:rPr>
                <w:rFonts w:ascii="Times New Roman" w:hAnsi="Times New Roman"/>
                <w:sz w:val="20"/>
              </w:rPr>
              <w:t>Trade account payables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507.0</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628.2</w:t>
            </w:r>
          </w:p>
        </w:tc>
      </w:tr>
      <w:tr>
        <w:trPr/>
        <w:tc>
          <w:tcPr>
            <w:tcW w:w="4895" w:type="dxa"/>
            <w:tcBorders/>
            <w:shd w:fill="CCEEFF" w:val="clear"/>
            <w:vAlign w:val="center"/>
          </w:tcPr>
          <w:p>
            <w:pPr>
              <w:pStyle w:val="TableContents"/>
              <w:bidi w:val="0"/>
              <w:spacing w:before="0" w:after="0"/>
              <w:ind w:left="150" w:right="0" w:hanging="0"/>
              <w:jc w:val="left"/>
              <w:rPr>
                <w:rFonts w:ascii="Times New Roman" w:hAnsi="Times New Roman"/>
                <w:sz w:val="20"/>
              </w:rPr>
            </w:pPr>
            <w:r>
              <w:rPr>
                <w:rFonts w:ascii="Times New Roman" w:hAnsi="Times New Roman"/>
                <w:sz w:val="20"/>
              </w:rPr>
              <w:t>Accrued expenses and other current liabilities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1,040.1</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894.5</w:t>
            </w:r>
          </w:p>
        </w:tc>
      </w:tr>
      <w:tr>
        <w:trPr/>
        <w:tc>
          <w:tcPr>
            <w:tcW w:w="48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settlement obligations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1,547.1</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7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1,522.7</w:t>
            </w:r>
          </w:p>
        </w:tc>
      </w:tr>
    </w:tbl>
    <w:p>
      <w:pPr>
        <w:pStyle w:val="TextBody"/>
        <w:bidi w:val="0"/>
        <w:spacing w:lineRule="atLeast" w:line="22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pStyle w:val="TextBody"/>
        <w:bidi w:val="0"/>
        <w:spacing w:lineRule="atLeast" w:line="264" w:before="0" w:after="0"/>
        <w:jc w:val="both"/>
        <w:rPr/>
      </w:pPr>
      <w:r>
        <w:rPr/>
        <w:t> </w:t>
      </w:r>
    </w:p>
    <w:tbl>
      <w:tblPr>
        <w:tblW w:w="9990" w:type="dxa"/>
        <w:jc w:val="left"/>
        <w:tblInd w:w="0" w:type="dxa"/>
        <w:tblLayout w:type="fixed"/>
        <w:tblCellMar>
          <w:top w:w="0" w:type="dxa"/>
          <w:left w:w="0" w:type="dxa"/>
          <w:bottom w:w="0" w:type="dxa"/>
          <w:right w:w="0" w:type="dxa"/>
        </w:tblCellMar>
      </w:tblPr>
      <w:tblGrid>
        <w:gridCol w:w="5045"/>
        <w:gridCol w:w="60"/>
        <w:gridCol w:w="125"/>
        <w:gridCol w:w="1040"/>
        <w:gridCol w:w="60"/>
        <w:gridCol w:w="125"/>
        <w:gridCol w:w="1055"/>
        <w:gridCol w:w="60"/>
        <w:gridCol w:w="125"/>
        <w:gridCol w:w="1040"/>
        <w:gridCol w:w="60"/>
        <w:gridCol w:w="125"/>
        <w:gridCol w:w="1070"/>
      </w:tblGrid>
      <w:tr>
        <w:trPr/>
        <w:tc>
          <w:tcPr>
            <w:tcW w:w="50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4885" w:type="dxa"/>
            <w:gridSpan w:val="11"/>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w:t>
            </w:r>
          </w:p>
        </w:tc>
      </w:tr>
      <w:tr>
        <w:trPr/>
        <w:tc>
          <w:tcPr>
            <w:tcW w:w="5045"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4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June 30, 2025</w:t>
            </w:r>
          </w:p>
        </w:tc>
        <w:tc>
          <w:tcPr>
            <w:tcW w:w="60" w:type="dxa"/>
            <w:tcBorders>
              <w:top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105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 xml:space="preserve">December 31, </w:t>
            </w:r>
          </w:p>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top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104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June 30, 2024</w:t>
            </w:r>
          </w:p>
        </w:tc>
        <w:tc>
          <w:tcPr>
            <w:tcW w:w="60" w:type="dxa"/>
            <w:tcBorders>
              <w:top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107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 xml:space="preserve">December 31, </w:t>
            </w:r>
          </w:p>
          <w:p>
            <w:pPr>
              <w:pStyle w:val="TableContents"/>
              <w:bidi w:val="0"/>
              <w:spacing w:before="0" w:after="0"/>
              <w:jc w:val="center"/>
              <w:rPr>
                <w:rFonts w:ascii="Times New Roman" w:hAnsi="Times New Roman"/>
                <w:b/>
                <w:sz w:val="16"/>
              </w:rPr>
            </w:pPr>
            <w:r>
              <w:rPr>
                <w:rFonts w:ascii="Times New Roman" w:hAnsi="Times New Roman"/>
                <w:b/>
                <w:sz w:val="16"/>
              </w:rPr>
              <w:t>2023</w:t>
            </w:r>
          </w:p>
        </w:tc>
      </w:tr>
      <w:tr>
        <w:trPr/>
        <w:tc>
          <w:tcPr>
            <w:tcW w:w="504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1,329.3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1,278.8</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1,271.8</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7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1,254.2</w:t>
            </w:r>
          </w:p>
        </w:tc>
      </w:tr>
      <w:tr>
        <w:trPr/>
        <w:tc>
          <w:tcPr>
            <w:tcW w:w="50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40.3</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0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0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23.8</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0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15.2</w:t>
            </w:r>
          </w:p>
        </w:tc>
      </w:tr>
      <w:tr>
        <w:trPr/>
        <w:tc>
          <w:tcPr>
            <w:tcW w:w="5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ATM cash</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937.4</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643.8</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795.6</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525.2</w:t>
            </w:r>
          </w:p>
        </w:tc>
      </w:tr>
      <w:tr>
        <w:trPr/>
        <w:tc>
          <w:tcPr>
            <w:tcW w:w="50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Settlement cash and cash equivalents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456.1</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0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367.2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0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342.7</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0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327.4</w:t>
            </w:r>
          </w:p>
        </w:tc>
      </w:tr>
      <w:tr>
        <w:trPr/>
        <w:tc>
          <w:tcPr>
            <w:tcW w:w="5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Settlement restricted cash</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157.8</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189.2</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121.3</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125.0</w:t>
            </w:r>
          </w:p>
        </w:tc>
      </w:tr>
      <w:tr>
        <w:trPr/>
        <w:tc>
          <w:tcPr>
            <w:tcW w:w="50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at end of period</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2,920.9</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2,488.2</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2,555.2</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7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2,247.0</w:t>
            </w:r>
          </w:p>
        </w:tc>
      </w:tr>
    </w:tbl>
    <w:p>
      <w:pPr>
        <w:pStyle w:val="TextBody"/>
        <w:bidi w:val="0"/>
        <w:spacing w:lineRule="atLeast" w:line="264"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sz w:val="24"/>
        </w:rPr>
      </w:pPr>
      <w:r>
        <w:rPr>
          <w:rFonts w:ascii="Times New Roman" w:hAnsi="Times New Roman"/>
          <w:b/>
          <w:sz w:val="20"/>
        </w:rPr>
        <w:t>(5)</w:t>
      </w:r>
      <w:r>
        <w:rPr>
          <w:rFonts w:ascii="Times New Roman" w:hAnsi="Times New Roman"/>
          <w:sz w:val="24"/>
        </w:rPr>
        <w:t> </w:t>
      </w:r>
      <w:r>
        <w:rPr>
          <w:rFonts w:ascii="Times New Roman" w:hAnsi="Times New Roman"/>
          <w:b/>
          <w:sz w:val="20"/>
        </w:rPr>
        <w:t>STOCKHOLDERS' EQUITY</w:t>
      </w:r>
    </w:p>
    <w:p>
      <w:pPr>
        <w:pStyle w:val="TextBody"/>
        <w:bidi w:val="0"/>
        <w:spacing w:lineRule="atLeast" w:line="264" w:before="0" w:after="0"/>
        <w:jc w:val="left"/>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Earnings (Loss) Per Share</w:t>
      </w:r>
    </w:p>
    <w:p>
      <w:pPr>
        <w:pStyle w:val="TextBody"/>
        <w:bidi w:val="0"/>
        <w:spacing w:lineRule="atLeast" w:line="264"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Basic earnings (loss) per share has been computed by dividing earnings (loss) available to common stockholders by the weighted average number of common shares outstanding during the respective period. Diluted earnings (loss) per share has been computed by dividing earnings (loss) available to common stockholders by the weighted average shares outstanding during the respective period, after adjusting for the potential dilution of options to purchase the Company’s common stock, assumed vesting of restricted stock units and the assumed conversion of the Company’s convertible debt, if such conversion would be dilutive.</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following table provides the computation of diluted earnings and diluted weighted average number of common shares outstanding:</w:t>
      </w:r>
    </w:p>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45"/>
        <w:gridCol w:w="125"/>
        <w:gridCol w:w="979"/>
        <w:gridCol w:w="61"/>
        <w:gridCol w:w="128"/>
        <w:gridCol w:w="979"/>
        <w:gridCol w:w="60"/>
        <w:gridCol w:w="125"/>
        <w:gridCol w:w="950"/>
        <w:gridCol w:w="60"/>
        <w:gridCol w:w="125"/>
        <w:gridCol w:w="968"/>
      </w:tblGrid>
      <w:tr>
        <w:trPr/>
        <w:tc>
          <w:tcPr>
            <w:tcW w:w="56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147"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10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w:t>
            </w:r>
          </w:p>
        </w:tc>
      </w:tr>
      <w:tr>
        <w:trPr/>
        <w:tc>
          <w:tcPr>
            <w:tcW w:w="5645"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7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1" w:type="dxa"/>
            <w:tcBorders/>
            <w:vAlign w:val="center"/>
          </w:tcPr>
          <w:p>
            <w:pPr>
              <w:pStyle w:val="TableContents"/>
              <w:bidi w:val="0"/>
              <w:spacing w:before="0" w:after="0"/>
              <w:jc w:val="left"/>
              <w:rPr/>
            </w:pPr>
            <w:r>
              <w:rPr/>
              <w:t> </w:t>
            </w:r>
          </w:p>
        </w:tc>
        <w:tc>
          <w:tcPr>
            <w:tcW w:w="12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7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5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6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r>
      <w:tr>
        <w:trPr/>
        <w:tc>
          <w:tcPr>
            <w:tcW w:w="5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Computation of diluted earnings: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7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1" w:type="dxa"/>
            <w:tcBorders/>
            <w:shd w:fill="CCEEFF" w:val="clear"/>
            <w:vAlign w:val="center"/>
          </w:tcPr>
          <w:p>
            <w:pPr>
              <w:pStyle w:val="TableContents"/>
              <w:bidi w:val="0"/>
              <w:spacing w:before="0" w:after="0"/>
              <w:jc w:val="left"/>
              <w:rPr/>
            </w:pPr>
            <w:r>
              <w:rPr/>
              <w:t> </w:t>
            </w:r>
          </w:p>
        </w:tc>
        <w:tc>
          <w:tcPr>
            <w:tcW w:w="128"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7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5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68"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5645" w:type="dxa"/>
            <w:tcBorders/>
            <w:shd w:fill="FFFFFF" w:val="clear"/>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Net income</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97.6</w:t>
            </w:r>
          </w:p>
        </w:tc>
        <w:tc>
          <w:tcPr>
            <w:tcW w:w="61" w:type="dxa"/>
            <w:tcBorders/>
            <w:shd w:fill="FFFFFF" w:val="clear"/>
            <w:vAlign w:val="center"/>
          </w:tcPr>
          <w:p>
            <w:pPr>
              <w:pStyle w:val="TableContents"/>
              <w:bidi w:val="0"/>
              <w:spacing w:before="0" w:after="0"/>
              <w:jc w:val="left"/>
              <w:rPr/>
            </w:pPr>
            <w:r>
              <w:rPr/>
              <w:t> </w:t>
            </w:r>
          </w:p>
        </w:tc>
        <w:tc>
          <w:tcPr>
            <w:tcW w:w="12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83.1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136.0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109.3</w:t>
            </w:r>
          </w:p>
        </w:tc>
      </w:tr>
      <w:tr>
        <w:trPr/>
        <w:tc>
          <w:tcPr>
            <w:tcW w:w="5645" w:type="dxa"/>
            <w:tcBorders/>
            <w:shd w:fill="CCEEFF" w:val="clear"/>
            <w:vAlign w:val="center"/>
          </w:tcPr>
          <w:p>
            <w:pPr>
              <w:pStyle w:val="TableContents"/>
              <w:bidi w:val="0"/>
              <w:spacing w:before="0" w:after="0"/>
              <w:ind w:left="150" w:right="0" w:hanging="0"/>
              <w:jc w:val="left"/>
              <w:rPr>
                <w:rFonts w:ascii="Times New Roman" w:hAnsi="Times New Roman"/>
                <w:sz w:val="20"/>
              </w:rPr>
            </w:pPr>
            <w:r>
              <w:rPr>
                <w:rFonts w:ascii="Times New Roman" w:hAnsi="Times New Roman"/>
                <w:sz w:val="20"/>
              </w:rPr>
              <w:t>Add: Interest expense from assumed conversion of convertible notes, net of tax</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79"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1" w:type="dxa"/>
            <w:tcBorders/>
            <w:shd w:fill="CCEEFF" w:val="clear"/>
            <w:vAlign w:val="center"/>
          </w:tcPr>
          <w:p>
            <w:pPr>
              <w:pStyle w:val="TableContents"/>
              <w:bidi w:val="0"/>
              <w:spacing w:before="0" w:after="0"/>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79"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6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w:t>
            </w:r>
          </w:p>
        </w:tc>
      </w:tr>
      <w:tr>
        <w:trPr/>
        <w:tc>
          <w:tcPr>
            <w:tcW w:w="56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for diluted earnings per share calculation</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9"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97.7</w:t>
            </w:r>
          </w:p>
        </w:tc>
        <w:tc>
          <w:tcPr>
            <w:tcW w:w="61" w:type="dxa"/>
            <w:tcBorders/>
            <w:shd w:fill="FFFFFF" w:val="clear"/>
            <w:vAlign w:val="center"/>
          </w:tcPr>
          <w:p>
            <w:pPr>
              <w:pStyle w:val="TableContents"/>
              <w:bidi w:val="0"/>
              <w:spacing w:before="0" w:after="0"/>
              <w:jc w:val="left"/>
              <w:rPr/>
            </w:pPr>
            <w:r>
              <w:rPr/>
              <w:t> </w:t>
            </w:r>
          </w:p>
        </w:tc>
        <w:tc>
          <w:tcPr>
            <w:tcW w:w="128"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9"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84.1</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137.0</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8"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111.3</w:t>
            </w:r>
          </w:p>
        </w:tc>
      </w:tr>
      <w:tr>
        <w:trPr/>
        <w:tc>
          <w:tcPr>
            <w:tcW w:w="5645"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0"/>
              <w:jc w:val="right"/>
              <w:rPr/>
            </w:pPr>
            <w:r>
              <w:rPr/>
              <w:t> </w:t>
            </w:r>
          </w:p>
        </w:tc>
        <w:tc>
          <w:tcPr>
            <w:tcW w:w="61" w:type="dxa"/>
            <w:tcBorders/>
            <w:shd w:fill="CCEEFF" w:val="clear"/>
            <w:vAlign w:val="center"/>
          </w:tcPr>
          <w:p>
            <w:pPr>
              <w:pStyle w:val="TableContents"/>
              <w:bidi w:val="0"/>
              <w:spacing w:before="0" w:after="0"/>
              <w:jc w:val="left"/>
              <w:rPr/>
            </w:pPr>
            <w:r>
              <w:rPr/>
              <w:t> </w:t>
            </w:r>
          </w:p>
        </w:tc>
        <w:tc>
          <w:tcPr>
            <w:tcW w:w="128"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0"/>
              <w:jc w:val="right"/>
              <w:rPr/>
            </w:pPr>
            <w:r>
              <w:rPr/>
              <w:t> </w:t>
            </w:r>
          </w:p>
        </w:tc>
      </w:tr>
      <w:tr>
        <w:trPr/>
        <w:tc>
          <w:tcPr>
            <w:tcW w:w="56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Computation of diluted weighted average shares outstanding:</w:t>
            </w:r>
          </w:p>
        </w:tc>
        <w:tc>
          <w:tcPr>
            <w:tcW w:w="125" w:type="dxa"/>
            <w:tcBorders/>
            <w:shd w:fill="FFFFFF" w:val="clear"/>
            <w:vAlign w:val="center"/>
          </w:tcPr>
          <w:p>
            <w:pPr>
              <w:pStyle w:val="TableContents"/>
              <w:bidi w:val="0"/>
              <w:spacing w:before="0" w:after="0"/>
              <w:jc w:val="left"/>
              <w:rPr/>
            </w:pPr>
            <w:r>
              <w:rPr/>
              <w:t> </w:t>
            </w:r>
          </w:p>
        </w:tc>
        <w:tc>
          <w:tcPr>
            <w:tcW w:w="979" w:type="dxa"/>
            <w:tcBorders/>
            <w:shd w:fill="FFFFFF" w:val="clear"/>
            <w:vAlign w:val="center"/>
          </w:tcPr>
          <w:p>
            <w:pPr>
              <w:pStyle w:val="TableContents"/>
              <w:bidi w:val="0"/>
              <w:spacing w:before="0" w:after="0"/>
              <w:jc w:val="right"/>
              <w:rPr/>
            </w:pPr>
            <w:r>
              <w:rPr/>
              <w:t> </w:t>
            </w:r>
          </w:p>
        </w:tc>
        <w:tc>
          <w:tcPr>
            <w:tcW w:w="61" w:type="dxa"/>
            <w:tcBorders/>
            <w:shd w:fill="FFFFFF" w:val="clear"/>
            <w:vAlign w:val="center"/>
          </w:tcPr>
          <w:p>
            <w:pPr>
              <w:pStyle w:val="TableContents"/>
              <w:bidi w:val="0"/>
              <w:spacing w:before="0" w:after="0"/>
              <w:jc w:val="left"/>
              <w:rPr/>
            </w:pPr>
            <w:r>
              <w:rPr/>
              <w:t> </w:t>
            </w:r>
          </w:p>
        </w:tc>
        <w:tc>
          <w:tcPr>
            <w:tcW w:w="128" w:type="dxa"/>
            <w:tcBorders/>
            <w:shd w:fill="FFFFFF" w:val="clear"/>
            <w:vAlign w:val="center"/>
          </w:tcPr>
          <w:p>
            <w:pPr>
              <w:pStyle w:val="TableContents"/>
              <w:bidi w:val="0"/>
              <w:spacing w:before="0" w:after="0"/>
              <w:jc w:val="left"/>
              <w:rPr/>
            </w:pPr>
            <w:r>
              <w:rPr/>
              <w:t> </w:t>
            </w:r>
          </w:p>
        </w:tc>
        <w:tc>
          <w:tcPr>
            <w:tcW w:w="979"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68" w:type="dxa"/>
            <w:tcBorders/>
            <w:shd w:fill="FFFFFF" w:val="clear"/>
            <w:vAlign w:val="center"/>
          </w:tcPr>
          <w:p>
            <w:pPr>
              <w:pStyle w:val="TableContents"/>
              <w:bidi w:val="0"/>
              <w:spacing w:before="0" w:after="0"/>
              <w:jc w:val="right"/>
              <w:rPr/>
            </w:pPr>
            <w:r>
              <w:rPr/>
              <w:t> </w:t>
            </w:r>
          </w:p>
        </w:tc>
      </w:tr>
      <w:tr>
        <w:trPr/>
        <w:tc>
          <w:tcPr>
            <w:tcW w:w="5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weighted average shares outstanding</w:t>
            </w:r>
          </w:p>
        </w:tc>
        <w:tc>
          <w:tcPr>
            <w:tcW w:w="125"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42,321,267</w:t>
            </w:r>
          </w:p>
        </w:tc>
        <w:tc>
          <w:tcPr>
            <w:tcW w:w="61" w:type="dxa"/>
            <w:tcBorders/>
            <w:shd w:fill="CCEEFF" w:val="clear"/>
            <w:vAlign w:val="center"/>
          </w:tcPr>
          <w:p>
            <w:pPr>
              <w:pStyle w:val="TableContents"/>
              <w:bidi w:val="0"/>
              <w:spacing w:before="0" w:after="0"/>
              <w:jc w:val="left"/>
              <w:rPr/>
            </w:pPr>
            <w:r>
              <w:rPr/>
              <w:t> </w:t>
            </w:r>
          </w:p>
        </w:tc>
        <w:tc>
          <w:tcPr>
            <w:tcW w:w="128"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45,429,998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42,999,281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45,623,470</w:t>
            </w:r>
          </w:p>
        </w:tc>
      </w:tr>
      <w:tr>
        <w:trPr/>
        <w:tc>
          <w:tcPr>
            <w:tcW w:w="56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Incremental shares from assumed exercise of stock options and vesting of restricted stock units</w:t>
            </w:r>
          </w:p>
        </w:tc>
        <w:tc>
          <w:tcPr>
            <w:tcW w:w="125" w:type="dxa"/>
            <w:tcBorders/>
            <w:shd w:fill="FFFFFF" w:val="clear"/>
            <w:vAlign w:val="center"/>
          </w:tcPr>
          <w:p>
            <w:pPr>
              <w:pStyle w:val="TableContents"/>
              <w:bidi w:val="0"/>
              <w:spacing w:before="0" w:after="0"/>
              <w:jc w:val="left"/>
              <w:rPr/>
            </w:pPr>
            <w:r>
              <w:rPr/>
              <w:t> </w:t>
            </w:r>
          </w:p>
        </w:tc>
        <w:tc>
          <w:tcPr>
            <w:tcW w:w="97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457,241</w:t>
            </w:r>
          </w:p>
        </w:tc>
        <w:tc>
          <w:tcPr>
            <w:tcW w:w="61" w:type="dxa"/>
            <w:tcBorders/>
            <w:shd w:fill="FFFFFF" w:val="clear"/>
            <w:vAlign w:val="center"/>
          </w:tcPr>
          <w:p>
            <w:pPr>
              <w:pStyle w:val="TableContents"/>
              <w:bidi w:val="0"/>
              <w:spacing w:before="0" w:after="0"/>
              <w:jc w:val="left"/>
              <w:rPr/>
            </w:pPr>
            <w:r>
              <w:rPr/>
              <w:t> </w:t>
            </w:r>
          </w:p>
        </w:tc>
        <w:tc>
          <w:tcPr>
            <w:tcW w:w="128" w:type="dxa"/>
            <w:tcBorders/>
            <w:shd w:fill="FFFFFF" w:val="clear"/>
            <w:vAlign w:val="center"/>
          </w:tcPr>
          <w:p>
            <w:pPr>
              <w:pStyle w:val="TableContents"/>
              <w:bidi w:val="0"/>
              <w:spacing w:before="0" w:after="0"/>
              <w:jc w:val="left"/>
              <w:rPr/>
            </w:pPr>
            <w:r>
              <w:rPr/>
              <w:t> </w:t>
            </w:r>
          </w:p>
        </w:tc>
        <w:tc>
          <w:tcPr>
            <w:tcW w:w="97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488,454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330,406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6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423,354</w:t>
            </w:r>
          </w:p>
        </w:tc>
      </w:tr>
      <w:tr>
        <w:trPr/>
        <w:tc>
          <w:tcPr>
            <w:tcW w:w="5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Incremental shares from assumed conversion of convertible debt</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79"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176,123</w:t>
            </w:r>
          </w:p>
        </w:tc>
        <w:tc>
          <w:tcPr>
            <w:tcW w:w="61" w:type="dxa"/>
            <w:tcBorders/>
            <w:shd w:fill="CCEEFF" w:val="clear"/>
            <w:vAlign w:val="center"/>
          </w:tcPr>
          <w:p>
            <w:pPr>
              <w:pStyle w:val="TableContents"/>
              <w:bidi w:val="0"/>
              <w:spacing w:before="0" w:after="0"/>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79"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2,781,818</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1,188,445</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6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2,781,818</w:t>
            </w:r>
          </w:p>
        </w:tc>
      </w:tr>
      <w:tr>
        <w:trPr/>
        <w:tc>
          <w:tcPr>
            <w:tcW w:w="56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 weighted average shares outstanding</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97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42,954,631</w:t>
            </w:r>
          </w:p>
        </w:tc>
        <w:tc>
          <w:tcPr>
            <w:tcW w:w="61" w:type="dxa"/>
            <w:tcBorders/>
            <w:shd w:fill="FFFFFF" w:val="clear"/>
            <w:vAlign w:val="center"/>
          </w:tcPr>
          <w:p>
            <w:pPr>
              <w:pStyle w:val="TableContents"/>
              <w:bidi w:val="0"/>
              <w:spacing w:before="0" w:after="0"/>
              <w:jc w:val="left"/>
              <w:rPr/>
            </w:pPr>
            <w:r>
              <w:rPr/>
              <w:t> </w:t>
            </w:r>
          </w:p>
        </w:tc>
        <w:tc>
          <w:tcPr>
            <w:tcW w:w="12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97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48,700,270</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95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44,518,132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96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48,828,642</w:t>
            </w:r>
          </w:p>
        </w:tc>
      </w:tr>
    </w:tbl>
    <w:p>
      <w:pPr>
        <w:pStyle w:val="TextBody"/>
        <w:bidi w:val="0"/>
        <w:spacing w:lineRule="atLeast" w:line="240" w:before="0" w:after="0"/>
        <w:jc w:val="left"/>
        <w:rPr/>
      </w:pPr>
      <w:r>
        <w:rPr/>
        <w:t> </w:t>
      </w:r>
    </w:p>
    <w:p>
      <w:pPr>
        <w:pStyle w:val="TextBody"/>
        <w:bidi w:val="0"/>
        <w:spacing w:lineRule="atLeast" w:line="240" w:before="0" w:after="200"/>
        <w:jc w:val="both"/>
        <w:rPr>
          <w:rFonts w:ascii="Times New Roman" w:hAnsi="Times New Roman"/>
          <w:sz w:val="24"/>
        </w:rPr>
      </w:pPr>
      <w:r>
        <w:rPr>
          <w:rFonts w:ascii="Times New Roman" w:hAnsi="Times New Roman"/>
          <w:sz w:val="20"/>
        </w:rPr>
        <w:t>The table includes all stock options and restricted stock units that are dilutive to the Company's weighted average common shares outstanding during the period. The calculation of diluted earnings per share excludes stock options or shares of restricted stock units that are anti-dilutive to the Company's weighted average common shares outstanding of approximately 3.9</w:t>
      </w:r>
      <w:r>
        <w:rPr>
          <w:rFonts w:ascii="Times New Roman" w:hAnsi="Times New Roman"/>
          <w:sz w:val="24"/>
        </w:rPr>
        <w:t xml:space="preserve"> </w:t>
      </w:r>
      <w:r>
        <w:rPr>
          <w:rFonts w:ascii="Times New Roman" w:hAnsi="Times New Roman"/>
          <w:sz w:val="20"/>
        </w:rPr>
        <w:t>million and 3.9</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three and six months ended June 30, 2025</w:t>
      </w:r>
      <w:r>
        <w:rPr>
          <w:rFonts w:ascii="Times New Roman" w:hAnsi="Times New Roman"/>
          <w:sz w:val="24"/>
        </w:rPr>
        <w:t xml:space="preserve"> </w:t>
      </w:r>
      <w:r>
        <w:rPr>
          <w:rFonts w:ascii="Times New Roman" w:hAnsi="Times New Roman"/>
          <w:sz w:val="20"/>
        </w:rPr>
        <w:t>and 3.1</w:t>
      </w:r>
      <w:r>
        <w:rPr>
          <w:rFonts w:ascii="Times New Roman" w:hAnsi="Times New Roman"/>
          <w:sz w:val="24"/>
        </w:rPr>
        <w:t xml:space="preserve"> </w:t>
      </w:r>
      <w:r>
        <w:rPr>
          <w:rFonts w:ascii="Times New Roman" w:hAnsi="Times New Roman"/>
          <w:sz w:val="20"/>
        </w:rPr>
        <w:t>million and 3.2</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three and six months ended June 30, 2024, respectively.</w:t>
      </w:r>
    </w:p>
    <w:p>
      <w:pPr>
        <w:pStyle w:val="TextBody"/>
        <w:bidi w:val="0"/>
        <w:spacing w:before="0" w:after="0"/>
        <w:jc w:val="both"/>
        <w:rPr>
          <w:rFonts w:ascii="Times New Roman" w:hAnsi="Times New Roman"/>
          <w:sz w:val="20"/>
        </w:rPr>
      </w:pPr>
      <w:r>
        <w:rPr>
          <w:rFonts w:ascii="Times New Roman" w:hAnsi="Times New Roman"/>
          <w:sz w:val="20"/>
        </w:rPr>
        <w:t>Euronet issued Convertible Senior Notes ("Convertible Notes") due March 2049 on March 18, 2019. The Convertible Notes currently have a settlement feature requiring us upon conversion to settle the principal amount of the debt and any conversion value in excess of the principal value ("conversion premium"), for cash or shares of Euronet's common stock or a combination thereof, at the Company's option. The Company has stated its intent to settle any conversion of these notes by paying cash for the principal value and issuing common stock for any conversion premium; however, after adopting ASU 2020-06, 2.8 million incremental shares assumed for conversion of Convertible Notes were initially required to be included in the dilutive earnings per share calculation, if dilutive, regardless of whether the market price trigger had been met. Therefore, the Convertible Notes are included in the calculation of diluted earnings per share if their inclusion is dilutive. The dilutive effect increases the more the market price exceeds the conversion price of $188.73 per share. See Note 10, Debt Obligations, to the consolidated financial statements for more information about the Convertible Notes.</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spacing w:lineRule="atLeast" w:line="264" w:before="0" w:after="200"/>
        <w:jc w:val="both"/>
        <w:rPr>
          <w:rFonts w:ascii="Times New Roman" w:hAnsi="Times New Roman"/>
          <w:sz w:val="24"/>
        </w:rPr>
      </w:pPr>
      <w:r>
        <w:rPr>
          <w:rFonts w:ascii="Times New Roman" w:hAnsi="Times New Roman"/>
          <w:sz w:val="20"/>
        </w:rPr>
        <w:t>During March 2025, almost all of the Convertible Note holders exercised their right to require the Company to repurchase their notes, and the Company repurchased $491.8</w:t>
      </w:r>
      <w:r>
        <w:rPr>
          <w:rFonts w:ascii="Times New Roman" w:hAnsi="Times New Roman"/>
          <w:sz w:val="24"/>
        </w:rPr>
        <w:t xml:space="preserve">  </w:t>
      </w:r>
      <w:r>
        <w:rPr>
          <w:rFonts w:ascii="Times New Roman" w:hAnsi="Times New Roman"/>
          <w:sz w:val="20"/>
        </w:rPr>
        <w:t>million of Convertible Notes leaving $33.2</w:t>
      </w:r>
      <w:r>
        <w:rPr>
          <w:rFonts w:ascii="Times New Roman" w:hAnsi="Times New Roman"/>
          <w:sz w:val="24"/>
        </w:rPr>
        <w:t xml:space="preserve"> </w:t>
      </w:r>
      <w:r>
        <w:rPr>
          <w:rFonts w:ascii="Times New Roman" w:hAnsi="Times New Roman"/>
          <w:sz w:val="20"/>
        </w:rPr>
        <w:t>million of Convertible Notes outstanding at June 30, 2025. This repurchase reduced the weighted average incremental shares from assumed conversion from 2.8</w:t>
      </w:r>
      <w:r>
        <w:rPr>
          <w:rFonts w:ascii="Times New Roman" w:hAnsi="Times New Roman"/>
          <w:sz w:val="24"/>
        </w:rPr>
        <w:t xml:space="preserve"> </w:t>
      </w:r>
      <w:r>
        <w:rPr>
          <w:rFonts w:ascii="Times New Roman" w:hAnsi="Times New Roman"/>
          <w:sz w:val="20"/>
        </w:rPr>
        <w:t>million in the prior year to 0.2</w:t>
      </w:r>
      <w:r>
        <w:rPr>
          <w:rFonts w:ascii="Times New Roman" w:hAnsi="Times New Roman"/>
          <w:sz w:val="24"/>
        </w:rPr>
        <w:t xml:space="preserve"> </w:t>
      </w:r>
      <w:r>
        <w:rPr>
          <w:rFonts w:ascii="Times New Roman" w:hAnsi="Times New Roman"/>
          <w:sz w:val="20"/>
        </w:rPr>
        <w:t>million for the three months ended June 30, 2025.</w:t>
      </w:r>
    </w:p>
    <w:p>
      <w:pPr>
        <w:pStyle w:val="TextBody"/>
        <w:bidi w:val="0"/>
        <w:spacing w:lineRule="atLeast" w:line="240" w:before="0" w:after="200"/>
        <w:jc w:val="both"/>
        <w:rPr>
          <w:rFonts w:ascii="Times New Roman" w:hAnsi="Times New Roman"/>
          <w:i/>
          <w:sz w:val="20"/>
        </w:rPr>
      </w:pPr>
      <w:r>
        <w:rPr>
          <w:rFonts w:ascii="Times New Roman" w:hAnsi="Times New Roman"/>
          <w:i/>
          <w:sz w:val="20"/>
        </w:rPr>
        <w:t>Share repurchases</w:t>
      </w:r>
    </w:p>
    <w:p>
      <w:pPr>
        <w:pStyle w:val="TextBody"/>
        <w:bidi w:val="0"/>
        <w:spacing w:lineRule="atLeast" w:line="240" w:before="0" w:after="0"/>
        <w:jc w:val="both"/>
        <w:rPr>
          <w:rFonts w:ascii="Times New Roman" w:hAnsi="Times New Roman"/>
          <w:sz w:val="24"/>
        </w:rPr>
      </w:pPr>
      <w:r>
        <w:rPr>
          <w:rFonts w:ascii="Times New Roman" w:hAnsi="Times New Roman"/>
          <w:sz w:val="20"/>
        </w:rPr>
        <w:t>On September 13, 2023, the Company put a repurchase program in place to repurchase up to $350</w:t>
      </w:r>
      <w:r>
        <w:rPr>
          <w:rFonts w:ascii="Times New Roman" w:hAnsi="Times New Roman"/>
          <w:sz w:val="24"/>
        </w:rPr>
        <w:t> </w:t>
      </w:r>
      <w:r>
        <w:rPr>
          <w:rFonts w:ascii="Times New Roman" w:hAnsi="Times New Roman"/>
          <w:sz w:val="20"/>
        </w:rPr>
        <w:t>million in value, but not more than</w:t>
      </w:r>
      <w:r>
        <w:rPr>
          <w:rFonts w:ascii="Times New Roman" w:hAnsi="Times New Roman"/>
          <w:sz w:val="24"/>
        </w:rPr>
        <w:t> </w:t>
      </w:r>
      <w:r>
        <w:rPr>
          <w:rFonts w:ascii="Times New Roman" w:hAnsi="Times New Roman"/>
          <w:sz w:val="20"/>
        </w:rPr>
        <w:t>7.0</w:t>
      </w:r>
      <w:r>
        <w:rPr>
          <w:rFonts w:ascii="Times New Roman" w:hAnsi="Times New Roman"/>
          <w:sz w:val="24"/>
        </w:rPr>
        <w:t> </w:t>
      </w:r>
      <w:r>
        <w:rPr>
          <w:rFonts w:ascii="Times New Roman" w:hAnsi="Times New Roman"/>
          <w:sz w:val="20"/>
        </w:rPr>
        <w:t>million shares of common stock through September 13, 2025.</w:t>
      </w:r>
      <w:r>
        <w:rPr>
          <w:rFonts w:ascii="Times New Roman" w:hAnsi="Times New Roman"/>
          <w:sz w:val="24"/>
        </w:rPr>
        <w:t> </w:t>
      </w:r>
      <w:r>
        <w:rPr>
          <w:rFonts w:ascii="Times New Roman" w:hAnsi="Times New Roman"/>
          <w:sz w:val="20"/>
        </w:rPr>
        <w:t>As of June 30, 2025, no</w:t>
      </w:r>
      <w:r>
        <w:rPr>
          <w:rFonts w:ascii="Times New Roman" w:hAnsi="Times New Roman"/>
          <w:sz w:val="24"/>
        </w:rPr>
        <w:t xml:space="preserve"> </w:t>
      </w:r>
      <w:r>
        <w:rPr>
          <w:rFonts w:ascii="Times New Roman" w:hAnsi="Times New Roman"/>
          <w:sz w:val="20"/>
        </w:rPr>
        <w:t>shares were available to be repurchased under this repurchase program.</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On September 11, 2024, the Company put a repurchase program in place to repurchase up to $350</w:t>
      </w:r>
      <w:r>
        <w:rPr>
          <w:rFonts w:ascii="Times New Roman" w:hAnsi="Times New Roman"/>
          <w:sz w:val="24"/>
        </w:rPr>
        <w:t> </w:t>
      </w:r>
      <w:r>
        <w:rPr>
          <w:rFonts w:ascii="Times New Roman" w:hAnsi="Times New Roman"/>
          <w:sz w:val="20"/>
        </w:rPr>
        <w:t>million in value, but not more than</w:t>
      </w:r>
      <w:r>
        <w:rPr>
          <w:rFonts w:ascii="Times New Roman" w:hAnsi="Times New Roman"/>
          <w:sz w:val="24"/>
        </w:rPr>
        <w:t> </w:t>
      </w:r>
      <w:r>
        <w:rPr>
          <w:rFonts w:ascii="Times New Roman" w:hAnsi="Times New Roman"/>
          <w:sz w:val="20"/>
        </w:rPr>
        <w:t>7.0</w:t>
      </w:r>
      <w:r>
        <w:rPr>
          <w:rFonts w:ascii="Times New Roman" w:hAnsi="Times New Roman"/>
          <w:sz w:val="24"/>
        </w:rPr>
        <w:t> </w:t>
      </w:r>
      <w:r>
        <w:rPr>
          <w:rFonts w:ascii="Times New Roman" w:hAnsi="Times New Roman"/>
          <w:sz w:val="20"/>
        </w:rPr>
        <w:t>million shares of common stock through September 11, 2026.</w:t>
      </w:r>
      <w:r>
        <w:rPr>
          <w:rFonts w:ascii="Times New Roman" w:hAnsi="Times New Roman"/>
          <w:sz w:val="24"/>
        </w:rPr>
        <w:t> </w:t>
      </w:r>
      <w:r>
        <w:rPr>
          <w:rFonts w:ascii="Times New Roman" w:hAnsi="Times New Roman"/>
          <w:sz w:val="20"/>
        </w:rPr>
        <w:t>As of June 30, 2025, approximately $224.8</w:t>
      </w:r>
      <w:r>
        <w:rPr>
          <w:rFonts w:ascii="Times New Roman" w:hAnsi="Times New Roman"/>
          <w:sz w:val="24"/>
        </w:rPr>
        <w:t xml:space="preserve"> </w:t>
      </w:r>
      <w:r>
        <w:rPr>
          <w:rFonts w:ascii="Times New Roman" w:hAnsi="Times New Roman"/>
          <w:sz w:val="20"/>
        </w:rPr>
        <w:t>million in value of additional shares were available to be repurchased under this repurchase program.</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On June 3, 2025, the Company put a repurchase program in place to repurchase up to $400</w:t>
      </w:r>
      <w:r>
        <w:rPr>
          <w:rFonts w:ascii="Times New Roman" w:hAnsi="Times New Roman"/>
          <w:sz w:val="24"/>
        </w:rPr>
        <w:t> </w:t>
      </w:r>
      <w:r>
        <w:rPr>
          <w:rFonts w:ascii="Times New Roman" w:hAnsi="Times New Roman"/>
          <w:sz w:val="20"/>
        </w:rPr>
        <w:t>million in value, but not more than</w:t>
      </w:r>
      <w:r>
        <w:rPr>
          <w:rFonts w:ascii="Times New Roman" w:hAnsi="Times New Roman"/>
          <w:sz w:val="24"/>
        </w:rPr>
        <w:t> </w:t>
      </w:r>
      <w:r>
        <w:rPr>
          <w:rFonts w:ascii="Times New Roman" w:hAnsi="Times New Roman"/>
          <w:sz w:val="20"/>
        </w:rPr>
        <w:t>8.0</w:t>
      </w:r>
      <w:r>
        <w:rPr>
          <w:rFonts w:ascii="Times New Roman" w:hAnsi="Times New Roman"/>
          <w:sz w:val="24"/>
        </w:rPr>
        <w:t> </w:t>
      </w:r>
      <w:r>
        <w:rPr>
          <w:rFonts w:ascii="Times New Roman" w:hAnsi="Times New Roman"/>
          <w:sz w:val="20"/>
        </w:rPr>
        <w:t>million shares of common stock through June 3, 2027.</w:t>
      </w:r>
      <w:r>
        <w:rPr>
          <w:rFonts w:ascii="Times New Roman" w:hAnsi="Times New Roman"/>
          <w:sz w:val="24"/>
        </w:rPr>
        <w:t> </w:t>
      </w:r>
      <w:r>
        <w:rPr>
          <w:rFonts w:ascii="Times New Roman" w:hAnsi="Times New Roman"/>
          <w:sz w:val="20"/>
        </w:rPr>
        <w:t>As of June 30, 2025, all shares were available to be repurchased under this repurchase program.</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Repurchases under the programs may take place in the open market or in privately negotiated transactions, including derivative transactions, and may be made under a Rule 10b5-1</w:t>
      </w:r>
      <w:r>
        <w:rPr>
          <w:rFonts w:ascii="Times New Roman" w:hAnsi="Times New Roman"/>
          <w:sz w:val="24"/>
        </w:rPr>
        <w:t> </w:t>
      </w:r>
      <w:r>
        <w:rPr>
          <w:rFonts w:ascii="Times New Roman" w:hAnsi="Times New Roman"/>
          <w:sz w:val="20"/>
        </w:rPr>
        <w:t>plan.</w:t>
      </w:r>
    </w:p>
    <w:p>
      <w:pPr>
        <w:pStyle w:val="TextBody"/>
        <w:bidi w:val="0"/>
        <w:spacing w:lineRule="atLeast" w:line="240" w:before="0" w:after="0"/>
        <w:jc w:val="both"/>
        <w:rPr/>
      </w:pPr>
      <w:r>
        <w:rPr/>
        <w:t> </w:t>
      </w:r>
    </w:p>
    <w:p>
      <w:pPr>
        <w:pStyle w:val="TextBody"/>
        <w:bidi w:val="0"/>
        <w:spacing w:lineRule="atLeast" w:line="240" w:before="0" w:after="200"/>
        <w:jc w:val="both"/>
        <w:rPr>
          <w:rFonts w:ascii="Times New Roman" w:hAnsi="Times New Roman"/>
          <w:i/>
          <w:sz w:val="20"/>
        </w:rPr>
      </w:pPr>
      <w:r>
        <w:rPr>
          <w:rFonts w:ascii="Times New Roman" w:hAnsi="Times New Roman"/>
          <w:i/>
          <w:sz w:val="20"/>
        </w:rPr>
        <w:t>Accumulated Other Comprehensive Income (loss)</w:t>
      </w:r>
    </w:p>
    <w:p>
      <w:pPr>
        <w:pStyle w:val="TextBody"/>
        <w:bidi w:val="0"/>
        <w:spacing w:lineRule="atLeast" w:line="240" w:before="0" w:after="0"/>
        <w:jc w:val="both"/>
        <w:rPr>
          <w:rFonts w:ascii="Times New Roman" w:hAnsi="Times New Roman"/>
          <w:sz w:val="24"/>
        </w:rPr>
      </w:pPr>
      <w:r>
        <w:rPr>
          <w:rFonts w:ascii="Times New Roman" w:hAnsi="Times New Roman"/>
          <w:sz w:val="20"/>
        </w:rPr>
        <w:t>Accumulated other comprehensive income (loss) consists entirely of foreign currency translation adjustments. The Company recorded foreign currency translation gains of $186.0</w:t>
      </w:r>
      <w:r>
        <w:rPr>
          <w:rFonts w:ascii="Times New Roman" w:hAnsi="Times New Roman"/>
          <w:sz w:val="24"/>
        </w:rPr>
        <w:t> </w:t>
      </w:r>
      <w:r>
        <w:rPr>
          <w:rFonts w:ascii="Times New Roman" w:hAnsi="Times New Roman"/>
          <w:sz w:val="20"/>
        </w:rPr>
        <w:t>million and $270.0</w:t>
      </w:r>
      <w:r>
        <w:rPr>
          <w:rFonts w:ascii="Times New Roman" w:hAnsi="Times New Roman"/>
          <w:sz w:val="24"/>
        </w:rPr>
        <w:t xml:space="preserve"> </w:t>
      </w:r>
      <w:r>
        <w:rPr>
          <w:rFonts w:ascii="Times New Roman" w:hAnsi="Times New Roman"/>
          <w:sz w:val="20"/>
        </w:rPr>
        <w:t>million for the three and six months ended June 30, 2025</w:t>
      </w:r>
      <w:r>
        <w:rPr>
          <w:rFonts w:ascii="Times New Roman" w:hAnsi="Times New Roman"/>
          <w:sz w:val="24"/>
        </w:rPr>
        <w:t> </w:t>
      </w:r>
      <w:r>
        <w:rPr>
          <w:rFonts w:ascii="Times New Roman" w:hAnsi="Times New Roman"/>
          <w:sz w:val="20"/>
        </w:rPr>
        <w:t>and losses of $10.0</w:t>
      </w:r>
      <w:r>
        <w:rPr>
          <w:rFonts w:ascii="Times New Roman" w:hAnsi="Times New Roman"/>
          <w:sz w:val="24"/>
        </w:rPr>
        <w:t> </w:t>
      </w:r>
      <w:r>
        <w:rPr>
          <w:rFonts w:ascii="Times New Roman" w:hAnsi="Times New Roman"/>
          <w:sz w:val="20"/>
        </w:rPr>
        <w:t>million and $55.0</w:t>
      </w:r>
      <w:r>
        <w:rPr>
          <w:rFonts w:ascii="Times New Roman" w:hAnsi="Times New Roman"/>
          <w:sz w:val="24"/>
        </w:rPr>
        <w:t xml:space="preserve"> </w:t>
      </w:r>
      <w:r>
        <w:rPr>
          <w:rFonts w:ascii="Times New Roman" w:hAnsi="Times New Roman"/>
          <w:sz w:val="20"/>
        </w:rPr>
        <w:t>million for the three and six months ended June 30, 2024, respectively. There were no</w:t>
      </w:r>
      <w:r>
        <w:rPr>
          <w:rFonts w:ascii="Times New Roman" w:hAnsi="Times New Roman"/>
          <w:sz w:val="24"/>
        </w:rPr>
        <w:t xml:space="preserve"> </w:t>
      </w:r>
      <w:r>
        <w:rPr>
          <w:rFonts w:ascii="Times New Roman" w:hAnsi="Times New Roman"/>
          <w:sz w:val="20"/>
        </w:rPr>
        <w:t>reclassifications of foreign currency translation adjustments into the consolidated statements of income for the</w:t>
      </w:r>
      <w:r>
        <w:rPr>
          <w:rFonts w:ascii="Times New Roman" w:hAnsi="Times New Roman"/>
          <w:sz w:val="24"/>
        </w:rPr>
        <w:t> </w:t>
      </w:r>
      <w:r>
        <w:rPr>
          <w:rFonts w:ascii="Times New Roman" w:hAnsi="Times New Roman"/>
          <w:sz w:val="20"/>
        </w:rPr>
        <w:t>three and six months ended June 30, 2025</w:t>
      </w:r>
      <w:r>
        <w:rPr>
          <w:rFonts w:ascii="Times New Roman" w:hAnsi="Times New Roman"/>
          <w:sz w:val="24"/>
        </w:rPr>
        <w:t xml:space="preserve"> </w:t>
      </w:r>
      <w:r>
        <w:rPr>
          <w:rFonts w:ascii="Times New Roman" w:hAnsi="Times New Roman"/>
          <w:sz w:val="20"/>
        </w:rPr>
        <w:t>and 2024.</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sz w:val="24"/>
        </w:rPr>
      </w:pPr>
      <w:r>
        <w:rPr>
          <w:rFonts w:ascii="Times New Roman" w:hAnsi="Times New Roman"/>
          <w:b/>
          <w:sz w:val="20"/>
        </w:rPr>
        <w:t>(6)</w:t>
      </w:r>
      <w:r>
        <w:rPr>
          <w:rFonts w:ascii="Times New Roman" w:hAnsi="Times New Roman"/>
          <w:sz w:val="24"/>
        </w:rPr>
        <w:t> </w:t>
      </w:r>
      <w:r>
        <w:rPr>
          <w:rFonts w:ascii="Times New Roman" w:hAnsi="Times New Roman"/>
          <w:b/>
          <w:sz w:val="20"/>
        </w:rPr>
        <w:t>GOODWILL AND ACQUIRED INTANGIBLE ASSETS, NET</w:t>
      </w:r>
    </w:p>
    <w:p>
      <w:pPr>
        <w:pStyle w:val="TextBody"/>
        <w:bidi w:val="0"/>
        <w:spacing w:lineRule="atLeast" w:line="264" w:before="0" w:after="0"/>
        <w:jc w:val="both"/>
        <w:rPr/>
      </w:pPr>
      <w:r>
        <w:rPr/>
        <w:t> </w:t>
      </w:r>
    </w:p>
    <w:p>
      <w:pPr>
        <w:pStyle w:val="TextBody"/>
        <w:bidi w:val="0"/>
        <w:spacing w:before="0" w:after="0"/>
        <w:jc w:val="left"/>
        <w:rPr>
          <w:rFonts w:ascii="Times New Roman" w:hAnsi="Times New Roman"/>
          <w:sz w:val="20"/>
        </w:rPr>
      </w:pPr>
      <w:r>
        <w:rPr>
          <w:rFonts w:ascii="Times New Roman" w:hAnsi="Times New Roman"/>
          <w:sz w:val="20"/>
        </w:rPr>
        <w:t>A summary of acquired intangible assets and goodwill activity for the six months ended June 30, 2025 is presented below:</w:t>
      </w:r>
    </w:p>
    <w:p>
      <w:pPr>
        <w:pStyle w:val="TextBody"/>
        <w:bidi w:val="0"/>
        <w:spacing w:lineRule="atLeast" w:line="240" w:before="0" w:after="0"/>
        <w:jc w:val="left"/>
        <w:rPr/>
      </w:pPr>
      <w:r>
        <w:rPr/>
        <w:t> </w:t>
      </w:r>
    </w:p>
    <w:tbl>
      <w:tblPr>
        <w:tblW w:w="6050" w:type="dxa"/>
        <w:jc w:val="left"/>
        <w:tblInd w:w="0" w:type="dxa"/>
        <w:tblLayout w:type="fixed"/>
        <w:tblCellMar>
          <w:top w:w="0" w:type="dxa"/>
          <w:left w:w="0" w:type="dxa"/>
          <w:bottom w:w="0" w:type="dxa"/>
          <w:right w:w="0" w:type="dxa"/>
        </w:tblCellMar>
      </w:tblPr>
      <w:tblGrid>
        <w:gridCol w:w="3290"/>
        <w:gridCol w:w="60"/>
        <w:gridCol w:w="125"/>
        <w:gridCol w:w="755"/>
        <w:gridCol w:w="60"/>
        <w:gridCol w:w="125"/>
        <w:gridCol w:w="680"/>
        <w:gridCol w:w="60"/>
        <w:gridCol w:w="125"/>
        <w:gridCol w:w="770"/>
      </w:tblGrid>
      <w:tr>
        <w:trPr/>
        <w:tc>
          <w:tcPr>
            <w:tcW w:w="32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Acquired</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32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Intangible</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Intangible</w:t>
            </w:r>
          </w:p>
        </w:tc>
      </w:tr>
      <w:tr>
        <w:trPr/>
        <w:tc>
          <w:tcPr>
            <w:tcW w:w="329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Assets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Goodwill</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Assets</w:t>
            </w:r>
          </w:p>
        </w:tc>
      </w:tr>
      <w:tr>
        <w:trPr/>
        <w:tc>
          <w:tcPr>
            <w:tcW w:w="329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188.9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859.2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1,048.1</w:t>
            </w:r>
          </w:p>
        </w:tc>
      </w:tr>
      <w:tr>
        <w:trPr/>
        <w:tc>
          <w:tcPr>
            <w:tcW w:w="329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Increases (decreases):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8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70" w:type="dxa"/>
            <w:tcBorders/>
            <w:shd w:fill="FFFFFF" w:val="clear"/>
            <w:vAlign w:val="center"/>
          </w:tcPr>
          <w:p>
            <w:pPr>
              <w:pStyle w:val="TableContents"/>
              <w:bidi w:val="0"/>
              <w:spacing w:before="0" w:after="0"/>
              <w:jc w:val="right"/>
              <w:rPr/>
            </w:pPr>
            <w:r>
              <w:rPr/>
              <w:t> </w:t>
            </w:r>
          </w:p>
        </w:tc>
      </w:tr>
      <w:tr>
        <w:trPr/>
        <w:tc>
          <w:tcPr>
            <w:tcW w:w="329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Acquisition</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25.7</w:t>
            </w:r>
          </w:p>
        </w:tc>
      </w:tr>
      <w:tr>
        <w:trPr/>
        <w:tc>
          <w:tcPr>
            <w:tcW w:w="329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Impairment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8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70" w:type="dxa"/>
            <w:tcBorders/>
            <w:shd w:fill="FFFFFF" w:val="clear"/>
            <w:vAlign w:val="center"/>
          </w:tcPr>
          <w:p>
            <w:pPr>
              <w:pStyle w:val="TableContents"/>
              <w:bidi w:val="0"/>
              <w:spacing w:before="0" w:after="0"/>
              <w:jc w:val="right"/>
              <w:rPr/>
            </w:pPr>
            <w:r>
              <w:rPr/>
              <w:t>—</w:t>
            </w:r>
          </w:p>
        </w:tc>
      </w:tr>
      <w:tr>
        <w:trPr/>
        <w:tc>
          <w:tcPr>
            <w:tcW w:w="329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Amortization</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9.2</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9.2</w:t>
            </w:r>
            <w:r>
              <w:rPr>
                <w:rFonts w:ascii="Times New Roman" w:hAnsi="Times New Roman"/>
                <w:sz w:val="20"/>
              </w:rPr>
              <w:t>)</w:t>
            </w:r>
          </w:p>
        </w:tc>
      </w:tr>
      <w:tr>
        <w:trPr/>
        <w:tc>
          <w:tcPr>
            <w:tcW w:w="329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Foreign currency exchange rate changes</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15.9</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79.9</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95.8</w:t>
            </w:r>
          </w:p>
        </w:tc>
      </w:tr>
      <w:tr>
        <w:trPr/>
        <w:tc>
          <w:tcPr>
            <w:tcW w:w="3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30, 2025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205.5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954.9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1,160.4</w:t>
            </w:r>
          </w:p>
        </w:tc>
      </w:tr>
    </w:tbl>
    <w:p>
      <w:pPr>
        <w:pStyle w:val="TextBody"/>
        <w:bidi w:val="0"/>
        <w:spacing w:lineRule="atLeast" w:line="264"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Of the total goodwill balance of $954.9 million as of June 30, 2025, $402.7 million relates to the Money Transfer Segment, $480.5 million relates to the EFT Processing Segment and the remaining $71.7 million relates to the epay Segment. Estimated amortization expense on acquired intangible assets with finite lives as of June 30, 2025, is expected to total $10.0 million for the remainder of 2025, $19.2 million for 2026, $17.8 million for 2027, $17.0 million for 2028, $17.0 million for 2029 and $17.0 million for 2030.                            </w:t>
      </w:r>
    </w:p>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b/>
          <w:sz w:val="20"/>
        </w:rPr>
      </w:pPr>
      <w:r>
        <w:rPr>
          <w:rFonts w:ascii="Times New Roman" w:hAnsi="Times New Roman"/>
          <w:b/>
          <w:sz w:val="20"/>
        </w:rPr>
        <w:t>(7) CONVERTIBLE NOTES RECEIVABLE</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Company loaned a total of $60</w:t>
      </w:r>
      <w:r>
        <w:rPr>
          <w:rFonts w:ascii="Times New Roman" w:hAnsi="Times New Roman"/>
          <w:sz w:val="24"/>
        </w:rPr>
        <w:t xml:space="preserve"> </w:t>
      </w:r>
      <w:r>
        <w:rPr>
          <w:rFonts w:ascii="Times New Roman" w:hAnsi="Times New Roman"/>
          <w:sz w:val="20"/>
        </w:rPr>
        <w:t>million to Koin</w:t>
      </w:r>
      <w:r>
        <w:rPr>
          <w:rFonts w:ascii="Times New Roman" w:hAnsi="Times New Roman"/>
          <w:sz w:val="24"/>
        </w:rPr>
        <w:t> </w:t>
      </w:r>
      <w:r>
        <w:rPr>
          <w:rFonts w:ascii="Times New Roman" w:hAnsi="Times New Roman"/>
          <w:sz w:val="20"/>
        </w:rPr>
        <w:t>Mobile, LLC and</w:t>
      </w:r>
      <w:r>
        <w:rPr>
          <w:rFonts w:ascii="Times New Roman" w:hAnsi="Times New Roman"/>
          <w:sz w:val="24"/>
        </w:rPr>
        <w:t> </w:t>
      </w:r>
      <w:r>
        <w:rPr>
          <w:rFonts w:ascii="Times New Roman" w:hAnsi="Times New Roman"/>
          <w:sz w:val="20"/>
        </w:rPr>
        <w:t>Marker Trax, LLC under two</w:t>
      </w:r>
      <w:r>
        <w:rPr>
          <w:rFonts w:ascii="Times New Roman" w:hAnsi="Times New Roman"/>
          <w:sz w:val="24"/>
        </w:rPr>
        <w:t xml:space="preserve"> </w:t>
      </w:r>
      <w:r>
        <w:rPr>
          <w:rFonts w:ascii="Times New Roman" w:hAnsi="Times New Roman"/>
          <w:sz w:val="20"/>
        </w:rPr>
        <w:t>promissory notes (the "2028</w:t>
      </w:r>
      <w:r>
        <w:rPr>
          <w:rFonts w:ascii="Times New Roman" w:hAnsi="Times New Roman"/>
          <w:sz w:val="24"/>
        </w:rPr>
        <w:t xml:space="preserve"> </w:t>
      </w:r>
      <w:r>
        <w:rPr>
          <w:rFonts w:ascii="Times New Roman" w:hAnsi="Times New Roman"/>
          <w:sz w:val="20"/>
        </w:rPr>
        <w:t>Notes"), which were fully executed on October 19, 2023. Under the terms of the 2028</w:t>
      </w:r>
      <w:r>
        <w:rPr>
          <w:rFonts w:ascii="Times New Roman" w:hAnsi="Times New Roman"/>
          <w:sz w:val="24"/>
        </w:rPr>
        <w:t xml:space="preserve"> </w:t>
      </w:r>
      <w:r>
        <w:rPr>
          <w:rFonts w:ascii="Times New Roman" w:hAnsi="Times New Roman"/>
          <w:sz w:val="20"/>
        </w:rPr>
        <w:t>Notes, interest will accrue on the Notes at 2% per annum and all unpaid principal and interest will be due and payable on October 18, 2028</w:t>
      </w:r>
      <w:r>
        <w:rPr>
          <w:rFonts w:ascii="Times New Roman" w:hAnsi="Times New Roman"/>
          <w:sz w:val="24"/>
        </w:rPr>
        <w:t> </w:t>
      </w:r>
      <w:r>
        <w:rPr>
          <w:rFonts w:ascii="Times New Roman" w:hAnsi="Times New Roman"/>
          <w:sz w:val="20"/>
        </w:rPr>
        <w:t xml:space="preserve">if not converted earlier as discussed below.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On March, 27, 2025, the Company loaned $25</w:t>
      </w:r>
      <w:r>
        <w:rPr>
          <w:rFonts w:ascii="Times New Roman" w:hAnsi="Times New Roman"/>
          <w:sz w:val="24"/>
        </w:rPr>
        <w:t xml:space="preserve"> </w:t>
      </w:r>
      <w:r>
        <w:rPr>
          <w:rFonts w:ascii="Times New Roman" w:hAnsi="Times New Roman"/>
          <w:sz w:val="20"/>
        </w:rPr>
        <w:t>million to Marker Trax</w:t>
      </w:r>
      <w:r>
        <w:rPr>
          <w:rFonts w:ascii="Times New Roman" w:hAnsi="Times New Roman"/>
          <w:sz w:val="24"/>
        </w:rPr>
        <w:t> </w:t>
      </w:r>
      <w:r>
        <w:rPr>
          <w:rFonts w:ascii="Times New Roman" w:hAnsi="Times New Roman"/>
          <w:sz w:val="20"/>
        </w:rPr>
        <w:t>Digital,</w:t>
      </w:r>
      <w:r>
        <w:rPr>
          <w:rFonts w:ascii="Times New Roman" w:hAnsi="Times New Roman"/>
          <w:sz w:val="24"/>
        </w:rPr>
        <w:t>  </w:t>
      </w:r>
      <w:r>
        <w:rPr>
          <w:rFonts w:ascii="Times New Roman" w:hAnsi="Times New Roman"/>
          <w:sz w:val="20"/>
        </w:rPr>
        <w:t>LLC under a</w:t>
      </w:r>
      <w:r>
        <w:rPr>
          <w:rFonts w:ascii="Times New Roman" w:hAnsi="Times New Roman"/>
          <w:sz w:val="24"/>
        </w:rPr>
        <w:t> </w:t>
      </w:r>
      <w:r>
        <w:rPr>
          <w:rFonts w:ascii="Times New Roman" w:hAnsi="Times New Roman"/>
          <w:sz w:val="20"/>
        </w:rPr>
        <w:t>promissory note (the "2030</w:t>
      </w:r>
      <w:r>
        <w:rPr>
          <w:rFonts w:ascii="Times New Roman" w:hAnsi="Times New Roman"/>
          <w:sz w:val="24"/>
        </w:rPr>
        <w:t xml:space="preserve"> </w:t>
      </w:r>
      <w:r>
        <w:rPr>
          <w:rFonts w:ascii="Times New Roman" w:hAnsi="Times New Roman"/>
          <w:sz w:val="20"/>
        </w:rPr>
        <w:t>Note"). Under the terms of the 2030</w:t>
      </w:r>
      <w:r>
        <w:rPr>
          <w:rFonts w:ascii="Times New Roman" w:hAnsi="Times New Roman"/>
          <w:sz w:val="24"/>
        </w:rPr>
        <w:t xml:space="preserve"> </w:t>
      </w:r>
      <w:r>
        <w:rPr>
          <w:rFonts w:ascii="Times New Roman" w:hAnsi="Times New Roman"/>
          <w:sz w:val="20"/>
        </w:rPr>
        <w:t>Note, interest will accrue on the 2030</w:t>
      </w:r>
      <w:r>
        <w:rPr>
          <w:rFonts w:ascii="Times New Roman" w:hAnsi="Times New Roman"/>
          <w:sz w:val="24"/>
        </w:rPr>
        <w:t xml:space="preserve"> </w:t>
      </w:r>
      <w:r>
        <w:rPr>
          <w:rFonts w:ascii="Times New Roman" w:hAnsi="Times New Roman"/>
          <w:sz w:val="20"/>
        </w:rPr>
        <w:t>Note at 2% per annum and all unpaid principal and interest will be due and payable on</w:t>
      </w:r>
      <w:r>
        <w:rPr>
          <w:rFonts w:ascii="Times New Roman" w:hAnsi="Times New Roman"/>
          <w:sz w:val="24"/>
        </w:rPr>
        <w:t> </w:t>
      </w:r>
      <w:r>
        <w:rPr>
          <w:rFonts w:ascii="Times New Roman" w:hAnsi="Times New Roman"/>
          <w:sz w:val="20"/>
        </w:rPr>
        <w:t>March 27, 2030</w:t>
      </w:r>
      <w:r>
        <w:rPr>
          <w:rFonts w:ascii="Times New Roman" w:hAnsi="Times New Roman"/>
          <w:sz w:val="24"/>
        </w:rPr>
        <w:t> </w:t>
      </w:r>
      <w:r>
        <w:rPr>
          <w:rFonts w:ascii="Times New Roman" w:hAnsi="Times New Roman"/>
          <w:sz w:val="20"/>
        </w:rPr>
        <w:t>if not converted earlier as discussed below.</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Company has a security interest in all of the assets of Koin Mobile, LLC, Marker Trax, LLC, and Marker Trax</w:t>
      </w:r>
      <w:r>
        <w:rPr>
          <w:rFonts w:ascii="Times New Roman" w:hAnsi="Times New Roman"/>
          <w:sz w:val="24"/>
        </w:rPr>
        <w:t> </w:t>
      </w:r>
      <w:r>
        <w:rPr>
          <w:rFonts w:ascii="Times New Roman" w:hAnsi="Times New Roman"/>
          <w:sz w:val="20"/>
        </w:rPr>
        <w:t>Digital, LLC. The aggregate outstanding principal and accrued interest under the 2028</w:t>
      </w:r>
      <w:r>
        <w:rPr>
          <w:rFonts w:ascii="Times New Roman" w:hAnsi="Times New Roman"/>
          <w:sz w:val="24"/>
        </w:rPr>
        <w:t xml:space="preserve"> </w:t>
      </w:r>
      <w:r>
        <w:rPr>
          <w:rFonts w:ascii="Times New Roman" w:hAnsi="Times New Roman"/>
          <w:sz w:val="20"/>
        </w:rPr>
        <w:t>Notes and the 2030</w:t>
      </w:r>
      <w:r>
        <w:rPr>
          <w:rFonts w:ascii="Times New Roman" w:hAnsi="Times New Roman"/>
          <w:sz w:val="24"/>
        </w:rPr>
        <w:t xml:space="preserve"> </w:t>
      </w:r>
      <w:r>
        <w:rPr>
          <w:rFonts w:ascii="Times New Roman" w:hAnsi="Times New Roman"/>
          <w:sz w:val="20"/>
        </w:rPr>
        <w:t>Note were $85.0</w:t>
      </w:r>
      <w:r>
        <w:rPr>
          <w:rFonts w:ascii="Times New Roman" w:hAnsi="Times New Roman"/>
          <w:sz w:val="24"/>
        </w:rPr>
        <w:t> </w:t>
      </w:r>
      <w:r>
        <w:rPr>
          <w:rFonts w:ascii="Times New Roman" w:hAnsi="Times New Roman"/>
          <w:sz w:val="20"/>
        </w:rPr>
        <w:t>million and $2.2</w:t>
      </w:r>
      <w:r>
        <w:rPr>
          <w:rFonts w:ascii="Times New Roman" w:hAnsi="Times New Roman"/>
          <w:sz w:val="24"/>
        </w:rPr>
        <w:t> </w:t>
      </w:r>
      <w:r>
        <w:rPr>
          <w:rFonts w:ascii="Times New Roman" w:hAnsi="Times New Roman"/>
          <w:sz w:val="20"/>
        </w:rPr>
        <w:t>million at June 30, 2025.</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2028 Notes and the 2030 Note are convertible into preferred equity of Koin Mobile, LLC, Marker Trax, LLC and Marker Trax Digital, LLC, at the option of the Company upon the occurrence of certain events including a qualified equity financing, change in control, achievement of profitability or at the option of the Company at maturity, as defined in the related promissory note purchase agreements.</w:t>
      </w:r>
    </w:p>
    <w:p>
      <w:pPr>
        <w:pStyle w:val="TextBody"/>
        <w:bidi w:val="0"/>
        <w:spacing w:before="0" w:after="0"/>
        <w:jc w:val="left"/>
        <w:rPr/>
      </w:pPr>
      <w:r>
        <w:rPr/>
        <w:t> </w:t>
      </w:r>
    </w:p>
    <w:p>
      <w:pPr>
        <w:pStyle w:val="TextBody"/>
        <w:bidi w:val="0"/>
        <w:spacing w:lineRule="atLeast" w:line="240" w:before="0" w:after="0"/>
        <w:jc w:val="left"/>
        <w:rPr>
          <w:rFonts w:ascii="Times New Roman" w:hAnsi="Times New Roman"/>
          <w:sz w:val="24"/>
        </w:rPr>
      </w:pPr>
      <w:r>
        <w:rPr>
          <w:rFonts w:ascii="Times New Roman" w:hAnsi="Times New Roman"/>
          <w:b/>
          <w:sz w:val="20"/>
        </w:rPr>
        <w:t>(8)</w:t>
      </w:r>
      <w:r>
        <w:rPr>
          <w:rFonts w:ascii="Times New Roman" w:hAnsi="Times New Roman"/>
          <w:sz w:val="24"/>
        </w:rPr>
        <w:t> </w:t>
      </w:r>
      <w:r>
        <w:rPr>
          <w:rFonts w:ascii="Times New Roman" w:hAnsi="Times New Roman"/>
          <w:b/>
          <w:sz w:val="20"/>
        </w:rPr>
        <w:t>ACCRUED EXPENSES AND OTHER CURRENT LIABILITIES</w:t>
      </w:r>
    </w:p>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sz w:val="20"/>
        </w:rPr>
      </w:pPr>
      <w:r>
        <w:rPr>
          <w:rFonts w:ascii="Times New Roman" w:hAnsi="Times New Roman"/>
          <w:sz w:val="20"/>
        </w:rPr>
        <w:t>Accrued expenses and other current liabilities consist of the following:</w:t>
      </w:r>
    </w:p>
    <w:p>
      <w:pPr>
        <w:pStyle w:val="TextBody"/>
        <w:bidi w:val="0"/>
        <w:spacing w:lineRule="atLeast" w:line="240"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3530"/>
        <w:gridCol w:w="60"/>
        <w:gridCol w:w="125"/>
        <w:gridCol w:w="1040"/>
        <w:gridCol w:w="60"/>
        <w:gridCol w:w="125"/>
        <w:gridCol w:w="1430"/>
      </w:tblGrid>
      <w:tr>
        <w:trPr/>
        <w:tc>
          <w:tcPr>
            <w:tcW w:w="35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780"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w:t>
            </w:r>
          </w:p>
        </w:tc>
      </w:tr>
      <w:tr>
        <w:trPr/>
        <w:tc>
          <w:tcPr>
            <w:tcW w:w="353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4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June 30, 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3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2024</w:t>
            </w:r>
          </w:p>
        </w:tc>
      </w:tr>
      <w:tr>
        <w:trPr/>
        <w:tc>
          <w:tcPr>
            <w:tcW w:w="353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351.3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322.4</w:t>
            </w:r>
          </w:p>
        </w:tc>
      </w:tr>
      <w:tr>
        <w:trPr/>
        <w:tc>
          <w:tcPr>
            <w:tcW w:w="35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tax payables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22.8</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liabilities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53.7</w:t>
            </w:r>
          </w:p>
        </w:tc>
      </w:tr>
      <w:tr>
        <w:trPr/>
        <w:tc>
          <w:tcPr>
            <w:tcW w:w="35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payroll expenses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66.3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75.5</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portion of capital lease obligations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r>
      <w:tr>
        <w:trPr/>
        <w:tc>
          <w:tcPr>
            <w:tcW w:w="3530" w:type="dxa"/>
            <w:tcBorders/>
            <w:shd w:fill="FFFFFF" w:val="clear"/>
            <w:vAlign w:val="center"/>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492.3</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475.7</w:t>
            </w:r>
          </w:p>
        </w:tc>
      </w:tr>
    </w:tbl>
    <w:p>
      <w:pPr>
        <w:pStyle w:val="TextBody"/>
        <w:bidi w:val="0"/>
        <w:spacing w:before="0" w:after="0"/>
        <w:jc w:val="both"/>
        <w:rPr/>
      </w:pPr>
      <w:r>
        <w:rPr/>
        <w:t> </w:t>
      </w:r>
    </w:p>
    <w:p>
      <w:pPr>
        <w:pStyle w:val="TextBody"/>
        <w:bidi w:val="0"/>
        <w:spacing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b/>
          <w:sz w:val="20"/>
        </w:rPr>
        <w:t>(9)</w:t>
      </w:r>
      <w:r>
        <w:rPr>
          <w:rFonts w:ascii="Times New Roman" w:hAnsi="Times New Roman"/>
          <w:sz w:val="24"/>
        </w:rPr>
        <w:t> </w:t>
      </w:r>
      <w:r>
        <w:rPr>
          <w:rFonts w:ascii="Times New Roman" w:hAnsi="Times New Roman"/>
          <w:b/>
          <w:sz w:val="20"/>
        </w:rPr>
        <w:t>DEFERRED</w:t>
      </w:r>
      <w:r>
        <w:rPr>
          <w:rFonts w:ascii="Times New Roman" w:hAnsi="Times New Roman"/>
          <w:sz w:val="24"/>
        </w:rPr>
        <w:t> </w:t>
      </w:r>
      <w:r>
        <w:rPr>
          <w:rFonts w:ascii="Times New Roman" w:hAnsi="Times New Roman"/>
          <w:b/>
          <w:sz w:val="20"/>
        </w:rPr>
        <w:t>REVENUES</w:t>
      </w:r>
    </w:p>
    <w:p>
      <w:pPr>
        <w:pStyle w:val="TextBody"/>
        <w:bidi w:val="0"/>
        <w:spacing w:lineRule="atLeast" w:line="264"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Company records deferred revenues when cash payments are received or due in advance of the Company's performance. The decrease in the deferred revenue balance for the six months ended June 30, 2025</w:t>
      </w:r>
      <w:r>
        <w:rPr>
          <w:rFonts w:ascii="Times New Roman" w:hAnsi="Times New Roman"/>
          <w:sz w:val="24"/>
        </w:rPr>
        <w:t xml:space="preserve"> </w:t>
      </w:r>
      <w:r>
        <w:rPr>
          <w:rFonts w:ascii="Times New Roman" w:hAnsi="Times New Roman"/>
          <w:sz w:val="20"/>
        </w:rPr>
        <w:t>is the result of</w:t>
      </w:r>
      <w:r>
        <w:rPr>
          <w:rFonts w:ascii="Times New Roman" w:hAnsi="Times New Roman"/>
          <w:sz w:val="24"/>
        </w:rPr>
        <w:t> </w:t>
      </w:r>
      <w:r>
        <w:rPr>
          <w:rFonts w:ascii="Times New Roman" w:hAnsi="Times New Roman"/>
          <w:sz w:val="20"/>
        </w:rPr>
        <w:t>$142.7</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of revenues recognized and</w:t>
      </w:r>
      <w:r>
        <w:rPr>
          <w:rFonts w:ascii="Times New Roman" w:hAnsi="Times New Roman"/>
          <w:sz w:val="24"/>
        </w:rPr>
        <w:t> </w:t>
      </w:r>
      <w:r>
        <w:rPr>
          <w:rFonts w:ascii="Times New Roman" w:hAnsi="Times New Roman"/>
          <w:sz w:val="20"/>
        </w:rPr>
        <w:t>$142.9</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of cash payments received in the current year for which the Company has not yet satisfied the performance obligations.</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sz w:val="24"/>
        </w:rPr>
      </w:pPr>
      <w:r>
        <w:rPr>
          <w:rFonts w:ascii="Times New Roman" w:hAnsi="Times New Roman"/>
          <w:b/>
          <w:sz w:val="20"/>
        </w:rPr>
        <w:t>(10)</w:t>
      </w:r>
      <w:r>
        <w:rPr>
          <w:rFonts w:ascii="Times New Roman" w:hAnsi="Times New Roman"/>
          <w:sz w:val="24"/>
        </w:rPr>
        <w:t> </w:t>
      </w:r>
      <w:r>
        <w:rPr>
          <w:rFonts w:ascii="Times New Roman" w:hAnsi="Times New Roman"/>
          <w:b/>
          <w:sz w:val="20"/>
        </w:rPr>
        <w:t>DEBT OBLIGATIONS</w:t>
      </w:r>
    </w:p>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sz w:val="20"/>
        </w:rPr>
      </w:pPr>
      <w:r>
        <w:rPr>
          <w:rFonts w:ascii="Times New Roman" w:hAnsi="Times New Roman"/>
          <w:sz w:val="20"/>
        </w:rPr>
        <w:t>Debt obligations consist of the following:</w:t>
      </w:r>
    </w:p>
    <w:p>
      <w:pPr>
        <w:pStyle w:val="TextBody"/>
        <w:bidi w:val="0"/>
        <w:spacing w:lineRule="atLeast" w:line="240" w:before="0" w:after="0"/>
        <w:jc w:val="both"/>
        <w:rPr/>
      </w:pPr>
      <w:r>
        <w:rPr/>
        <w:t> </w:t>
      </w:r>
    </w:p>
    <w:tbl>
      <w:tblPr>
        <w:tblW w:w="9355" w:type="dxa"/>
        <w:jc w:val="left"/>
        <w:tblInd w:w="0" w:type="dxa"/>
        <w:tblLayout w:type="fixed"/>
        <w:tblCellMar>
          <w:top w:w="0" w:type="dxa"/>
          <w:left w:w="0" w:type="dxa"/>
          <w:bottom w:w="0" w:type="dxa"/>
          <w:right w:w="0" w:type="dxa"/>
        </w:tblCellMar>
      </w:tblPr>
      <w:tblGrid>
        <w:gridCol w:w="6515"/>
        <w:gridCol w:w="60"/>
        <w:gridCol w:w="125"/>
        <w:gridCol w:w="1040"/>
        <w:gridCol w:w="60"/>
        <w:gridCol w:w="125"/>
        <w:gridCol w:w="1430"/>
      </w:tblGrid>
      <w:tr>
        <w:trPr/>
        <w:tc>
          <w:tcPr>
            <w:tcW w:w="651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655"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w:t>
            </w:r>
          </w:p>
        </w:tc>
      </w:tr>
      <w:tr>
        <w:trPr/>
        <w:tc>
          <w:tcPr>
            <w:tcW w:w="6515"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4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June 30, 2025</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3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2024</w:t>
            </w:r>
          </w:p>
        </w:tc>
      </w:tr>
      <w:tr>
        <w:trPr/>
        <w:tc>
          <w:tcPr>
            <w:tcW w:w="651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Credit Facility:</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4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3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Revolving credit agreement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965.1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520.4</w:t>
            </w:r>
          </w:p>
        </w:tc>
      </w:tr>
      <w:tr>
        <w:trPr/>
        <w:tc>
          <w:tcPr>
            <w:tcW w:w="6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Notes: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righ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0.75% convertible notes, unsecured, due 2049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525.0</w:t>
            </w:r>
          </w:p>
        </w:tc>
      </w:tr>
      <w:tr>
        <w:trPr/>
        <w:tc>
          <w:tcPr>
            <w:tcW w:w="651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righ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1.375% Senior Notes, due 2026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707.2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621.5</w:t>
            </w:r>
          </w:p>
        </w:tc>
      </w:tr>
      <w:tr>
        <w:trPr/>
        <w:tc>
          <w:tcPr>
            <w:tcW w:w="651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right"/>
              <w:rPr/>
            </w:pPr>
            <w:r>
              <w:rPr/>
              <w:t> </w:t>
            </w:r>
          </w:p>
        </w:tc>
      </w:tr>
      <w:tr>
        <w:trPr/>
        <w:tc>
          <w:tcPr>
            <w:tcW w:w="651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Uncommitted credit agreements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700.0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250.0</w:t>
            </w:r>
          </w:p>
        </w:tc>
      </w:tr>
      <w:tr>
        <w:trPr/>
        <w:tc>
          <w:tcPr>
            <w:tcW w:w="651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right"/>
              <w:rPr/>
            </w:pPr>
            <w:r>
              <w:rPr/>
              <w:t> </w:t>
            </w:r>
          </w:p>
        </w:tc>
      </w:tr>
      <w:tr>
        <w:trPr/>
        <w:tc>
          <w:tcPr>
            <w:tcW w:w="651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obligations</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36.2</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37.7</w:t>
            </w:r>
          </w:p>
        </w:tc>
      </w:tr>
      <w:tr>
        <w:trPr/>
        <w:tc>
          <w:tcPr>
            <w:tcW w:w="651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40"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30"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r>
      <w:tr>
        <w:trPr/>
        <w:tc>
          <w:tcPr>
            <w:tcW w:w="651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debt obligations</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2,441.7</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1,954.6</w:t>
            </w:r>
          </w:p>
        </w:tc>
      </w:tr>
      <w:tr>
        <w:trPr/>
        <w:tc>
          <w:tcPr>
            <w:tcW w:w="6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Unamortized debt issuance costs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4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5.9</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43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7.5</w:t>
            </w:r>
            <w:r>
              <w:rPr>
                <w:rFonts w:ascii="Times New Roman" w:hAnsi="Times New Roman"/>
                <w:sz w:val="20"/>
              </w:rPr>
              <w:t>)</w:t>
            </w:r>
          </w:p>
        </w:tc>
      </w:tr>
      <w:tr>
        <w:trPr/>
        <w:tc>
          <w:tcPr>
            <w:tcW w:w="651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Carrying value of debt</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4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2,435.8</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43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1,947.1</w:t>
            </w:r>
          </w:p>
        </w:tc>
      </w:tr>
      <w:tr>
        <w:trPr/>
        <w:tc>
          <w:tcPr>
            <w:tcW w:w="6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Short-term debt obligations and current maturities of long-term debt obligations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1,433.5</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812.7</w:t>
            </w:r>
            <w:r>
              <w:rPr>
                <w:rFonts w:ascii="Times New Roman" w:hAnsi="Times New Roman"/>
                <w:sz w:val="20"/>
              </w:rPr>
              <w:t>)</w:t>
            </w:r>
          </w:p>
        </w:tc>
      </w:tr>
      <w:tr>
        <w:trPr/>
        <w:tc>
          <w:tcPr>
            <w:tcW w:w="651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debt obligations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1,002.3</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1,134.4</w:t>
            </w:r>
          </w:p>
        </w:tc>
      </w:tr>
    </w:tbl>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Credit Facility</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On December 17, 2024, the Company amended its revolving credit agreement (the “Credit Facility”) to increase the facility from $1.25</w:t>
      </w:r>
      <w:r>
        <w:rPr>
          <w:rFonts w:ascii="Times New Roman" w:hAnsi="Times New Roman"/>
          <w:sz w:val="24"/>
        </w:rPr>
        <w:t> </w:t>
      </w:r>
      <w:r>
        <w:rPr>
          <w:rFonts w:ascii="Times New Roman" w:hAnsi="Times New Roman"/>
          <w:sz w:val="20"/>
        </w:rPr>
        <w:t>billion to $1.9</w:t>
      </w:r>
      <w:r>
        <w:rPr>
          <w:rFonts w:ascii="Times New Roman" w:hAnsi="Times New Roman"/>
          <w:sz w:val="24"/>
        </w:rPr>
        <w:t> </w:t>
      </w:r>
      <w:r>
        <w:rPr>
          <w:rFonts w:ascii="Times New Roman" w:hAnsi="Times New Roman"/>
          <w:sz w:val="20"/>
        </w:rPr>
        <w:t>billion and to extend the expiration to</w:t>
      </w:r>
      <w:r>
        <w:rPr>
          <w:rFonts w:ascii="Times New Roman" w:hAnsi="Times New Roman"/>
          <w:sz w:val="24"/>
        </w:rPr>
        <w:t> </w:t>
      </w:r>
      <w:r>
        <w:rPr>
          <w:rFonts w:ascii="Times New Roman" w:hAnsi="Times New Roman"/>
          <w:sz w:val="20"/>
        </w:rPr>
        <w:t>December 17, 2029.</w:t>
      </w:r>
      <w:r>
        <w:rPr>
          <w:rFonts w:ascii="Times New Roman" w:hAnsi="Times New Roman"/>
          <w:sz w:val="24"/>
        </w:rPr>
        <w:t> </w:t>
      </w:r>
      <w:r>
        <w:rPr>
          <w:rFonts w:ascii="Times New Roman" w:hAnsi="Times New Roman"/>
          <w:sz w:val="20"/>
        </w:rPr>
        <w:t>The amended Credit Facility includes a multi-currency borrowing tranche totaling $1,685</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and a U.S. dollar borrowing tranche totaling $215</w:t>
      </w:r>
      <w:r>
        <w:rPr>
          <w:rFonts w:ascii="Times New Roman" w:hAnsi="Times New Roman"/>
          <w:sz w:val="24"/>
        </w:rPr>
        <w:t> </w:t>
      </w:r>
      <w:r>
        <w:rPr>
          <w:rFonts w:ascii="Times New Roman" w:hAnsi="Times New Roman"/>
          <w:sz w:val="20"/>
        </w:rPr>
        <w:t>million. The amended Credit Facility also removes the credit spread adjustment on SOFR and SONIA borrowings. All other terms remain substantially the same as the existing Credit Facility.</w:t>
      </w:r>
      <w:r>
        <w:rPr>
          <w:rFonts w:ascii="Times New Roman" w:hAnsi="Times New Roman"/>
          <w:sz w:val="24"/>
        </w:rPr>
        <w:t> </w:t>
      </w:r>
      <w:r>
        <w:rPr>
          <w:rFonts w:ascii="Times New Roman" w:hAnsi="Times New Roman"/>
          <w:sz w:val="20"/>
        </w:rPr>
        <w:t>The multi-currency tranche of the revolving Credit Facility contains a sublimit</w:t>
      </w:r>
      <w:r>
        <w:rPr>
          <w:rFonts w:ascii="Times New Roman" w:hAnsi="Times New Roman"/>
          <w:sz w:val="24"/>
        </w:rPr>
        <w:t> </w:t>
      </w:r>
      <w:r>
        <w:rPr>
          <w:rFonts w:ascii="Times New Roman" w:hAnsi="Times New Roman"/>
          <w:sz w:val="20"/>
        </w:rPr>
        <w:t>of up to $500</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for the issuance of letters of credit, a $75</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sublimit</w:t>
      </w:r>
      <w:r>
        <w:rPr>
          <w:rFonts w:ascii="Times New Roman" w:hAnsi="Times New Roman"/>
          <w:sz w:val="24"/>
        </w:rPr>
        <w:t> </w:t>
      </w:r>
      <w:r>
        <w:rPr>
          <w:rFonts w:ascii="Times New Roman" w:hAnsi="Times New Roman"/>
          <w:sz w:val="20"/>
        </w:rPr>
        <w:t>for U.S. dollar</w:t>
      </w:r>
      <w:r>
        <w:rPr>
          <w:rFonts w:ascii="Times New Roman" w:hAnsi="Times New Roman"/>
          <w:sz w:val="24"/>
        </w:rPr>
        <w:t> </w:t>
      </w:r>
      <w:r>
        <w:rPr>
          <w:rFonts w:ascii="Times New Roman" w:hAnsi="Times New Roman"/>
          <w:sz w:val="20"/>
        </w:rPr>
        <w:t>swingline</w:t>
      </w:r>
      <w:r>
        <w:rPr>
          <w:rFonts w:ascii="Times New Roman" w:hAnsi="Times New Roman"/>
          <w:sz w:val="24"/>
        </w:rPr>
        <w:t> </w:t>
      </w:r>
      <w:r>
        <w:rPr>
          <w:rFonts w:ascii="Times New Roman" w:hAnsi="Times New Roman"/>
          <w:sz w:val="20"/>
        </w:rPr>
        <w:t>loans and a $75</w:t>
      </w:r>
      <w:r>
        <w:rPr>
          <w:rFonts w:ascii="Times New Roman" w:hAnsi="Times New Roman"/>
          <w:sz w:val="24"/>
        </w:rPr>
        <w:t> </w:t>
      </w:r>
      <w:r>
        <w:rPr>
          <w:rFonts w:ascii="Times New Roman" w:hAnsi="Times New Roman"/>
          <w:sz w:val="20"/>
        </w:rPr>
        <w:t>million sublimit for</w:t>
      </w:r>
      <w:r>
        <w:rPr>
          <w:rFonts w:ascii="Times New Roman" w:hAnsi="Times New Roman"/>
          <w:sz w:val="24"/>
        </w:rPr>
        <w:t> </w:t>
      </w:r>
      <w:r>
        <w:rPr>
          <w:rFonts w:ascii="Times New Roman" w:hAnsi="Times New Roman"/>
          <w:sz w:val="20"/>
        </w:rPr>
        <w:t>swingline</w:t>
      </w:r>
      <w:r>
        <w:rPr>
          <w:rFonts w:ascii="Times New Roman" w:hAnsi="Times New Roman"/>
          <w:sz w:val="24"/>
        </w:rPr>
        <w:t> </w:t>
      </w:r>
      <w:r>
        <w:rPr>
          <w:rFonts w:ascii="Times New Roman" w:hAnsi="Times New Roman"/>
          <w:sz w:val="20"/>
        </w:rPr>
        <w:t>loans in euros or British pounds sterling.</w:t>
      </w:r>
      <w:r>
        <w:rPr>
          <w:rFonts w:ascii="Times New Roman" w:hAnsi="Times New Roman"/>
          <w:sz w:val="24"/>
        </w:rPr>
        <w:t> </w:t>
      </w:r>
      <w:r>
        <w:rPr>
          <w:rFonts w:ascii="Times New Roman" w:hAnsi="Times New Roman"/>
          <w:sz w:val="20"/>
        </w:rPr>
        <w:t>The</w:t>
      </w:r>
      <w:r>
        <w:rPr>
          <w:rFonts w:ascii="Times New Roman" w:hAnsi="Times New Roman"/>
          <w:sz w:val="24"/>
        </w:rPr>
        <w:t> </w:t>
      </w:r>
      <w:r>
        <w:rPr>
          <w:rFonts w:ascii="Times New Roman" w:hAnsi="Times New Roman"/>
          <w:sz w:val="20"/>
        </w:rPr>
        <w:t>multi-currency tranche of the</w:t>
      </w:r>
      <w:r>
        <w:rPr>
          <w:rFonts w:ascii="Times New Roman" w:hAnsi="Times New Roman"/>
          <w:sz w:val="24"/>
        </w:rPr>
        <w:t> </w:t>
      </w:r>
      <w:r>
        <w:rPr>
          <w:rFonts w:ascii="Times New Roman" w:hAnsi="Times New Roman"/>
          <w:sz w:val="20"/>
        </w:rPr>
        <w:t>Credit Facility allows for borrowings in British pounds sterling, euro and U.S. dollars. Subject to certain conditions, the Company has the option to increase the Credit Facility by up to an additional $500</w:t>
      </w:r>
      <w:r>
        <w:rPr>
          <w:rFonts w:ascii="Times New Roman" w:hAnsi="Times New Roman"/>
          <w:sz w:val="24"/>
        </w:rPr>
        <w:t> </w:t>
      </w:r>
      <w:r>
        <w:rPr>
          <w:rFonts w:ascii="Times New Roman" w:hAnsi="Times New Roman"/>
          <w:sz w:val="20"/>
        </w:rPr>
        <w:t>million by requesting additional commitments from existing or new lenders.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Borrowings under the revolving Credit Facility (other than swing line loans) bear interest based on a margin over a secured financing rate or the base rate, as selected by the Company, which varies from</w:t>
      </w:r>
      <w:r>
        <w:rPr>
          <w:rFonts w:ascii="Times New Roman" w:hAnsi="Times New Roman"/>
          <w:sz w:val="24"/>
        </w:rPr>
        <w:t> </w:t>
      </w:r>
      <w:r>
        <w:rPr>
          <w:rFonts w:ascii="Times New Roman" w:hAnsi="Times New Roman"/>
          <w:sz w:val="20"/>
        </w:rPr>
        <w:t>0.875% to</w:t>
      </w:r>
      <w:r>
        <w:rPr>
          <w:rFonts w:ascii="Times New Roman" w:hAnsi="Times New Roman"/>
          <w:sz w:val="24"/>
        </w:rPr>
        <w:t> </w:t>
      </w:r>
      <w:r>
        <w:rPr>
          <w:rFonts w:ascii="Times New Roman" w:hAnsi="Times New Roman"/>
          <w:sz w:val="20"/>
        </w:rPr>
        <w:t>1.375%, in each case based on the Company’s current credit rating.</w:t>
      </w:r>
      <w:r>
        <w:rPr>
          <w:rFonts w:ascii="Times New Roman" w:hAnsi="Times New Roman"/>
          <w:sz w:val="24"/>
        </w:rPr>
        <w:t> </w:t>
      </w:r>
      <w:r>
        <w:rPr>
          <w:rFonts w:ascii="Times New Roman" w:hAnsi="Times New Roman"/>
          <w:sz w:val="20"/>
        </w:rPr>
        <w:t>The applicable margin for borrowings under the Credit Facility, based on the Company’s current credit rating is</w:t>
      </w:r>
      <w:r>
        <w:rPr>
          <w:rFonts w:ascii="Times New Roman" w:hAnsi="Times New Roman"/>
          <w:sz w:val="24"/>
        </w:rPr>
        <w:t> </w:t>
      </w:r>
      <w:r>
        <w:rPr>
          <w:rFonts w:ascii="Times New Roman" w:hAnsi="Times New Roman"/>
          <w:sz w:val="20"/>
        </w:rPr>
        <w:t>1.075%.</w:t>
      </w:r>
      <w:r>
        <w:rPr>
          <w:rFonts w:ascii="Times New Roman" w:hAnsi="Times New Roman"/>
          <w:sz w:val="24"/>
        </w:rPr>
        <w:t> </w:t>
      </w:r>
      <w:r>
        <w:rPr>
          <w:rFonts w:ascii="Times New Roman" w:hAnsi="Times New Roman"/>
          <w:sz w:val="20"/>
        </w:rPr>
        <w:t>In addition, the Company pays a facility fee on the total commitments made under the revolving Credit Facility, which varies from</w:t>
      </w:r>
      <w:r>
        <w:rPr>
          <w:rFonts w:ascii="Times New Roman" w:hAnsi="Times New Roman"/>
          <w:sz w:val="24"/>
        </w:rPr>
        <w:t> </w:t>
      </w:r>
      <w:r>
        <w:rPr>
          <w:rFonts w:ascii="Times New Roman" w:hAnsi="Times New Roman"/>
          <w:sz w:val="20"/>
        </w:rPr>
        <w:t>0.125% to</w:t>
      </w:r>
      <w:r>
        <w:rPr>
          <w:rFonts w:ascii="Times New Roman" w:hAnsi="Times New Roman"/>
          <w:sz w:val="24"/>
        </w:rPr>
        <w:t> </w:t>
      </w:r>
      <w:r>
        <w:rPr>
          <w:rFonts w:ascii="Times New Roman" w:hAnsi="Times New Roman"/>
          <w:sz w:val="20"/>
        </w:rPr>
        <w:t>0.250%. The current facility fee is</w:t>
      </w:r>
      <w:r>
        <w:rPr>
          <w:rFonts w:ascii="Times New Roman" w:hAnsi="Times New Roman"/>
          <w:sz w:val="24"/>
        </w:rPr>
        <w:t> </w:t>
      </w:r>
      <w:r>
        <w:rPr>
          <w:rFonts w:ascii="Times New Roman" w:hAnsi="Times New Roman"/>
          <w:sz w:val="20"/>
        </w:rPr>
        <w:t>0.175%.</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agreement contains customary affirmative and negative covenants, events of default and financial covenants, including (all as defined in the Credit Facility):</w:t>
      </w:r>
      <w:r>
        <w:rPr>
          <w:rFonts w:ascii="Times New Roman" w:hAnsi="Times New Roman"/>
          <w:sz w:val="24"/>
        </w:rPr>
        <w:t> </w:t>
      </w:r>
      <w:r>
        <w:rPr>
          <w:rFonts w:ascii="Times New Roman" w:hAnsi="Times New Roman"/>
          <w:sz w:val="20"/>
        </w:rPr>
        <w:t>(i) a Consolidated Total Leverage Ratio, depending on certain circumstances defined in the Credit Facility, not to exceed a range between 3.53.5 to 1.01.0 and 4.54.5 to 1.01.0; and (ii) a Consolidated Interest Coverage Ratio of not less than 3.03.0 to 1.01.0. Subject to meeting certain customary covenants (as defined in the Credit Facility), the Company is permitted to repurchase common stock and debt.</w:t>
      </w:r>
      <w:r>
        <w:rPr>
          <w:rFonts w:ascii="Times New Roman" w:hAnsi="Times New Roman"/>
          <w:sz w:val="24"/>
        </w:rPr>
        <w:t> </w:t>
      </w:r>
      <w:r>
        <w:rPr>
          <w:rFonts w:ascii="Times New Roman" w:hAnsi="Times New Roman"/>
          <w:sz w:val="20"/>
        </w:rPr>
        <w:t>The Company was in compliance with all debt covenants as of June 30, 2025.</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i/>
          <w:sz w:val="20"/>
        </w:rPr>
      </w:pPr>
      <w:r>
        <w:rPr>
          <w:rFonts w:ascii="Times New Roman" w:hAnsi="Times New Roman"/>
          <w:i/>
          <w:sz w:val="20"/>
        </w:rPr>
        <w:t>Convertible Notes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On March 18, 2019, the Company completed the sale of</w:t>
      </w:r>
      <w:r>
        <w:rPr>
          <w:rFonts w:ascii="Times New Roman" w:hAnsi="Times New Roman"/>
          <w:sz w:val="24"/>
        </w:rPr>
        <w:t> </w:t>
      </w:r>
      <w:r>
        <w:rPr>
          <w:rFonts w:ascii="Times New Roman" w:hAnsi="Times New Roman"/>
          <w:sz w:val="20"/>
        </w:rPr>
        <w:t>$525.0</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of Convertible Senior Notes ("Convertible Notes"). The Convertible Notes mature in March 2049</w:t>
      </w:r>
      <w:r>
        <w:rPr>
          <w:rFonts w:ascii="Times New Roman" w:hAnsi="Times New Roman"/>
          <w:sz w:val="24"/>
        </w:rPr>
        <w:t xml:space="preserve"> </w:t>
      </w:r>
      <w:r>
        <w:rPr>
          <w:rFonts w:ascii="Times New Roman" w:hAnsi="Times New Roman"/>
          <w:sz w:val="20"/>
        </w:rPr>
        <w:t>unless redeemed or converted prior to such date, and are convertible into shares of Euronet common stock at a conversion price of approximately</w:t>
      </w:r>
      <w:r>
        <w:rPr>
          <w:rFonts w:ascii="Times New Roman" w:hAnsi="Times New Roman"/>
          <w:sz w:val="24"/>
        </w:rPr>
        <w:t> </w:t>
      </w:r>
      <w:r>
        <w:rPr>
          <w:rFonts w:ascii="Times New Roman" w:hAnsi="Times New Roman"/>
          <w:sz w:val="20"/>
        </w:rPr>
        <w:t>$188.73</w:t>
      </w:r>
      <w:r>
        <w:rPr>
          <w:rFonts w:ascii="Times New Roman" w:hAnsi="Times New Roman"/>
          <w:sz w:val="24"/>
        </w:rPr>
        <w:t> </w:t>
      </w:r>
      <w:r>
        <w:rPr>
          <w:rFonts w:ascii="Times New Roman" w:hAnsi="Times New Roman"/>
          <w:sz w:val="20"/>
        </w:rPr>
        <w:t>per share if certain conditions are met (relating to the closing price of Euronet common stock exceeding certain thresholds for specified periods). Holders of the Convertible Notes have the option to require the Company to purchase their notes on each of March 15, 2025, March 15, 2029, March 15, 2034, March 15, 2039</w:t>
      </w:r>
      <w:r>
        <w:rPr>
          <w:rFonts w:ascii="Times New Roman" w:hAnsi="Times New Roman"/>
          <w:sz w:val="24"/>
        </w:rPr>
        <w:t xml:space="preserve"> </w:t>
      </w:r>
      <w:r>
        <w:rPr>
          <w:rFonts w:ascii="Times New Roman" w:hAnsi="Times New Roman"/>
          <w:sz w:val="20"/>
        </w:rPr>
        <w:t>and March 15, 2044</w:t>
      </w:r>
      <w:r>
        <w:rPr>
          <w:rFonts w:ascii="Times New Roman" w:hAnsi="Times New Roman"/>
          <w:sz w:val="24"/>
        </w:rPr>
        <w:t xml:space="preserve"> </w:t>
      </w:r>
      <w:r>
        <w:rPr>
          <w:rFonts w:ascii="Times New Roman" w:hAnsi="Times New Roman"/>
          <w:sz w:val="20"/>
        </w:rPr>
        <w:t>at a repurchase price equal to</w:t>
      </w:r>
      <w:r>
        <w:rPr>
          <w:rFonts w:ascii="Times New Roman" w:hAnsi="Times New Roman"/>
          <w:sz w:val="24"/>
        </w:rPr>
        <w:t> </w:t>
      </w:r>
      <w:r>
        <w:rPr>
          <w:rFonts w:ascii="Times New Roman" w:hAnsi="Times New Roman"/>
          <w:sz w:val="20"/>
        </w:rPr>
        <w:t>100% of the principal amount of the Convertible Notes to be repurchased, plus accrued and unpaid interest to, but excluding, the relevant repurchase date. In connection with the issuance of the Convertible Notes, the Company recorded</w:t>
      </w:r>
      <w:r>
        <w:rPr>
          <w:rFonts w:ascii="Times New Roman" w:hAnsi="Times New Roman"/>
          <w:sz w:val="24"/>
        </w:rPr>
        <w:t> </w:t>
      </w:r>
      <w:r>
        <w:rPr>
          <w:rFonts w:ascii="Times New Roman" w:hAnsi="Times New Roman"/>
          <w:sz w:val="20"/>
        </w:rPr>
        <w:t>$12.8</w:t>
      </w:r>
      <w:r>
        <w:rPr>
          <w:rFonts w:ascii="Times New Roman" w:hAnsi="Times New Roman"/>
          <w:sz w:val="24"/>
        </w:rPr>
        <w:t> </w:t>
      </w:r>
      <w:r>
        <w:rPr>
          <w:rFonts w:ascii="Times New Roman" w:hAnsi="Times New Roman"/>
          <w:sz w:val="20"/>
        </w:rPr>
        <w:t>million in debt issuance costs, which were amortized through March 1, 2025.</w:t>
      </w:r>
      <w:r>
        <w:rPr>
          <w:rFonts w:ascii="Times New Roman" w:hAnsi="Times New Roman"/>
          <w:sz w:val="24"/>
        </w:rPr>
        <w:t> </w:t>
      </w:r>
      <w:r>
        <w:rPr>
          <w:rFonts w:ascii="Times New Roman" w:hAnsi="Times New Roman"/>
          <w:sz w:val="20"/>
        </w:rPr>
        <w:t>Almost all of the holders exercised their right to require the Company to repurchase their notes in March 2025, and we repurchased the tendered Convertible Notes at that time with a combination of cash on hand and a borrowing under our Credit Facility.</w:t>
      </w:r>
      <w:r>
        <w:rPr>
          <w:rFonts w:ascii="Times New Roman" w:hAnsi="Times New Roman"/>
          <w:sz w:val="24"/>
        </w:rPr>
        <w:t xml:space="preserve">  </w:t>
      </w:r>
      <w:r>
        <w:rPr>
          <w:rFonts w:ascii="Times New Roman" w:hAnsi="Times New Roman"/>
          <w:sz w:val="20"/>
        </w:rPr>
        <w:t>As of</w:t>
      </w:r>
      <w:r>
        <w:rPr>
          <w:rFonts w:ascii="Times New Roman" w:hAnsi="Times New Roman"/>
          <w:sz w:val="24"/>
        </w:rPr>
        <w:t> </w:t>
      </w:r>
      <w:r>
        <w:rPr>
          <w:rFonts w:ascii="Times New Roman" w:hAnsi="Times New Roman"/>
          <w:sz w:val="20"/>
        </w:rPr>
        <w:t>June 30, 2025, $33.2</w:t>
      </w:r>
      <w:r>
        <w:rPr>
          <w:rFonts w:ascii="Times New Roman" w:hAnsi="Times New Roman"/>
          <w:sz w:val="24"/>
        </w:rPr>
        <w:t> </w:t>
      </w:r>
      <w:r>
        <w:rPr>
          <w:rFonts w:ascii="Times New Roman" w:hAnsi="Times New Roman"/>
          <w:sz w:val="20"/>
        </w:rPr>
        <w:t xml:space="preserve">million of the Convertible Notes remain outstanding.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i/>
          <w:sz w:val="20"/>
        </w:rPr>
        <w:t>1.375%</w:t>
      </w:r>
      <w:r>
        <w:rPr>
          <w:rFonts w:ascii="Times New Roman" w:hAnsi="Times New Roman"/>
          <w:sz w:val="24"/>
        </w:rPr>
        <w:t> </w:t>
      </w:r>
      <w:r>
        <w:rPr>
          <w:rFonts w:ascii="Times New Roman" w:hAnsi="Times New Roman"/>
          <w:i/>
          <w:sz w:val="20"/>
        </w:rPr>
        <w:t>Senior Notes due 2026</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On May 22, 2019, the Company completed the sale of €600.0</w:t>
      </w:r>
      <w:r>
        <w:rPr>
          <w:rFonts w:ascii="Times New Roman" w:hAnsi="Times New Roman"/>
          <w:sz w:val="24"/>
        </w:rPr>
        <w:t> </w:t>
      </w:r>
      <w:r>
        <w:rPr>
          <w:rFonts w:ascii="Times New Roman" w:hAnsi="Times New Roman"/>
          <w:sz w:val="20"/>
        </w:rPr>
        <w:t>million ($669.9</w:t>
      </w:r>
      <w:r>
        <w:rPr>
          <w:rFonts w:ascii="Times New Roman" w:hAnsi="Times New Roman"/>
          <w:sz w:val="24"/>
        </w:rPr>
        <w:t xml:space="preserve"> </w:t>
      </w:r>
      <w:r>
        <w:rPr>
          <w:rFonts w:ascii="Times New Roman" w:hAnsi="Times New Roman"/>
          <w:sz w:val="20"/>
        </w:rPr>
        <w:t>million) aggregate principal amount of Senior Notes that are due in May 2026</w:t>
      </w:r>
      <w:r>
        <w:rPr>
          <w:rFonts w:ascii="Times New Roman" w:hAnsi="Times New Roman"/>
          <w:sz w:val="24"/>
        </w:rPr>
        <w:t xml:space="preserve"> </w:t>
      </w:r>
      <w:r>
        <w:rPr>
          <w:rFonts w:ascii="Times New Roman" w:hAnsi="Times New Roman"/>
          <w:sz w:val="20"/>
        </w:rPr>
        <w:t>(the “Senior Notes”). The Senior Notes accrue interest at a rate of 1.375% per year, payable annually</w:t>
      </w:r>
      <w:r>
        <w:rPr>
          <w:rFonts w:ascii="Times New Roman" w:hAnsi="Times New Roman"/>
          <w:sz w:val="24"/>
        </w:rPr>
        <w:t xml:space="preserve"> </w:t>
      </w:r>
      <w:r>
        <w:rPr>
          <w:rFonts w:ascii="Times New Roman" w:hAnsi="Times New Roman"/>
          <w:sz w:val="20"/>
        </w:rPr>
        <w:t>in arrears commencing May 22, 2020, until maturity or earlier redemption. As of June 30, 2025, the Company has outstanding</w:t>
      </w:r>
      <w:r>
        <w:rPr>
          <w:rFonts w:ascii="Times New Roman" w:hAnsi="Times New Roman"/>
          <w:sz w:val="24"/>
        </w:rPr>
        <w:t> €</w:t>
      </w:r>
      <w:r>
        <w:rPr>
          <w:rFonts w:ascii="Times New Roman" w:hAnsi="Times New Roman"/>
          <w:sz w:val="20"/>
        </w:rPr>
        <w:t>600.0</w:t>
      </w:r>
      <w:r>
        <w:rPr>
          <w:rFonts w:ascii="Times New Roman" w:hAnsi="Times New Roman"/>
          <w:sz w:val="24"/>
        </w:rPr>
        <w:t> </w:t>
      </w:r>
      <w:r>
        <w:rPr>
          <w:rFonts w:ascii="Times New Roman" w:hAnsi="Times New Roman"/>
          <w:sz w:val="20"/>
        </w:rPr>
        <w:t>million ($707.2</w:t>
      </w:r>
      <w:r>
        <w:rPr>
          <w:rFonts w:ascii="Times New Roman" w:hAnsi="Times New Roman"/>
          <w:sz w:val="24"/>
        </w:rPr>
        <w:t> </w:t>
      </w:r>
      <w:r>
        <w:rPr>
          <w:rFonts w:ascii="Times New Roman" w:hAnsi="Times New Roman"/>
          <w:sz w:val="20"/>
        </w:rPr>
        <w:t>million) principal amount of the Senior Notes. In addition, the Company may redeem some or all of these notes on or after February 22, 2026</w:t>
      </w:r>
      <w:r>
        <w:rPr>
          <w:rFonts w:ascii="Times New Roman" w:hAnsi="Times New Roman"/>
          <w:sz w:val="24"/>
        </w:rPr>
        <w:t xml:space="preserve"> </w:t>
      </w:r>
      <w:r>
        <w:rPr>
          <w:rFonts w:ascii="Times New Roman" w:hAnsi="Times New Roman"/>
          <w:sz w:val="20"/>
        </w:rPr>
        <w:t>at their principal amount plus any accrued and unpaid interest.</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i/>
          <w:sz w:val="20"/>
        </w:rPr>
        <w:t>Uncommitted</w:t>
      </w:r>
      <w:r>
        <w:rPr>
          <w:rFonts w:ascii="Times New Roman" w:hAnsi="Times New Roman"/>
          <w:sz w:val="24"/>
        </w:rPr>
        <w:t> </w:t>
      </w:r>
      <w:r>
        <w:rPr>
          <w:rFonts w:ascii="Times New Roman" w:hAnsi="Times New Roman"/>
          <w:i/>
          <w:sz w:val="20"/>
        </w:rPr>
        <w:t>Credit Agreements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On June 20, 2025, the Company entered into an Uncommitted Loan Agreement,</w:t>
      </w:r>
      <w:r>
        <w:rPr>
          <w:rFonts w:ascii="Times New Roman" w:hAnsi="Times New Roman"/>
          <w:sz w:val="24"/>
        </w:rPr>
        <w:t> </w:t>
      </w:r>
      <w:r>
        <w:rPr>
          <w:rFonts w:ascii="Times New Roman" w:hAnsi="Times New Roman"/>
          <w:sz w:val="20"/>
        </w:rPr>
        <w:t>fully drawn and outstanding at June 30, 2025,</w:t>
      </w:r>
      <w:r>
        <w:rPr>
          <w:rFonts w:ascii="Times New Roman" w:hAnsi="Times New Roman"/>
          <w:sz w:val="24"/>
        </w:rPr>
        <w:t> </w:t>
      </w:r>
      <w:r>
        <w:rPr>
          <w:rFonts w:ascii="Times New Roman" w:hAnsi="Times New Roman"/>
          <w:sz w:val="20"/>
        </w:rPr>
        <w:t>for the sole purpose of providing vault cash for</w:t>
      </w:r>
      <w:r>
        <w:rPr>
          <w:rFonts w:ascii="Times New Roman" w:hAnsi="Times New Roman"/>
          <w:sz w:val="24"/>
        </w:rPr>
        <w:t> </w:t>
      </w:r>
      <w:r>
        <w:rPr>
          <w:rFonts w:ascii="Times New Roman" w:hAnsi="Times New Roman"/>
          <w:sz w:val="20"/>
        </w:rPr>
        <w:t>ATMs,</w:t>
      </w:r>
      <w:r>
        <w:rPr>
          <w:rFonts w:ascii="Times New Roman" w:hAnsi="Times New Roman"/>
          <w:sz w:val="24"/>
        </w:rPr>
        <w:t> </w:t>
      </w:r>
      <w:r>
        <w:rPr>
          <w:rFonts w:ascii="Times New Roman" w:hAnsi="Times New Roman"/>
          <w:sz w:val="20"/>
        </w:rPr>
        <w:t>that expires no later than</w:t>
      </w:r>
      <w:r>
        <w:rPr>
          <w:rFonts w:ascii="Times New Roman" w:hAnsi="Times New Roman"/>
          <w:sz w:val="24"/>
        </w:rPr>
        <w:t> </w:t>
      </w:r>
      <w:r>
        <w:rPr>
          <w:rFonts w:ascii="Times New Roman" w:hAnsi="Times New Roman"/>
          <w:sz w:val="20"/>
        </w:rPr>
        <w:t>June 19, 2026.</w:t>
      </w:r>
      <w:r>
        <w:rPr>
          <w:rFonts w:ascii="Times New Roman" w:hAnsi="Times New Roman"/>
          <w:sz w:val="24"/>
        </w:rPr>
        <w:t xml:space="preserve">  </w:t>
      </w:r>
      <w:r>
        <w:rPr>
          <w:rFonts w:ascii="Times New Roman" w:hAnsi="Times New Roman"/>
          <w:sz w:val="20"/>
        </w:rPr>
        <w:t>The amount of this Uncommitted Line of Credit shall be no more than (i) on or before September 30, 2025, $400</w:t>
      </w:r>
      <w:r>
        <w:rPr>
          <w:rFonts w:ascii="Times New Roman" w:hAnsi="Times New Roman"/>
          <w:sz w:val="24"/>
        </w:rPr>
        <w:t xml:space="preserve"> </w:t>
      </w:r>
      <w:r>
        <w:rPr>
          <w:rFonts w:ascii="Times New Roman" w:hAnsi="Times New Roman"/>
          <w:sz w:val="20"/>
        </w:rPr>
        <w:t>million and (ii) on and after October 1, 2025, $250</w:t>
      </w:r>
      <w:r>
        <w:rPr>
          <w:rFonts w:ascii="Times New Roman" w:hAnsi="Times New Roman"/>
          <w:sz w:val="24"/>
        </w:rPr>
        <w:t xml:space="preserve"> </w:t>
      </w:r>
      <w:r>
        <w:rPr>
          <w:rFonts w:ascii="Times New Roman" w:hAnsi="Times New Roman"/>
          <w:sz w:val="20"/>
        </w:rPr>
        <w:t>million. The loan had an outstanding balance of $400</w:t>
      </w:r>
      <w:r>
        <w:rPr>
          <w:rFonts w:ascii="Times New Roman" w:hAnsi="Times New Roman"/>
          <w:sz w:val="24"/>
        </w:rPr>
        <w:t> </w:t>
      </w:r>
      <w:r>
        <w:rPr>
          <w:rFonts w:ascii="Times New Roman" w:hAnsi="Times New Roman"/>
          <w:sz w:val="20"/>
        </w:rPr>
        <w:t>million at</w:t>
      </w:r>
      <w:r>
        <w:rPr>
          <w:rFonts w:ascii="Times New Roman" w:hAnsi="Times New Roman"/>
          <w:sz w:val="24"/>
        </w:rPr>
        <w:t> </w:t>
      </w:r>
      <w:r>
        <w:rPr>
          <w:rFonts w:ascii="Times New Roman" w:hAnsi="Times New Roman"/>
          <w:sz w:val="20"/>
        </w:rPr>
        <w:t>June 30, 2025.</w:t>
      </w:r>
      <w:r>
        <w:rPr>
          <w:rFonts w:ascii="Times New Roman" w:hAnsi="Times New Roman"/>
          <w:sz w:val="24"/>
        </w:rPr>
        <w:t> </w:t>
      </w:r>
      <w:r>
        <w:rPr>
          <w:rFonts w:ascii="Times New Roman" w:hAnsi="Times New Roman"/>
          <w:sz w:val="20"/>
        </w:rPr>
        <w:t>The loan is a Prime Rate Loan, a</w:t>
      </w:r>
      <w:r>
        <w:rPr>
          <w:rFonts w:ascii="Times New Roman" w:hAnsi="Times New Roman"/>
          <w:sz w:val="24"/>
        </w:rPr>
        <w:t> </w:t>
      </w:r>
      <w:r>
        <w:rPr>
          <w:rFonts w:ascii="Times New Roman" w:hAnsi="Times New Roman"/>
          <w:sz w:val="20"/>
        </w:rPr>
        <w:t>Daily SOFR Rate Loan</w:t>
      </w:r>
      <w:r>
        <w:rPr>
          <w:rFonts w:ascii="Times New Roman" w:hAnsi="Times New Roman"/>
          <w:sz w:val="24"/>
        </w:rPr>
        <w:t> </w:t>
      </w:r>
      <w:r>
        <w:rPr>
          <w:rFonts w:ascii="Times New Roman" w:hAnsi="Times New Roman"/>
          <w:sz w:val="20"/>
        </w:rPr>
        <w:t>plus</w:t>
      </w:r>
      <w:r>
        <w:rPr>
          <w:rFonts w:ascii="Times New Roman" w:hAnsi="Times New Roman"/>
          <w:sz w:val="24"/>
        </w:rPr>
        <w:t> </w:t>
      </w:r>
      <w:r>
        <w:rPr>
          <w:rFonts w:ascii="Times New Roman" w:hAnsi="Times New Roman"/>
          <w:sz w:val="20"/>
        </w:rPr>
        <w:t>1.00% or shall bear interest at the rate agreed to by the Bank and the Company at the time such loan is made. The weighted-average interest rate from loan inception date to</w:t>
      </w:r>
      <w:r>
        <w:rPr>
          <w:rFonts w:ascii="Times New Roman" w:hAnsi="Times New Roman"/>
          <w:sz w:val="24"/>
        </w:rPr>
        <w:t> </w:t>
      </w:r>
      <w:r>
        <w:rPr>
          <w:rFonts w:ascii="Times New Roman" w:hAnsi="Times New Roman"/>
          <w:sz w:val="20"/>
        </w:rPr>
        <w:t>June</w:t>
      </w:r>
      <w:r>
        <w:rPr>
          <w:rFonts w:ascii="Times New Roman" w:hAnsi="Times New Roman"/>
          <w:sz w:val="24"/>
        </w:rPr>
        <w:t> </w:t>
      </w:r>
      <w:r>
        <w:rPr>
          <w:rFonts w:ascii="Times New Roman" w:hAnsi="Times New Roman"/>
          <w:sz w:val="20"/>
        </w:rPr>
        <w:t>30, 2025, was</w:t>
      </w:r>
      <w:r>
        <w:rPr>
          <w:rFonts w:ascii="Times New Roman" w:hAnsi="Times New Roman"/>
          <w:sz w:val="24"/>
        </w:rPr>
        <w:t> </w:t>
      </w:r>
      <w:r>
        <w:rPr>
          <w:rFonts w:ascii="Times New Roman" w:hAnsi="Times New Roman"/>
          <w:sz w:val="20"/>
        </w:rPr>
        <w:t>5.32%.</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On June 27, 2025, the Company entered into an Uncommitted Loan Agreement for $300</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fully drawn and outstanding at June 30, 2025,</w:t>
      </w:r>
      <w:r>
        <w:rPr>
          <w:rFonts w:ascii="Times New Roman" w:hAnsi="Times New Roman"/>
          <w:sz w:val="24"/>
        </w:rPr>
        <w:t> </w:t>
      </w:r>
      <w:r>
        <w:rPr>
          <w:rFonts w:ascii="Times New Roman" w:hAnsi="Times New Roman"/>
          <w:sz w:val="20"/>
        </w:rPr>
        <w:t>for the sole purpose of providing vault cash for</w:t>
      </w:r>
      <w:r>
        <w:rPr>
          <w:rFonts w:ascii="Times New Roman" w:hAnsi="Times New Roman"/>
          <w:sz w:val="24"/>
        </w:rPr>
        <w:t> </w:t>
      </w:r>
      <w:r>
        <w:rPr>
          <w:rFonts w:ascii="Times New Roman" w:hAnsi="Times New Roman"/>
          <w:sz w:val="20"/>
        </w:rPr>
        <w:t>ATMs,</w:t>
      </w:r>
      <w:r>
        <w:rPr>
          <w:rFonts w:ascii="Times New Roman" w:hAnsi="Times New Roman"/>
          <w:sz w:val="24"/>
        </w:rPr>
        <w:t> </w:t>
      </w:r>
      <w:r>
        <w:rPr>
          <w:rFonts w:ascii="Times New Roman" w:hAnsi="Times New Roman"/>
          <w:sz w:val="20"/>
        </w:rPr>
        <w:t>that expires no later than</w:t>
      </w:r>
      <w:r>
        <w:rPr>
          <w:rFonts w:ascii="Times New Roman" w:hAnsi="Times New Roman"/>
          <w:sz w:val="24"/>
        </w:rPr>
        <w:t> </w:t>
      </w:r>
      <w:r>
        <w:rPr>
          <w:rFonts w:ascii="Times New Roman" w:hAnsi="Times New Roman"/>
          <w:sz w:val="20"/>
        </w:rPr>
        <w:t>November 30, 2025.</w:t>
      </w:r>
      <w:r>
        <w:rPr>
          <w:rFonts w:ascii="Times New Roman" w:hAnsi="Times New Roman"/>
          <w:sz w:val="24"/>
        </w:rPr>
        <w:t> </w:t>
      </w:r>
      <w:r>
        <w:rPr>
          <w:rFonts w:ascii="Times New Roman" w:hAnsi="Times New Roman"/>
          <w:sz w:val="20"/>
        </w:rPr>
        <w:t>The loan is a Prime Rate Loan, a</w:t>
      </w:r>
      <w:r>
        <w:rPr>
          <w:rFonts w:ascii="Times New Roman" w:hAnsi="Times New Roman"/>
          <w:sz w:val="24"/>
        </w:rPr>
        <w:t> </w:t>
      </w:r>
      <w:r>
        <w:rPr>
          <w:rFonts w:ascii="Times New Roman" w:hAnsi="Times New Roman"/>
          <w:sz w:val="20"/>
        </w:rPr>
        <w:t>Daily Simple SOFR Rate Loan</w:t>
      </w:r>
      <w:r>
        <w:rPr>
          <w:rFonts w:ascii="Times New Roman" w:hAnsi="Times New Roman"/>
          <w:sz w:val="24"/>
        </w:rPr>
        <w:t> </w:t>
      </w:r>
      <w:r>
        <w:rPr>
          <w:rFonts w:ascii="Times New Roman" w:hAnsi="Times New Roman"/>
          <w:sz w:val="20"/>
        </w:rPr>
        <w:t>plus</w:t>
      </w:r>
      <w:r>
        <w:rPr>
          <w:rFonts w:ascii="Times New Roman" w:hAnsi="Times New Roman"/>
          <w:sz w:val="24"/>
        </w:rPr>
        <w:t> </w:t>
      </w:r>
      <w:r>
        <w:rPr>
          <w:rFonts w:ascii="Times New Roman" w:hAnsi="Times New Roman"/>
          <w:sz w:val="20"/>
        </w:rPr>
        <w:t>1.25% or shall bear interest at the rate agreed to by the Bank and the Borrower at the time such Loan is made.</w:t>
      </w:r>
      <w:r>
        <w:rPr>
          <w:rFonts w:ascii="Times New Roman" w:hAnsi="Times New Roman"/>
          <w:sz w:val="24"/>
        </w:rPr>
        <w:t> </w:t>
      </w:r>
      <w:r>
        <w:rPr>
          <w:rFonts w:ascii="Times New Roman" w:hAnsi="Times New Roman"/>
          <w:sz w:val="20"/>
        </w:rPr>
        <w:t>The weighted-average interest rate from the loan inception date to June 30, 2025 was</w:t>
      </w:r>
      <w:r>
        <w:rPr>
          <w:rFonts w:ascii="Times New Roman" w:hAnsi="Times New Roman"/>
          <w:sz w:val="24"/>
        </w:rPr>
        <w:t> </w:t>
      </w:r>
      <w:r>
        <w:rPr>
          <w:rFonts w:ascii="Times New Roman" w:hAnsi="Times New Roman"/>
          <w:sz w:val="20"/>
        </w:rPr>
        <w:t>5.54%.</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Other obligations</w:t>
      </w:r>
    </w:p>
    <w:p>
      <w:pPr>
        <w:pStyle w:val="TextBody"/>
        <w:bidi w:val="0"/>
        <w:spacing w:lineRule="atLeast" w:line="240" w:before="0" w:after="0"/>
        <w:jc w:val="both"/>
        <w:rPr/>
      </w:pPr>
      <w:r>
        <w:rPr/>
        <w:t> </w:t>
      </w:r>
    </w:p>
    <w:p>
      <w:pPr>
        <w:pStyle w:val="TextBody"/>
        <w:bidi w:val="0"/>
        <w:spacing w:lineRule="atLeast" w:line="240" w:before="0" w:after="160"/>
        <w:jc w:val="both"/>
        <w:rPr>
          <w:rFonts w:ascii="Times New Roman" w:hAnsi="Times New Roman"/>
          <w:sz w:val="24"/>
        </w:rPr>
      </w:pPr>
      <w:r>
        <w:rPr>
          <w:rFonts w:ascii="Times New Roman" w:hAnsi="Times New Roman"/>
          <w:sz w:val="20"/>
        </w:rPr>
        <w:t>Certain of our subsidiaries have available credit lines and overdraft facilities to generally supplement short-term working capital requirements, when necessary. On October 9, 2024, the Company completed a facility of MYR 100</w:t>
      </w:r>
      <w:r>
        <w:rPr>
          <w:rFonts w:ascii="Times New Roman" w:hAnsi="Times New Roman"/>
          <w:sz w:val="24"/>
        </w:rPr>
        <w:t> </w:t>
      </w:r>
      <w:r>
        <w:rPr>
          <w:rFonts w:ascii="Times New Roman" w:hAnsi="Times New Roman"/>
          <w:sz w:val="20"/>
        </w:rPr>
        <w:t>million and an overdraft facility of MYR 140</w:t>
      </w:r>
      <w:r>
        <w:rPr>
          <w:rFonts w:ascii="Times New Roman" w:hAnsi="Times New Roman"/>
          <w:sz w:val="24"/>
        </w:rPr>
        <w:t> </w:t>
      </w:r>
      <w:r>
        <w:rPr>
          <w:rFonts w:ascii="Times New Roman" w:hAnsi="Times New Roman"/>
          <w:sz w:val="20"/>
        </w:rPr>
        <w:t>million for its Malaysian business.</w:t>
      </w:r>
      <w:r>
        <w:rPr>
          <w:rFonts w:ascii="Times New Roman" w:hAnsi="Times New Roman"/>
          <w:sz w:val="24"/>
        </w:rPr>
        <w:t> </w:t>
      </w:r>
      <w:r>
        <w:rPr>
          <w:rFonts w:ascii="Times New Roman" w:hAnsi="Times New Roman"/>
          <w:sz w:val="20"/>
        </w:rPr>
        <w:t>Each advance under this facility shall be made for a term of one month or such other period of up to 12</w:t>
      </w:r>
      <w:r>
        <w:rPr>
          <w:rFonts w:ascii="Times New Roman" w:hAnsi="Times New Roman"/>
          <w:sz w:val="24"/>
        </w:rPr>
        <w:t xml:space="preserve"> </w:t>
      </w:r>
      <w:r>
        <w:rPr>
          <w:rFonts w:ascii="Times New Roman" w:hAnsi="Times New Roman"/>
          <w:sz w:val="20"/>
        </w:rPr>
        <w:t>months. As of</w:t>
      </w:r>
      <w:r>
        <w:rPr>
          <w:rFonts w:ascii="Times New Roman" w:hAnsi="Times New Roman"/>
          <w:sz w:val="24"/>
        </w:rPr>
        <w:t> </w:t>
      </w:r>
      <w:r>
        <w:rPr>
          <w:rFonts w:ascii="Times New Roman" w:hAnsi="Times New Roman"/>
          <w:sz w:val="20"/>
        </w:rPr>
        <w:t>June 30, 2025 $23.8</w:t>
      </w:r>
      <w:r>
        <w:rPr>
          <w:rFonts w:ascii="Times New Roman" w:hAnsi="Times New Roman"/>
          <w:sz w:val="24"/>
        </w:rPr>
        <w:t> </w:t>
      </w:r>
      <w:r>
        <w:rPr>
          <w:rFonts w:ascii="Times New Roman" w:hAnsi="Times New Roman"/>
          <w:sz w:val="20"/>
        </w:rPr>
        <w:t>million was borrowed under this facility. Including the Malaysian facility, there was a total of $36.2</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outstanding under our subsidiaries credit lines and overdraft facilities as of</w:t>
      </w:r>
      <w:r>
        <w:rPr>
          <w:rFonts w:ascii="Times New Roman" w:hAnsi="Times New Roman"/>
          <w:sz w:val="24"/>
        </w:rPr>
        <w:t> </w:t>
      </w:r>
      <w:r>
        <w:rPr>
          <w:rFonts w:ascii="Times New Roman" w:hAnsi="Times New Roman"/>
          <w:sz w:val="20"/>
        </w:rPr>
        <w:t>June 30, 2025.</w:t>
      </w:r>
      <w:r>
        <w:rPr>
          <w:rFonts w:ascii="Times New Roman" w:hAnsi="Times New Roman"/>
          <w:sz w:val="24"/>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Debt Issuance Costs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As of June 30, 2025, the Company had unamortized debt issuance costs of $4.8</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 Credit Facility</w:t>
      </w:r>
      <w:r>
        <w:rPr>
          <w:rFonts w:ascii="Times New Roman" w:hAnsi="Times New Roman"/>
          <w:sz w:val="24"/>
        </w:rPr>
        <w:t> </w:t>
      </w:r>
      <w:r>
        <w:rPr>
          <w:rFonts w:ascii="Times New Roman" w:hAnsi="Times New Roman"/>
          <w:sz w:val="20"/>
        </w:rPr>
        <w:t>and $1.1</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 Senior Notes that will be amortized through October 2027</w:t>
      </w:r>
      <w:r>
        <w:rPr>
          <w:rFonts w:ascii="Times New Roman" w:hAnsi="Times New Roman"/>
          <w:sz w:val="24"/>
        </w:rPr>
        <w:t xml:space="preserve"> </w:t>
      </w:r>
      <w:r>
        <w:rPr>
          <w:rFonts w:ascii="Times New Roman" w:hAnsi="Times New Roman"/>
          <w:sz w:val="20"/>
        </w:rPr>
        <w:t>and May 2026,</w:t>
      </w:r>
      <w:r>
        <w:rPr>
          <w:rFonts w:ascii="Times New Roman" w:hAnsi="Times New Roman"/>
          <w:sz w:val="24"/>
        </w:rPr>
        <w:t xml:space="preserve">  </w:t>
      </w:r>
      <w:r>
        <w:rPr>
          <w:rFonts w:ascii="Times New Roman" w:hAnsi="Times New Roman"/>
          <w:sz w:val="20"/>
        </w:rPr>
        <w:t>respectively.</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sz w:val="24"/>
        </w:rPr>
      </w:pPr>
      <w:r>
        <w:rPr>
          <w:rFonts w:ascii="Times New Roman" w:hAnsi="Times New Roman"/>
          <w:b/>
          <w:sz w:val="20"/>
        </w:rPr>
        <w:t>(11)</w:t>
      </w:r>
      <w:r>
        <w:rPr>
          <w:rFonts w:ascii="Times New Roman" w:hAnsi="Times New Roman"/>
          <w:sz w:val="24"/>
        </w:rPr>
        <w:t> </w:t>
      </w:r>
      <w:r>
        <w:rPr>
          <w:rFonts w:ascii="Times New Roman" w:hAnsi="Times New Roman"/>
          <w:b/>
          <w:sz w:val="20"/>
        </w:rPr>
        <w:t>DERIVATIVE INSTRUMENTS AND HEDGING ACTIVITIES</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Times New Roman" w:hAnsi="Times New Roman"/>
          <w:i/>
          <w:sz w:val="20"/>
        </w:rPr>
        <w:t>,</w:t>
      </w:r>
      <w:r>
        <w:rPr>
          <w:rFonts w:ascii="Times New Roman" w:hAnsi="Times New Roman"/>
          <w:sz w:val="24"/>
        </w:rPr>
        <w:t> </w:t>
      </w:r>
      <w:r>
        <w:rPr>
          <w:rFonts w:ascii="Times New Roman" w:hAnsi="Times New Roman"/>
          <w:sz w:val="20"/>
        </w:rPr>
        <w:t>primarily</w:t>
      </w:r>
      <w:r>
        <w:rPr>
          <w:rFonts w:ascii="Times New Roman" w:hAnsi="Times New Roman"/>
          <w:sz w:val="24"/>
        </w:rPr>
        <w:t> </w:t>
      </w:r>
      <w:r>
        <w:rPr>
          <w:rFonts w:ascii="Times New Roman" w:hAnsi="Times New Roman"/>
          <w:sz w:val="20"/>
        </w:rPr>
        <w:t>due to either the relatively short duration of the contract term or the effects of fluctuations in currency exchange rates are reflected concurrently in earnings for both the derivative instrument and the transaction and have an offsetting effect.</w:t>
      </w:r>
    </w:p>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sz w:val="24"/>
        </w:rPr>
      </w:pPr>
      <w:r>
        <w:rPr>
          <w:rFonts w:ascii="Times New Roman" w:hAnsi="Times New Roman"/>
          <w:i/>
          <w:sz w:val="20"/>
        </w:rPr>
        <w:t>Foreign currency exchange contracts - Ria Operations and Corporate</w:t>
      </w:r>
      <w:r>
        <w:rPr>
          <w:rFonts w:ascii="Times New Roman" w:hAnsi="Times New Roman"/>
          <w:sz w:val="24"/>
        </w:rPr>
        <w:t> </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In the United States, the Company uses short-duration foreign currency forward contracts, generally with maturities up to</w:t>
      </w:r>
      <w:r>
        <w:rPr>
          <w:rFonts w:ascii="Times New Roman" w:hAnsi="Times New Roman"/>
          <w:sz w:val="24"/>
        </w:rPr>
        <w:t> </w:t>
      </w:r>
      <w:r>
        <w:rPr>
          <w:rFonts w:ascii="Times New Roman" w:hAnsi="Times New Roman"/>
          <w:sz w:val="20"/>
        </w:rPr>
        <w:t>14</w:t>
      </w:r>
      <w:r>
        <w:rPr>
          <w:rFonts w:ascii="Times New Roman" w:hAnsi="Times New Roman"/>
          <w:sz w:val="24"/>
        </w:rPr>
        <w:t xml:space="preserve"> </w:t>
      </w:r>
      <w:r>
        <w:rPr>
          <w:rFonts w:ascii="Times New Roman" w:hAnsi="Times New Roman"/>
          <w:sz w:val="20"/>
        </w:rPr>
        <w:t>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The Company had</w:t>
      </w:r>
      <w:r>
        <w:rPr>
          <w:rFonts w:ascii="Times New Roman" w:hAnsi="Times New Roman"/>
          <w:sz w:val="24"/>
        </w:rPr>
        <w:t> </w:t>
      </w:r>
      <w:r>
        <w:rPr>
          <w:rFonts w:ascii="Times New Roman" w:hAnsi="Times New Roman"/>
          <w:sz w:val="20"/>
        </w:rPr>
        <w:t>foreign currency forward contracts outstanding in the U.S. with a notional value of $677.2</w:t>
      </w:r>
      <w:r>
        <w:rPr>
          <w:rFonts w:ascii="Times New Roman" w:hAnsi="Times New Roman"/>
          <w:sz w:val="24"/>
        </w:rPr>
        <w:t> </w:t>
      </w:r>
      <w:r>
        <w:rPr>
          <w:rFonts w:ascii="Times New Roman" w:hAnsi="Times New Roman"/>
          <w:sz w:val="20"/>
        </w:rPr>
        <w:t>million and $281.5</w:t>
      </w:r>
      <w:r>
        <w:rPr>
          <w:rFonts w:ascii="Times New Roman" w:hAnsi="Times New Roman"/>
          <w:sz w:val="24"/>
        </w:rPr>
        <w:t xml:space="preserve"> </w:t>
      </w:r>
      <w:r>
        <w:rPr>
          <w:rFonts w:ascii="Times New Roman" w:hAnsi="Times New Roman"/>
          <w:sz w:val="20"/>
        </w:rPr>
        <w:t>million as of June 30, 2025</w:t>
      </w:r>
      <w:r>
        <w:rPr>
          <w:rFonts w:ascii="Times New Roman" w:hAnsi="Times New Roman"/>
          <w:sz w:val="24"/>
        </w:rPr>
        <w:t xml:space="preserve"> </w:t>
      </w:r>
      <w:r>
        <w:rPr>
          <w:rFonts w:ascii="Times New Roman" w:hAnsi="Times New Roman"/>
          <w:sz w:val="20"/>
        </w:rPr>
        <w:t>and December 31, 2024, respectively. The foreign currency forward contracts consist primarily in Australian dollars, Canadian dollars, British pounds sterling, euros and Mexican pesos.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In addition, the Company uses forward contracts, typically with maturities from a few days to less than one year, to offset</w:t>
      </w:r>
      <w:r>
        <w:rPr>
          <w:rFonts w:ascii="Times New Roman" w:hAnsi="Times New Roman"/>
          <w:sz w:val="24"/>
        </w:rPr>
        <w:t> </w:t>
      </w:r>
      <w:r>
        <w:rPr>
          <w:rFonts w:ascii="Times New Roman" w:hAnsi="Times New Roman"/>
          <w:sz w:val="20"/>
        </w:rPr>
        <w:t>foreign exchange rate fluctuations on certain short-term borrowings that are payable in currencies other than the U.S. dollar. The Company had foreign currency forward contracts outstanding with a notional value of</w:t>
      </w:r>
      <w:r>
        <w:rPr>
          <w:rFonts w:ascii="Times New Roman" w:hAnsi="Times New Roman"/>
          <w:sz w:val="24"/>
        </w:rPr>
        <w:t> </w:t>
      </w:r>
      <w:r>
        <w:rPr>
          <w:rFonts w:ascii="Times New Roman" w:hAnsi="Times New Roman"/>
          <w:sz w:val="20"/>
        </w:rPr>
        <w:t>$198.0</w:t>
      </w:r>
      <w:r>
        <w:rPr>
          <w:rFonts w:ascii="Times New Roman" w:hAnsi="Times New Roman"/>
          <w:sz w:val="24"/>
        </w:rPr>
        <w:t xml:space="preserve"> </w:t>
      </w:r>
      <w:r>
        <w:rPr>
          <w:rFonts w:ascii="Times New Roman" w:hAnsi="Times New Roman"/>
          <w:sz w:val="20"/>
        </w:rPr>
        <w:t>million and $710.4</w:t>
      </w:r>
      <w:r>
        <w:rPr>
          <w:rFonts w:ascii="Times New Roman" w:hAnsi="Times New Roman"/>
          <w:sz w:val="24"/>
        </w:rPr>
        <w:t xml:space="preserve"> </w:t>
      </w:r>
      <w:r>
        <w:rPr>
          <w:rFonts w:ascii="Times New Roman" w:hAnsi="Times New Roman"/>
          <w:sz w:val="20"/>
        </w:rPr>
        <w:t>million as of June 30, 2025</w:t>
      </w:r>
      <w:r>
        <w:rPr>
          <w:rFonts w:ascii="Times New Roman" w:hAnsi="Times New Roman"/>
          <w:sz w:val="24"/>
        </w:rPr>
        <w:t xml:space="preserve"> </w:t>
      </w:r>
      <w:r>
        <w:rPr>
          <w:rFonts w:ascii="Times New Roman" w:hAnsi="Times New Roman"/>
          <w:sz w:val="20"/>
        </w:rPr>
        <w:t>and December 31, 2024, respectively, primarily in euro.</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Foreign currency exchange contracts - xe Operations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$23.7</w:t>
      </w:r>
      <w:r>
        <w:rPr>
          <w:rFonts w:ascii="Times New Roman" w:hAnsi="Times New Roman"/>
          <w:sz w:val="24"/>
        </w:rPr>
        <w:t xml:space="preserve"> </w:t>
      </w:r>
      <w:r>
        <w:rPr>
          <w:rFonts w:ascii="Times New Roman" w:hAnsi="Times New Roman"/>
          <w:sz w:val="20"/>
        </w:rPr>
        <w:t>million and $46.6</w:t>
      </w:r>
      <w:r>
        <w:rPr>
          <w:rFonts w:ascii="Times New Roman" w:hAnsi="Times New Roman"/>
          <w:sz w:val="24"/>
        </w:rPr>
        <w:t xml:space="preserve"> </w:t>
      </w:r>
      <w:r>
        <w:rPr>
          <w:rFonts w:ascii="Times New Roman" w:hAnsi="Times New Roman"/>
          <w:sz w:val="20"/>
        </w:rPr>
        <w:t>million for the three and six months ended June 30, 2025, respectively, and $22.4</w:t>
      </w:r>
      <w:r>
        <w:rPr>
          <w:rFonts w:ascii="Times New Roman" w:hAnsi="Times New Roman"/>
          <w:sz w:val="24"/>
        </w:rPr>
        <w:t xml:space="preserve"> </w:t>
      </w:r>
      <w:r>
        <w:rPr>
          <w:rFonts w:ascii="Times New Roman" w:hAnsi="Times New Roman"/>
          <w:sz w:val="20"/>
        </w:rPr>
        <w:t>million and $43.3</w:t>
      </w:r>
      <w:r>
        <w:rPr>
          <w:rFonts w:ascii="Times New Roman" w:hAnsi="Times New Roman"/>
          <w:sz w:val="24"/>
        </w:rPr>
        <w:t xml:space="preserve"> </w:t>
      </w:r>
      <w:r>
        <w:rPr>
          <w:rFonts w:ascii="Times New Roman" w:hAnsi="Times New Roman"/>
          <w:sz w:val="20"/>
        </w:rPr>
        <w:t>million for the three and six months ended June 30, 2024, respectively. All of the derivative contracts used in the Company's xe operations are economic hedges and are not designated as hedges under ASC 815. The duration of these derivative contracts is generally less than one year.</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aggregate equivalent U.S. dollar notional amount of foreign currency derivative customer contracts held by the Company in its xe operations as of June 30, 2025</w:t>
      </w:r>
      <w:r>
        <w:rPr>
          <w:rFonts w:ascii="Times New Roman" w:hAnsi="Times New Roman"/>
          <w:sz w:val="24"/>
        </w:rPr>
        <w:t xml:space="preserve"> </w:t>
      </w:r>
      <w:r>
        <w:rPr>
          <w:rFonts w:ascii="Times New Roman" w:hAnsi="Times New Roman"/>
          <w:sz w:val="20"/>
        </w:rPr>
        <w:t>and December 31, 2024</w:t>
      </w:r>
      <w:r>
        <w:rPr>
          <w:rFonts w:ascii="Times New Roman" w:hAnsi="Times New Roman"/>
          <w:sz w:val="24"/>
        </w:rPr>
        <w:t xml:space="preserve"> </w:t>
      </w:r>
      <w:r>
        <w:rPr>
          <w:rFonts w:ascii="Times New Roman" w:hAnsi="Times New Roman"/>
          <w:sz w:val="20"/>
        </w:rPr>
        <w:t>was $1.1</w:t>
      </w:r>
      <w:r>
        <w:rPr>
          <w:rFonts w:ascii="Times New Roman" w:hAnsi="Times New Roman"/>
          <w:sz w:val="24"/>
        </w:rPr>
        <w:t xml:space="preserve"> </w:t>
      </w:r>
      <w:r>
        <w:rPr>
          <w:rFonts w:ascii="Times New Roman" w:hAnsi="Times New Roman"/>
          <w:sz w:val="20"/>
        </w:rPr>
        <w:t>billion and $0.9</w:t>
      </w:r>
      <w:r>
        <w:rPr>
          <w:rFonts w:ascii="Times New Roman" w:hAnsi="Times New Roman"/>
          <w:sz w:val="24"/>
        </w:rPr>
        <w:t> </w:t>
      </w:r>
      <w:r>
        <w:rPr>
          <w:rFonts w:ascii="Times New Roman" w:hAnsi="Times New Roman"/>
          <w:sz w:val="20"/>
        </w:rPr>
        <w:t>billion, respectively. The significant majority of customer contracts are written in major currencies such as the euro, U.S. dollar, British pounds sterling, Australian dollar and New Zealand dollar.</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i/>
          <w:sz w:val="20"/>
        </w:rPr>
      </w:pPr>
      <w:r>
        <w:rPr>
          <w:rFonts w:ascii="Times New Roman" w:hAnsi="Times New Roman"/>
          <w:i/>
          <w:sz w:val="20"/>
        </w:rPr>
        <w:t>Balance Sheet Presentation</w:t>
      </w:r>
    </w:p>
    <w:p>
      <w:pPr>
        <w:pStyle w:val="TextBody"/>
        <w:bidi w:val="0"/>
        <w:spacing w:lineRule="atLeast" w:line="240" w:before="200" w:after="200"/>
        <w:jc w:val="both"/>
        <w:rPr>
          <w:rFonts w:ascii="Times New Roman" w:hAnsi="Times New Roman"/>
          <w:sz w:val="20"/>
        </w:rPr>
      </w:pPr>
      <w:r>
        <w:rPr>
          <w:rFonts w:ascii="Times New Roman" w:hAnsi="Times New Roman"/>
          <w:sz w:val="20"/>
        </w:rPr>
        <w:t>The following table summarizes the fair value of the derivative instruments as recorded in the Consolidated Balance Sheets as of the dates below</w:t>
      </w:r>
    </w:p>
    <w:tbl>
      <w:tblPr>
        <w:tblW w:w="10205" w:type="dxa"/>
        <w:jc w:val="left"/>
        <w:tblInd w:w="0" w:type="dxa"/>
        <w:tblLayout w:type="fixed"/>
        <w:tblCellMar>
          <w:top w:w="0" w:type="dxa"/>
          <w:left w:w="0" w:type="dxa"/>
          <w:bottom w:w="0" w:type="dxa"/>
          <w:right w:w="0" w:type="dxa"/>
        </w:tblCellMar>
      </w:tblPr>
      <w:tblGrid>
        <w:gridCol w:w="2782"/>
        <w:gridCol w:w="60"/>
        <w:gridCol w:w="60"/>
        <w:gridCol w:w="1237"/>
        <w:gridCol w:w="60"/>
        <w:gridCol w:w="125"/>
        <w:gridCol w:w="739"/>
        <w:gridCol w:w="60"/>
        <w:gridCol w:w="125"/>
        <w:gridCol w:w="1107"/>
        <w:gridCol w:w="60"/>
        <w:gridCol w:w="60"/>
        <w:gridCol w:w="1494"/>
        <w:gridCol w:w="60"/>
        <w:gridCol w:w="125"/>
        <w:gridCol w:w="739"/>
        <w:gridCol w:w="60"/>
        <w:gridCol w:w="125"/>
        <w:gridCol w:w="1127"/>
      </w:tblGrid>
      <w:tr>
        <w:trPr/>
        <w:tc>
          <w:tcPr>
            <w:tcW w:w="278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453" w:type="dxa"/>
            <w:gridSpan w:val="7"/>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Asset Derivatives</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730" w:type="dxa"/>
            <w:gridSpan w:val="7"/>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Liability Derivatives</w:t>
            </w:r>
          </w:p>
        </w:tc>
      </w:tr>
      <w:tr>
        <w:trPr/>
        <w:tc>
          <w:tcPr>
            <w:tcW w:w="278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7"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2031" w:type="dxa"/>
            <w:gridSpan w:val="4"/>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Fair Value</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94"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2051" w:type="dxa"/>
            <w:gridSpan w:val="4"/>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Fair Value</w:t>
            </w:r>
          </w:p>
        </w:tc>
      </w:tr>
      <w:tr>
        <w:trPr/>
        <w:tc>
          <w:tcPr>
            <w:tcW w:w="278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7"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Balance Sheet Location</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3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June 30, 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0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2024</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94"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Balance Sheet Location</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3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June 30, 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2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2024</w:t>
            </w:r>
          </w:p>
        </w:tc>
      </w:tr>
      <w:tr>
        <w:trPr/>
        <w:tc>
          <w:tcPr>
            <w:tcW w:w="278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Derivatives not designated as hedging instruments</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37"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3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49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3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27"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2782"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Foreign currency exchange contracts</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37" w:type="dxa"/>
            <w:tcBorders/>
            <w:shd w:fill="FFFFFF" w:val="clear"/>
            <w:vAlign w:val="center"/>
          </w:tcPr>
          <w:p>
            <w:pPr>
              <w:pStyle w:val="TableContents"/>
              <w:bidi w:val="0"/>
              <w:spacing w:before="0" w:after="0"/>
              <w:jc w:val="center"/>
              <w:rPr/>
            </w:pPr>
            <w:r>
              <w:rPr/>
              <w:t> </w:t>
            </w:r>
            <w:r>
              <w:rPr>
                <w:rFonts w:ascii="Times New Roman" w:hAnsi="Times New Roman"/>
                <w:sz w:val="20"/>
              </w:rPr>
              <w:t xml:space="preserve">Other current assets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53.1</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494" w:type="dxa"/>
            <w:tcBorders/>
            <w:shd w:fill="FFFFFF" w:val="clear"/>
            <w:vAlign w:val="center"/>
          </w:tcPr>
          <w:p>
            <w:pPr>
              <w:pStyle w:val="TableContents"/>
              <w:bidi w:val="0"/>
              <w:spacing w:before="0" w:after="0"/>
              <w:jc w:val="center"/>
              <w:rPr/>
            </w:pPr>
            <w:r>
              <w:rPr/>
              <w:t xml:space="preserve">  </w:t>
            </w:r>
            <w:r>
              <w:rPr>
                <w:rFonts w:ascii="Times New Roman" w:hAnsi="Times New Roman"/>
                <w:sz w:val="20"/>
              </w:rPr>
              <w:t xml:space="preserve">Other current liabilities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9"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50.8</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7"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53.7</w:t>
            </w:r>
            <w:r>
              <w:rPr>
                <w:rFonts w:ascii="Times New Roman" w:hAnsi="Times New Roman"/>
                <w:sz w:val="20"/>
              </w:rPr>
              <w:t>)</w:t>
            </w:r>
          </w:p>
        </w:tc>
      </w:tr>
    </w:tbl>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following tables summarize the gross and net fair value of derivative assets and liabilities as of June 30, 2025</w:t>
      </w:r>
      <w:r>
        <w:rPr>
          <w:rFonts w:ascii="Times New Roman" w:hAnsi="Times New Roman"/>
          <w:sz w:val="24"/>
        </w:rPr>
        <w:t xml:space="preserve"> </w:t>
      </w:r>
      <w:r>
        <w:rPr>
          <w:rFonts w:ascii="Times New Roman" w:hAnsi="Times New Roman"/>
          <w:sz w:val="20"/>
        </w:rPr>
        <w:t>and December 31, 2024</w:t>
      </w:r>
      <w:r>
        <w:rPr>
          <w:rFonts w:ascii="Times New Roman" w:hAnsi="Times New Roman"/>
          <w:sz w:val="24"/>
        </w:rPr>
        <w:t xml:space="preserve"> </w:t>
      </w:r>
      <w:r>
        <w:rPr>
          <w:rFonts w:ascii="Times New Roman" w:hAnsi="Times New Roman"/>
          <w:sz w:val="20"/>
        </w:rPr>
        <w:t>(in millions):</w:t>
      </w:r>
    </w:p>
    <w:p>
      <w:pPr>
        <w:pStyle w:val="TextBody"/>
        <w:bidi w:val="0"/>
        <w:spacing w:lineRule="atLeast" w:line="240" w:before="0" w:after="0"/>
        <w:jc w:val="both"/>
        <w:rPr/>
      </w:pPr>
      <w:r>
        <w:rPr/>
        <w:t> </w:t>
      </w:r>
    </w:p>
    <w:p>
      <w:pPr>
        <w:pStyle w:val="TextBody"/>
        <w:bidi w:val="0"/>
        <w:spacing w:lineRule="atLeast" w:line="240" w:before="0" w:after="200"/>
        <w:jc w:val="left"/>
        <w:rPr>
          <w:rFonts w:ascii="Times New Roman" w:hAnsi="Times New Roman"/>
          <w:i/>
          <w:sz w:val="20"/>
        </w:rPr>
      </w:pPr>
      <w:r>
        <w:rPr>
          <w:rFonts w:ascii="Times New Roman" w:hAnsi="Times New Roman"/>
          <w:i/>
          <w:sz w:val="20"/>
        </w:rPr>
        <w:t>Offsetting of Derivative Assets</w:t>
      </w:r>
    </w:p>
    <w:tbl>
      <w:tblPr>
        <w:tblW w:w="10205" w:type="dxa"/>
        <w:jc w:val="left"/>
        <w:tblInd w:w="0" w:type="dxa"/>
        <w:tblLayout w:type="fixed"/>
        <w:tblCellMar>
          <w:top w:w="0" w:type="dxa"/>
          <w:left w:w="0" w:type="dxa"/>
          <w:bottom w:w="28" w:type="dxa"/>
          <w:right w:w="0" w:type="dxa"/>
        </w:tblCellMar>
      </w:tblPr>
      <w:tblGrid>
        <w:gridCol w:w="2129"/>
        <w:gridCol w:w="60"/>
        <w:gridCol w:w="125"/>
        <w:gridCol w:w="1279"/>
        <w:gridCol w:w="60"/>
        <w:gridCol w:w="125"/>
        <w:gridCol w:w="1696"/>
        <w:gridCol w:w="60"/>
        <w:gridCol w:w="125"/>
        <w:gridCol w:w="1716"/>
        <w:gridCol w:w="60"/>
        <w:gridCol w:w="125"/>
        <w:gridCol w:w="1686"/>
        <w:gridCol w:w="60"/>
        <w:gridCol w:w="125"/>
        <w:gridCol w:w="774"/>
      </w:tblGrid>
      <w:tr>
        <w:trPr/>
        <w:tc>
          <w:tcPr>
            <w:tcW w:w="2129" w:type="dxa"/>
            <w:tcBorders>
              <w:bottom w:val="single" w:sz="8" w:space="0" w:color="000000"/>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As of June 30, 2025</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279" w:type="dxa"/>
            <w:tcBorders>
              <w:bottom w:val="single" w:sz="8" w:space="0" w:color="000000"/>
            </w:tcBorders>
            <w:vAlign w:val="center"/>
          </w:tcPr>
          <w:p>
            <w:pPr>
              <w:pStyle w:val="TableContents"/>
              <w:bidi w:val="0"/>
              <w:spacing w:before="0" w:after="0"/>
              <w:jc w:val="center"/>
              <w:rPr/>
            </w:pPr>
            <w:r>
              <w:rPr/>
              <w:t> </w:t>
            </w:r>
            <w:r>
              <w:rPr>
                <w:rFonts w:ascii="Times New Roman" w:hAnsi="Times New Roman"/>
                <w:b/>
                <w:sz w:val="16"/>
              </w:rPr>
              <w:t xml:space="preserve">Gross Amounts of Recognized Assets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96" w:type="dxa"/>
            <w:tcBorders>
              <w:bottom w:val="single" w:sz="8" w:space="0" w:color="000000"/>
            </w:tcBorders>
            <w:vAlign w:val="center"/>
          </w:tcPr>
          <w:p>
            <w:pPr>
              <w:pStyle w:val="TableContents"/>
              <w:bidi w:val="0"/>
              <w:spacing w:before="0" w:after="0"/>
              <w:jc w:val="center"/>
              <w:rPr/>
            </w:pPr>
            <w:r>
              <w:rPr/>
              <w:t> </w:t>
            </w:r>
            <w:r>
              <w:rPr>
                <w:rFonts w:ascii="Times New Roman" w:hAnsi="Times New Roman"/>
                <w:b/>
                <w:sz w:val="16"/>
              </w:rPr>
              <w:t xml:space="preserve">Gross Amounts Offset in the Consolidated Balance Sheet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716" w:type="dxa"/>
            <w:tcBorders>
              <w:bottom w:val="single" w:sz="8" w:space="0" w:color="000000"/>
            </w:tcBorders>
            <w:vAlign w:val="center"/>
          </w:tcPr>
          <w:p>
            <w:pPr>
              <w:pStyle w:val="TableContents"/>
              <w:bidi w:val="0"/>
              <w:spacing w:before="0" w:after="0"/>
              <w:jc w:val="center"/>
              <w:rPr/>
            </w:pPr>
            <w:r>
              <w:rPr/>
              <w:t> </w:t>
            </w:r>
            <w:r>
              <w:rPr>
                <w:rFonts w:ascii="Times New Roman" w:hAnsi="Times New Roman"/>
                <w:b/>
                <w:sz w:val="16"/>
              </w:rPr>
              <w:t xml:space="preserve">Net Amounts Presented in the Consolidated Balance Sheet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86" w:type="dxa"/>
            <w:tcBorders>
              <w:bottom w:val="single" w:sz="8" w:space="0" w:color="000000"/>
            </w:tcBorders>
            <w:vAlign w:val="center"/>
          </w:tcPr>
          <w:p>
            <w:pPr>
              <w:pStyle w:val="TableContents"/>
              <w:bidi w:val="0"/>
              <w:spacing w:before="0" w:after="0"/>
              <w:jc w:val="center"/>
              <w:rPr/>
            </w:pPr>
            <w:r>
              <w:rPr/>
              <w:t> </w:t>
            </w:r>
            <w:r>
              <w:rPr>
                <w:rFonts w:ascii="Times New Roman" w:hAnsi="Times New Roman"/>
                <w:b/>
                <w:sz w:val="16"/>
              </w:rPr>
              <w:t xml:space="preserve">Derivatives not offset in the Consolidated Balance Sheet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774" w:type="dxa"/>
            <w:tcBorders>
              <w:bottom w:val="single" w:sz="8" w:space="0" w:color="000000"/>
            </w:tcBorders>
            <w:vAlign w:val="center"/>
          </w:tcPr>
          <w:p>
            <w:pPr>
              <w:pStyle w:val="TableContents"/>
              <w:bidi w:val="0"/>
              <w:spacing w:before="0" w:after="0"/>
              <w:jc w:val="center"/>
              <w:rPr/>
            </w:pPr>
            <w:r>
              <w:rPr/>
              <w:t> </w:t>
            </w:r>
            <w:r>
              <w:rPr>
                <w:rFonts w:ascii="Times New Roman" w:hAnsi="Times New Roman"/>
                <w:b/>
                <w:sz w:val="16"/>
              </w:rPr>
              <w:t xml:space="preserve">Net Amounts </w:t>
            </w:r>
          </w:p>
        </w:tc>
      </w:tr>
      <w:tr>
        <w:trPr/>
        <w:tc>
          <w:tcPr>
            <w:tcW w:w="2129"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Derivatives subject to a master netting arrangement or similar agreement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79"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54.3</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696" w:type="dxa"/>
            <w:tcBorders>
              <w:top w:val="single" w:sz="8" w:space="0" w:color="000000"/>
            </w:tcBorders>
            <w:shd w:fill="CCEEFF" w:val="clear"/>
            <w:tcMar>
              <w:top w:w="28" w:type="dxa"/>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716"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54.3</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86" w:type="dxa"/>
            <w:tcBorders>
              <w:top w:val="single" w:sz="8" w:space="0" w:color="000000"/>
            </w:tcBorders>
            <w:shd w:fill="CCEEFF" w:val="clear"/>
            <w:tcMar>
              <w:top w:w="28" w:type="dxa"/>
              <w:bottom w:w="0" w:type="dxa"/>
            </w:tcMar>
            <w:vAlign w:val="center"/>
          </w:tcPr>
          <w:p>
            <w:pPr>
              <w:pStyle w:val="TableContents"/>
              <w:bidi w:val="0"/>
              <w:spacing w:before="0" w:after="0"/>
              <w:jc w:val="right"/>
              <w:rPr>
                <w:sz w:val="20"/>
              </w:rPr>
            </w:pPr>
            <w:r>
              <w:rPr>
                <w:rFonts w:ascii="Times New Roman" w:hAnsi="Times New Roman"/>
                <w:sz w:val="20"/>
              </w:rPr>
              <w:t>(</w:t>
            </w:r>
            <w:r>
              <w:rPr>
                <w:sz w:val="20"/>
              </w:rPr>
              <w:t>25.8</w:t>
            </w: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74"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28.6</w:t>
            </w:r>
          </w:p>
        </w:tc>
      </w:tr>
      <w:tr>
        <w:trPr/>
        <w:tc>
          <w:tcPr>
            <w:tcW w:w="2129"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279"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right"/>
              <w:rPr/>
            </w:pPr>
            <w:r>
              <w:rPr/>
              <w:t> </w:t>
            </w:r>
          </w:p>
        </w:tc>
        <w:tc>
          <w:tcPr>
            <w:tcW w:w="1696"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right"/>
              <w:rPr/>
            </w:pPr>
            <w:r>
              <w:rPr/>
              <w:t> </w:t>
            </w:r>
          </w:p>
        </w:tc>
        <w:tc>
          <w:tcPr>
            <w:tcW w:w="1716"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686"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right"/>
              <w:rPr/>
            </w:pPr>
            <w:r>
              <w:rPr/>
              <w:t> </w:t>
            </w:r>
          </w:p>
        </w:tc>
        <w:tc>
          <w:tcPr>
            <w:tcW w:w="774" w:type="dxa"/>
            <w:tcBorders/>
            <w:shd w:fill="FFFFFF" w:val="clear"/>
            <w:tcMar>
              <w:bottom w:w="0" w:type="dxa"/>
            </w:tcMar>
            <w:vAlign w:val="center"/>
          </w:tcPr>
          <w:p>
            <w:pPr>
              <w:pStyle w:val="TableContents"/>
              <w:bidi w:val="0"/>
              <w:spacing w:before="0" w:after="0"/>
              <w:jc w:val="right"/>
              <w:rPr/>
            </w:pPr>
            <w:r>
              <w:rPr/>
              <w:t> </w:t>
            </w:r>
          </w:p>
        </w:tc>
      </w:tr>
      <w:tr>
        <w:trPr/>
        <w:tc>
          <w:tcPr>
            <w:tcW w:w="2129" w:type="dxa"/>
            <w:tcBorders>
              <w:bottom w:val="single" w:sz="8" w:space="0" w:color="000000"/>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As of December 31, 2024</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1279" w:type="dxa"/>
            <w:tcBorders>
              <w:bottom w:val="single" w:sz="8" w:space="0" w:color="000000"/>
            </w:tcBorders>
            <w:shd w:fill="CCEEFF" w:val="cle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bottom w:val="single" w:sz="8" w:space="0" w:color="000000"/>
            </w:tcBorders>
            <w:shd w:fill="CCEEFF" w:val="clear"/>
            <w:vAlign w:val="center"/>
          </w:tcPr>
          <w:p>
            <w:pPr>
              <w:pStyle w:val="TableContents"/>
              <w:bidi w:val="0"/>
              <w:spacing w:before="0" w:after="0"/>
              <w:jc w:val="right"/>
              <w:rPr/>
            </w:pPr>
            <w:r>
              <w:rPr/>
              <w:t> </w:t>
            </w:r>
          </w:p>
        </w:tc>
        <w:tc>
          <w:tcPr>
            <w:tcW w:w="1696" w:type="dxa"/>
            <w:tcBorders>
              <w:bottom w:val="single" w:sz="8" w:space="0" w:color="000000"/>
            </w:tcBorders>
            <w:shd w:fill="CCEEFF" w:val="cle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bottom w:val="single" w:sz="8" w:space="0" w:color="000000"/>
            </w:tcBorders>
            <w:shd w:fill="CCEEFF" w:val="clear"/>
            <w:vAlign w:val="center"/>
          </w:tcPr>
          <w:p>
            <w:pPr>
              <w:pStyle w:val="TableContents"/>
              <w:bidi w:val="0"/>
              <w:spacing w:before="0" w:after="0"/>
              <w:jc w:val="right"/>
              <w:rPr/>
            </w:pPr>
            <w:r>
              <w:rPr/>
              <w:t> </w:t>
            </w:r>
          </w:p>
        </w:tc>
        <w:tc>
          <w:tcPr>
            <w:tcW w:w="1716" w:type="dxa"/>
            <w:tcBorders>
              <w:bottom w:val="single" w:sz="8" w:space="0" w:color="000000"/>
            </w:tcBorders>
            <w:shd w:fill="CCEEFF" w:val="cle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1686" w:type="dxa"/>
            <w:tcBorders>
              <w:bottom w:val="single" w:sz="8" w:space="0" w:color="000000"/>
            </w:tcBorders>
            <w:shd w:fill="CCEEFF" w:val="cle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bottom w:val="single" w:sz="8" w:space="0" w:color="000000"/>
            </w:tcBorders>
            <w:shd w:fill="CCEEFF" w:val="clear"/>
            <w:vAlign w:val="center"/>
          </w:tcPr>
          <w:p>
            <w:pPr>
              <w:pStyle w:val="TableContents"/>
              <w:bidi w:val="0"/>
              <w:spacing w:before="0" w:after="0"/>
              <w:jc w:val="right"/>
              <w:rPr/>
            </w:pPr>
            <w:r>
              <w:rPr/>
              <w:t> </w:t>
            </w:r>
          </w:p>
        </w:tc>
        <w:tc>
          <w:tcPr>
            <w:tcW w:w="774" w:type="dxa"/>
            <w:tcBorders>
              <w:bottom w:val="single" w:sz="8" w:space="0" w:color="000000"/>
            </w:tcBorders>
            <w:shd w:fill="CCEEFF" w:val="clear"/>
            <w:vAlign w:val="center"/>
          </w:tcPr>
          <w:p>
            <w:pPr>
              <w:pStyle w:val="TableContents"/>
              <w:bidi w:val="0"/>
              <w:spacing w:before="0" w:after="0"/>
              <w:jc w:val="right"/>
              <w:rPr/>
            </w:pPr>
            <w:r>
              <w:rPr/>
              <w:t> </w:t>
            </w:r>
          </w:p>
        </w:tc>
      </w:tr>
      <w:tr>
        <w:trPr/>
        <w:tc>
          <w:tcPr>
            <w:tcW w:w="2129" w:type="dxa"/>
            <w:tcBorders>
              <w:top w:val="single" w:sz="8" w:space="0" w:color="000000"/>
            </w:tcBorders>
            <w:shd w:fill="FFFF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Derivatives subject to a master netting arrangement or similar agreement</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79" w:type="dxa"/>
            <w:tcBorders>
              <w:top w:val="single" w:sz="8" w:space="0" w:color="000000"/>
            </w:tcBorders>
            <w:shd w:fill="FFFF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53.1</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696" w:type="dxa"/>
            <w:tcBorders>
              <w:top w:val="single" w:sz="8" w:space="0" w:color="000000"/>
            </w:tcBorders>
            <w:shd w:fill="FFFFFF" w:val="clear"/>
            <w:tcMar>
              <w:top w:w="28" w:type="dxa"/>
              <w:bottom w:w="0" w:type="dxa"/>
            </w:tcMar>
            <w:vAlign w:val="center"/>
          </w:tcPr>
          <w:p>
            <w:pPr>
              <w:pStyle w:val="TableContents"/>
              <w:bidi w:val="0"/>
              <w:spacing w:before="0" w:after="0"/>
              <w:jc w:val="right"/>
              <w:rPr/>
            </w:pPr>
            <w:r>
              <w:rPr/>
              <w:t>—</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716" w:type="dxa"/>
            <w:tcBorders>
              <w:top w:val="single" w:sz="8" w:space="0" w:color="000000"/>
            </w:tcBorders>
            <w:shd w:fill="FFFF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53.1</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86" w:type="dxa"/>
            <w:tcBorders>
              <w:top w:val="single" w:sz="8" w:space="0" w:color="000000"/>
            </w:tcBorders>
            <w:shd w:fill="FFFFFF" w:val="clear"/>
            <w:tcMar>
              <w:top w:w="28" w:type="dxa"/>
              <w:bottom w:w="0" w:type="dxa"/>
            </w:tcMar>
            <w:vAlign w:val="center"/>
          </w:tcPr>
          <w:p>
            <w:pPr>
              <w:pStyle w:val="TableContents"/>
              <w:bidi w:val="0"/>
              <w:spacing w:before="0" w:after="0"/>
              <w:jc w:val="right"/>
              <w:rPr>
                <w:sz w:val="20"/>
              </w:rPr>
            </w:pPr>
            <w:r>
              <w:rPr>
                <w:rFonts w:ascii="Times New Roman" w:hAnsi="Times New Roman"/>
                <w:sz w:val="20"/>
              </w:rPr>
              <w:t>(</w:t>
            </w:r>
            <w:r>
              <w:rPr>
                <w:sz w:val="20"/>
              </w:rPr>
              <w:t>22.3</w:t>
            </w: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74" w:type="dxa"/>
            <w:tcBorders>
              <w:top w:val="single" w:sz="8" w:space="0" w:color="000000"/>
            </w:tcBorders>
            <w:shd w:fill="FFFF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30.8</w:t>
            </w:r>
          </w:p>
        </w:tc>
      </w:tr>
    </w:tbl>
    <w:p>
      <w:pPr>
        <w:pStyle w:val="TextBody"/>
        <w:bidi w:val="0"/>
        <w:spacing w:lineRule="atLeast" w:line="240" w:before="0" w:after="0"/>
        <w:jc w:val="left"/>
        <w:rPr/>
      </w:pPr>
      <w:r>
        <w:rPr/>
        <w:t> </w:t>
      </w:r>
    </w:p>
    <w:p>
      <w:pPr>
        <w:pStyle w:val="TextBody"/>
        <w:bidi w:val="0"/>
        <w:spacing w:lineRule="atLeast" w:line="240" w:before="0" w:after="200"/>
        <w:jc w:val="left"/>
        <w:rPr>
          <w:rFonts w:ascii="Times New Roman" w:hAnsi="Times New Roman"/>
          <w:i/>
          <w:sz w:val="20"/>
        </w:rPr>
      </w:pPr>
      <w:r>
        <w:rPr>
          <w:rFonts w:ascii="Times New Roman" w:hAnsi="Times New Roman"/>
          <w:i/>
          <w:sz w:val="20"/>
        </w:rPr>
        <w:t>Offsetting of Derivative Liabilities</w:t>
      </w:r>
    </w:p>
    <w:tbl>
      <w:tblPr>
        <w:tblW w:w="10205" w:type="dxa"/>
        <w:jc w:val="left"/>
        <w:tblInd w:w="0" w:type="dxa"/>
        <w:tblLayout w:type="fixed"/>
        <w:tblCellMar>
          <w:top w:w="0" w:type="dxa"/>
          <w:left w:w="0" w:type="dxa"/>
          <w:bottom w:w="28" w:type="dxa"/>
          <w:right w:w="0" w:type="dxa"/>
        </w:tblCellMar>
      </w:tblPr>
      <w:tblGrid>
        <w:gridCol w:w="2138"/>
        <w:gridCol w:w="60"/>
        <w:gridCol w:w="125"/>
        <w:gridCol w:w="1321"/>
        <w:gridCol w:w="60"/>
        <w:gridCol w:w="125"/>
        <w:gridCol w:w="1679"/>
        <w:gridCol w:w="60"/>
        <w:gridCol w:w="125"/>
        <w:gridCol w:w="1699"/>
        <w:gridCol w:w="60"/>
        <w:gridCol w:w="125"/>
        <w:gridCol w:w="1692"/>
        <w:gridCol w:w="60"/>
        <w:gridCol w:w="125"/>
        <w:gridCol w:w="751"/>
      </w:tblGrid>
      <w:tr>
        <w:trPr/>
        <w:tc>
          <w:tcPr>
            <w:tcW w:w="2138" w:type="dxa"/>
            <w:tcBorders>
              <w:bottom w:val="single" w:sz="8" w:space="0" w:color="000000"/>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As of June 30, 2025</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321"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Gross Amounts of Recognized Liabilities</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79"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Gross Amounts Offset in the Consolidated Balance Sheet</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99"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Net Amounts Presented in the Consolidated Balance Sheet</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92" w:type="dxa"/>
            <w:tcBorders>
              <w:bottom w:val="single" w:sz="8" w:space="0" w:color="000000"/>
            </w:tcBorders>
            <w:vAlign w:val="center"/>
          </w:tcPr>
          <w:p>
            <w:pPr>
              <w:pStyle w:val="TableContents"/>
              <w:bidi w:val="0"/>
              <w:spacing w:before="0" w:after="0"/>
              <w:jc w:val="center"/>
              <w:rPr/>
            </w:pPr>
            <w:r>
              <w:rPr/>
              <w:t> </w:t>
            </w:r>
            <w:r>
              <w:rPr>
                <w:rFonts w:ascii="Times New Roman" w:hAnsi="Times New Roman"/>
                <w:b/>
                <w:sz w:val="16"/>
              </w:rPr>
              <w:t xml:space="preserve">Derivatives not offset in the Consolidated Balance Sheet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751"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Net Amounts</w:t>
            </w:r>
          </w:p>
        </w:tc>
      </w:tr>
      <w:tr>
        <w:trPr/>
        <w:tc>
          <w:tcPr>
            <w:tcW w:w="2138"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Derivatives subject to a master netting arrangement or similar agreement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21" w:type="dxa"/>
            <w:tcBorders>
              <w:top w:val="single" w:sz="8" w:space="0" w:color="000000"/>
            </w:tcBorders>
            <w:shd w:fill="CCEEFF" w:val="clear"/>
            <w:tcMar>
              <w:top w:w="28" w:type="dxa"/>
              <w:bottom w:w="0" w:type="dxa"/>
            </w:tcMar>
            <w:vAlign w:val="center"/>
          </w:tcPr>
          <w:p>
            <w:pPr>
              <w:pStyle w:val="TableContents"/>
              <w:bidi w:val="0"/>
              <w:spacing w:before="0" w:after="0"/>
              <w:jc w:val="right"/>
              <w:rPr>
                <w:sz w:val="20"/>
              </w:rPr>
            </w:pPr>
            <w:r>
              <w:rPr>
                <w:rFonts w:ascii="Times New Roman" w:hAnsi="Times New Roman"/>
                <w:sz w:val="20"/>
              </w:rPr>
              <w:t>(</w:t>
            </w:r>
            <w:r>
              <w:rPr>
                <w:sz w:val="20"/>
              </w:rPr>
              <w:t>50.8</w:t>
            </w: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79" w:type="dxa"/>
            <w:tcBorders>
              <w:top w:val="single" w:sz="8" w:space="0" w:color="000000"/>
            </w:tcBorders>
            <w:shd w:fill="CCEEFF" w:val="clear"/>
            <w:tcMar>
              <w:top w:w="28" w:type="dxa"/>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99" w:type="dxa"/>
            <w:tcBorders>
              <w:top w:val="single" w:sz="8" w:space="0" w:color="000000"/>
            </w:tcBorders>
            <w:shd w:fill="CCEEFF" w:val="clear"/>
            <w:tcMar>
              <w:top w:w="28" w:type="dxa"/>
              <w:bottom w:w="0" w:type="dxa"/>
            </w:tcMar>
            <w:vAlign w:val="center"/>
          </w:tcPr>
          <w:p>
            <w:pPr>
              <w:pStyle w:val="TableContents"/>
              <w:bidi w:val="0"/>
              <w:spacing w:before="0" w:after="0"/>
              <w:jc w:val="right"/>
              <w:rPr>
                <w:sz w:val="20"/>
              </w:rPr>
            </w:pPr>
            <w:r>
              <w:rPr>
                <w:rFonts w:ascii="Times New Roman" w:hAnsi="Times New Roman"/>
                <w:sz w:val="20"/>
              </w:rPr>
              <w:t>(</w:t>
            </w:r>
            <w:r>
              <w:rPr>
                <w:sz w:val="20"/>
              </w:rPr>
              <w:t>50.8</w:t>
            </w: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92"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30.7</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1" w:type="dxa"/>
            <w:tcBorders>
              <w:top w:val="single" w:sz="8" w:space="0" w:color="000000"/>
            </w:tcBorders>
            <w:shd w:fill="CCEEFF" w:val="clear"/>
            <w:tcMar>
              <w:top w:w="28" w:type="dxa"/>
              <w:bottom w:w="0" w:type="dxa"/>
            </w:tcMar>
            <w:vAlign w:val="center"/>
          </w:tcPr>
          <w:p>
            <w:pPr>
              <w:pStyle w:val="TableContents"/>
              <w:bidi w:val="0"/>
              <w:spacing w:before="0" w:after="0"/>
              <w:jc w:val="right"/>
              <w:rPr>
                <w:sz w:val="20"/>
              </w:rPr>
            </w:pPr>
            <w:r>
              <w:rPr>
                <w:rFonts w:ascii="Times New Roman" w:hAnsi="Times New Roman"/>
                <w:sz w:val="20"/>
              </w:rPr>
              <w:t>(</w:t>
            </w:r>
            <w:r>
              <w:rPr>
                <w:sz w:val="20"/>
              </w:rPr>
              <w:t>20.0</w:t>
            </w:r>
            <w:r>
              <w:rPr>
                <w:rFonts w:ascii="Times New Roman" w:hAnsi="Times New Roman"/>
                <w:sz w:val="20"/>
              </w:rPr>
              <w:t>)</w:t>
            </w:r>
          </w:p>
        </w:tc>
      </w:tr>
      <w:tr>
        <w:trPr/>
        <w:tc>
          <w:tcPr>
            <w:tcW w:w="2138"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1321" w:type="dxa"/>
            <w:tcBorders/>
            <w:tcMar>
              <w:bottom w:w="0" w:type="dxa"/>
            </w:tcMar>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1679" w:type="dxa"/>
            <w:tcBorders/>
            <w:tcMar>
              <w:bottom w:w="0" w:type="dxa"/>
            </w:tcMar>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1699" w:type="dxa"/>
            <w:tcBorders/>
            <w:tcMar>
              <w:bottom w:w="0" w:type="dxa"/>
            </w:tcMar>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1692" w:type="dxa"/>
            <w:tcBorders/>
            <w:tcMar>
              <w:bottom w:w="0" w:type="dxa"/>
            </w:tcMar>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751" w:type="dxa"/>
            <w:tcBorders/>
            <w:tcMar>
              <w:bottom w:w="0" w:type="dxa"/>
            </w:tcMar>
            <w:vAlign w:val="center"/>
          </w:tcPr>
          <w:p>
            <w:pPr>
              <w:pStyle w:val="TableContents"/>
              <w:bidi w:val="0"/>
              <w:spacing w:before="0" w:after="0"/>
              <w:jc w:val="right"/>
              <w:rPr/>
            </w:pPr>
            <w:r>
              <w:rPr/>
              <w:t> </w:t>
            </w:r>
          </w:p>
        </w:tc>
      </w:tr>
      <w:tr>
        <w:trPr/>
        <w:tc>
          <w:tcPr>
            <w:tcW w:w="2138" w:type="dxa"/>
            <w:tcBorders>
              <w:bottom w:val="single" w:sz="8" w:space="0" w:color="000000"/>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As of December 31, 2024</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321" w:type="dxa"/>
            <w:tcBorders>
              <w:bottom w:val="single" w:sz="8" w:space="0" w:color="000000"/>
            </w:tcBorders>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79" w:type="dxa"/>
            <w:tcBorders>
              <w:bottom w:val="single" w:sz="8" w:space="0" w:color="000000"/>
            </w:tcBorders>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99" w:type="dxa"/>
            <w:tcBorders>
              <w:bottom w:val="single" w:sz="8" w:space="0" w:color="000000"/>
            </w:tcBorders>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92" w:type="dxa"/>
            <w:tcBorders>
              <w:bottom w:val="single" w:sz="8" w:space="0" w:color="000000"/>
            </w:tcBorders>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751" w:type="dxa"/>
            <w:tcBorders>
              <w:bottom w:val="single" w:sz="8" w:space="0" w:color="000000"/>
            </w:tcBorders>
            <w:vAlign w:val="center"/>
          </w:tcPr>
          <w:p>
            <w:pPr>
              <w:pStyle w:val="TableContents"/>
              <w:bidi w:val="0"/>
              <w:spacing w:before="0" w:after="0"/>
              <w:jc w:val="right"/>
              <w:rPr/>
            </w:pPr>
            <w:r>
              <w:rPr/>
              <w:t> </w:t>
            </w:r>
          </w:p>
        </w:tc>
      </w:tr>
      <w:tr>
        <w:trPr/>
        <w:tc>
          <w:tcPr>
            <w:tcW w:w="2138"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Derivatives subject to a master netting arrangement or similar agreement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21" w:type="dxa"/>
            <w:tcBorders>
              <w:top w:val="single" w:sz="8" w:space="0" w:color="000000"/>
            </w:tcBorders>
            <w:shd w:fill="CCEEFF" w:val="clear"/>
            <w:tcMar>
              <w:top w:w="28" w:type="dxa"/>
              <w:bottom w:w="0" w:type="dxa"/>
            </w:tcMar>
            <w:vAlign w:val="center"/>
          </w:tcPr>
          <w:p>
            <w:pPr>
              <w:pStyle w:val="TableContents"/>
              <w:bidi w:val="0"/>
              <w:spacing w:before="0" w:after="0"/>
              <w:jc w:val="right"/>
              <w:rPr>
                <w:sz w:val="20"/>
              </w:rPr>
            </w:pPr>
            <w:r>
              <w:rPr>
                <w:rFonts w:ascii="Times New Roman" w:hAnsi="Times New Roman"/>
                <w:sz w:val="20"/>
              </w:rPr>
              <w:t>(</w:t>
            </w:r>
            <w:r>
              <w:rPr>
                <w:sz w:val="20"/>
              </w:rPr>
              <w:t>53.7</w:t>
            </w: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79" w:type="dxa"/>
            <w:tcBorders>
              <w:top w:val="single" w:sz="8" w:space="0" w:color="000000"/>
            </w:tcBorders>
            <w:shd w:fill="CCEEFF" w:val="clear"/>
            <w:tcMar>
              <w:top w:w="28" w:type="dxa"/>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99" w:type="dxa"/>
            <w:tcBorders>
              <w:top w:val="single" w:sz="8" w:space="0" w:color="000000"/>
            </w:tcBorders>
            <w:shd w:fill="CCEEFF" w:val="clear"/>
            <w:tcMar>
              <w:top w:w="28" w:type="dxa"/>
              <w:bottom w:w="0" w:type="dxa"/>
            </w:tcMar>
            <w:vAlign w:val="center"/>
          </w:tcPr>
          <w:p>
            <w:pPr>
              <w:pStyle w:val="TableContents"/>
              <w:bidi w:val="0"/>
              <w:spacing w:before="0" w:after="0"/>
              <w:jc w:val="right"/>
              <w:rPr>
                <w:sz w:val="20"/>
              </w:rPr>
            </w:pPr>
            <w:r>
              <w:rPr>
                <w:rFonts w:ascii="Times New Roman" w:hAnsi="Times New Roman"/>
                <w:sz w:val="20"/>
              </w:rPr>
              <w:t>(</w:t>
            </w:r>
            <w:r>
              <w:rPr>
                <w:sz w:val="20"/>
              </w:rPr>
              <w:t>53.7</w:t>
            </w: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92"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31.7</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1" w:type="dxa"/>
            <w:tcBorders>
              <w:top w:val="single" w:sz="8" w:space="0" w:color="000000"/>
            </w:tcBorders>
            <w:shd w:fill="CCEEFF" w:val="clear"/>
            <w:tcMar>
              <w:top w:w="28" w:type="dxa"/>
              <w:bottom w:w="0" w:type="dxa"/>
            </w:tcMar>
            <w:vAlign w:val="center"/>
          </w:tcPr>
          <w:p>
            <w:pPr>
              <w:pStyle w:val="TableContents"/>
              <w:bidi w:val="0"/>
              <w:spacing w:before="0" w:after="0"/>
              <w:jc w:val="right"/>
              <w:rPr>
                <w:sz w:val="20"/>
              </w:rPr>
            </w:pPr>
            <w:r>
              <w:rPr>
                <w:rFonts w:ascii="Times New Roman" w:hAnsi="Times New Roman"/>
                <w:sz w:val="20"/>
              </w:rPr>
              <w:t>(</w:t>
            </w:r>
            <w:r>
              <w:rPr>
                <w:sz w:val="20"/>
              </w:rPr>
              <w:t>22.0</w:t>
            </w:r>
            <w:r>
              <w:rPr>
                <w:rFonts w:ascii="Times New Roman" w:hAnsi="Times New Roman"/>
                <w:sz w:val="20"/>
              </w:rPr>
              <w:t>)</w:t>
            </w:r>
          </w:p>
        </w:tc>
      </w:tr>
    </w:tbl>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See Note 12, Fair Value Measurements, for the determination of the fair values of derivatives.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Income Statement Presentation</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following table summarizes the location and amount of gains (losses) on derivatives in the Consolidated Statements of Income for the</w:t>
      </w:r>
      <w:r>
        <w:rPr>
          <w:rFonts w:ascii="Times New Roman" w:hAnsi="Times New Roman"/>
          <w:sz w:val="24"/>
        </w:rPr>
        <w:t> </w:t>
      </w:r>
      <w:r>
        <w:rPr>
          <w:rFonts w:ascii="Times New Roman" w:hAnsi="Times New Roman"/>
          <w:sz w:val="20"/>
        </w:rPr>
        <w:t>three and six months ended June 30, 2025</w:t>
      </w:r>
      <w:r>
        <w:rPr>
          <w:rFonts w:ascii="Times New Roman" w:hAnsi="Times New Roman"/>
          <w:sz w:val="24"/>
        </w:rPr>
        <w:t> </w:t>
      </w:r>
      <w:r>
        <w:rPr>
          <w:rFonts w:ascii="Times New Roman" w:hAnsi="Times New Roman"/>
          <w:sz w:val="20"/>
        </w:rPr>
        <w:t>and</w:t>
      </w:r>
      <w:r>
        <w:rPr>
          <w:rFonts w:ascii="Times New Roman" w:hAnsi="Times New Roman"/>
          <w:sz w:val="24"/>
        </w:rPr>
        <w:t> </w:t>
      </w:r>
      <w:r>
        <w:rPr>
          <w:rFonts w:ascii="Times New Roman" w:hAnsi="Times New Roman"/>
          <w:sz w:val="20"/>
        </w:rPr>
        <w:t>2024:</w:t>
      </w:r>
    </w:p>
    <w:p>
      <w:pPr>
        <w:pStyle w:val="TextBody"/>
        <w:bidi w:val="0"/>
        <w:spacing w:lineRule="atLeast" w:line="24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2948"/>
        <w:gridCol w:w="60"/>
        <w:gridCol w:w="60"/>
        <w:gridCol w:w="3355"/>
        <w:gridCol w:w="60"/>
        <w:gridCol w:w="125"/>
        <w:gridCol w:w="699"/>
        <w:gridCol w:w="106"/>
        <w:gridCol w:w="222"/>
        <w:gridCol w:w="699"/>
        <w:gridCol w:w="76"/>
        <w:gridCol w:w="160"/>
        <w:gridCol w:w="638"/>
        <w:gridCol w:w="100"/>
        <w:gridCol w:w="209"/>
        <w:gridCol w:w="688"/>
      </w:tblGrid>
      <w:tr>
        <w:trPr/>
        <w:tc>
          <w:tcPr>
            <w:tcW w:w="294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3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3597" w:type="dxa"/>
            <w:gridSpan w:val="10"/>
            <w:tcBorders>
              <w:bottom w:val="single" w:sz="8" w:space="0" w:color="000000"/>
            </w:tcBorders>
            <w:tcMar>
              <w:bottom w:w="28" w:type="dxa"/>
            </w:tcMar>
            <w:vAlign w:val="center"/>
          </w:tcPr>
          <w:p>
            <w:pPr>
              <w:pStyle w:val="TableContents"/>
              <w:bidi w:val="0"/>
              <w:spacing w:before="0" w:after="0"/>
              <w:jc w:val="center"/>
              <w:rPr/>
            </w:pPr>
            <w:r>
              <w:rPr/>
              <w:t> </w:t>
            </w:r>
            <w:r>
              <w:rPr>
                <w:rFonts w:ascii="Times New Roman" w:hAnsi="Times New Roman"/>
                <w:b/>
                <w:sz w:val="16"/>
              </w:rPr>
              <w:t xml:space="preserve">Amount of Gain Recognized in Income on </w:t>
            </w:r>
          </w:p>
          <w:p>
            <w:pPr>
              <w:pStyle w:val="TableContents"/>
              <w:bidi w:val="0"/>
              <w:spacing w:before="0" w:after="0"/>
              <w:jc w:val="center"/>
              <w:rPr>
                <w:rFonts w:ascii="Times New Roman" w:hAnsi="Times New Roman"/>
                <w:b/>
                <w:sz w:val="16"/>
              </w:rPr>
            </w:pPr>
            <w:r>
              <w:rPr>
                <w:rFonts w:ascii="Times New Roman" w:hAnsi="Times New Roman"/>
                <w:b/>
                <w:sz w:val="16"/>
              </w:rPr>
              <w:t xml:space="preserve">Derivative Contracts (a) </w:t>
            </w:r>
          </w:p>
        </w:tc>
      </w:tr>
      <w:tr>
        <w:trPr/>
        <w:tc>
          <w:tcPr>
            <w:tcW w:w="294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3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726" w:type="dxa"/>
            <w:gridSpan w:val="4"/>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r>
              <w:rPr>
                <w:rFonts w:ascii="Times New Roman" w:hAnsi="Times New Roman"/>
                <w:b/>
                <w:sz w:val="16"/>
              </w:rPr>
              <w:t xml:space="preserve">Three Months Ended June 30, </w:t>
            </w:r>
          </w:p>
        </w:tc>
        <w:tc>
          <w:tcPr>
            <w:tcW w:w="76" w:type="dxa"/>
            <w:tcBorders>
              <w:top w:val="single" w:sz="8" w:space="0" w:color="000000"/>
            </w:tcBorders>
            <w:tcMar>
              <w:top w:w="28" w:type="dxa"/>
            </w:tcMar>
            <w:vAlign w:val="center"/>
          </w:tcPr>
          <w:p>
            <w:pPr>
              <w:pStyle w:val="TableContents"/>
              <w:bidi w:val="0"/>
              <w:spacing w:before="0" w:after="0"/>
              <w:jc w:val="left"/>
              <w:rPr/>
            </w:pPr>
            <w:r>
              <w:rPr/>
              <w:t> </w:t>
            </w:r>
          </w:p>
        </w:tc>
        <w:tc>
          <w:tcPr>
            <w:tcW w:w="1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635" w:type="dxa"/>
            <w:gridSpan w:val="4"/>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r>
              <w:rPr>
                <w:rFonts w:ascii="Times New Roman" w:hAnsi="Times New Roman"/>
                <w:b/>
                <w:sz w:val="16"/>
              </w:rPr>
              <w:t xml:space="preserve">Six Months Ended June 30, </w:t>
            </w:r>
          </w:p>
        </w:tc>
      </w:tr>
      <w:tr>
        <w:trPr/>
        <w:tc>
          <w:tcPr>
            <w:tcW w:w="2948"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60" w:type="dxa"/>
            <w:tcBorders>
              <w:bottom w:val="single" w:sz="8" w:space="0" w:color="000000"/>
            </w:tcBorders>
            <w:tcMar>
              <w:bottom w:w="28" w:type="dxa"/>
            </w:tcMar>
            <w:vAlign w:val="center"/>
          </w:tcPr>
          <w:p>
            <w:pPr>
              <w:pStyle w:val="TableContents"/>
              <w:bidi w:val="0"/>
              <w:spacing w:before="0" w:after="0"/>
              <w:jc w:val="left"/>
              <w:rPr/>
            </w:pPr>
            <w:r>
              <w:rPr/>
              <w:t> </w:t>
            </w:r>
          </w:p>
        </w:tc>
        <w:tc>
          <w:tcPr>
            <w:tcW w:w="33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Location of Gain (Loss) Recognized in Income on Derivative Contracts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9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106" w:type="dxa"/>
            <w:tcBorders>
              <w:top w:val="single" w:sz="8" w:space="0" w:color="000000"/>
            </w:tcBorders>
            <w:tcMar>
              <w:top w:w="28" w:type="dxa"/>
            </w:tcMar>
            <w:vAlign w:val="center"/>
          </w:tcPr>
          <w:p>
            <w:pPr>
              <w:pStyle w:val="TableContents"/>
              <w:bidi w:val="0"/>
              <w:spacing w:before="0" w:after="0"/>
              <w:jc w:val="left"/>
              <w:rPr/>
            </w:pPr>
            <w:r>
              <w:rPr/>
              <w:t> </w:t>
            </w:r>
          </w:p>
        </w:tc>
        <w:tc>
          <w:tcPr>
            <w:tcW w:w="22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9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76" w:type="dxa"/>
            <w:tcBorders/>
            <w:vAlign w:val="center"/>
          </w:tcPr>
          <w:p>
            <w:pPr>
              <w:pStyle w:val="TableContents"/>
              <w:bidi w:val="0"/>
              <w:spacing w:before="0" w:after="0"/>
              <w:jc w:val="left"/>
              <w:rPr/>
            </w:pPr>
            <w:r>
              <w:rPr/>
              <w:t> </w:t>
            </w:r>
          </w:p>
        </w:tc>
        <w:tc>
          <w:tcPr>
            <w:tcW w:w="1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3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100" w:type="dxa"/>
            <w:tcBorders>
              <w:top w:val="single" w:sz="8" w:space="0" w:color="000000"/>
            </w:tcBorders>
            <w:tcMar>
              <w:top w:w="28" w:type="dxa"/>
            </w:tcMar>
            <w:vAlign w:val="center"/>
          </w:tcPr>
          <w:p>
            <w:pPr>
              <w:pStyle w:val="TableContents"/>
              <w:bidi w:val="0"/>
              <w:spacing w:before="0" w:after="0"/>
              <w:jc w:val="left"/>
              <w:rPr/>
            </w:pPr>
            <w:r>
              <w:rPr/>
              <w:t> </w:t>
            </w:r>
          </w:p>
        </w:tc>
        <w:tc>
          <w:tcPr>
            <w:tcW w:w="20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8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r>
      <w:tr>
        <w:trPr/>
        <w:tc>
          <w:tcPr>
            <w:tcW w:w="2948"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contracts - Ria Operations</w:t>
            </w:r>
          </w:p>
        </w:tc>
        <w:tc>
          <w:tcPr>
            <w:tcW w:w="60" w:type="dxa"/>
            <w:tcBorders/>
            <w:shd w:fill="CCEEFF" w:val="cle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3355" w:type="dxa"/>
            <w:tcBorders>
              <w:top w:val="single" w:sz="8" w:space="0" w:color="000000"/>
            </w:tcBorders>
            <w:shd w:fill="CCEE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Foreign currency exchange gain(loss), net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9"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0.2</w:t>
            </w:r>
            <w:r>
              <w:rPr>
                <w:rFonts w:ascii="Times New Roman" w:hAnsi="Times New Roman"/>
                <w:sz w:val="20"/>
              </w:rPr>
              <w:t>)</w:t>
            </w:r>
          </w:p>
        </w:tc>
        <w:tc>
          <w:tcPr>
            <w:tcW w:w="106" w:type="dxa"/>
            <w:tcBorders/>
            <w:shd w:fill="CCEEFF" w:val="clear"/>
            <w:vAlign w:val="center"/>
          </w:tcPr>
          <w:p>
            <w:pPr>
              <w:pStyle w:val="TableContents"/>
              <w:bidi w:val="0"/>
              <w:spacing w:before="0" w:after="0"/>
              <w:jc w:val="left"/>
              <w:rPr/>
            </w:pPr>
            <w:r>
              <w:rPr/>
              <w:t> </w:t>
            </w:r>
          </w:p>
        </w:tc>
        <w:tc>
          <w:tcPr>
            <w:tcW w:w="222"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9"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1.0</w:t>
            </w:r>
            <w:r>
              <w:rPr>
                <w:rFonts w:ascii="Times New Roman" w:hAnsi="Times New Roman"/>
                <w:sz w:val="20"/>
              </w:rPr>
              <w:t>)</w:t>
            </w:r>
          </w:p>
        </w:tc>
        <w:tc>
          <w:tcPr>
            <w:tcW w:w="76" w:type="dxa"/>
            <w:tcBorders/>
            <w:shd w:fill="CCEEFF" w:val="clear"/>
            <w:vAlign w:val="center"/>
          </w:tcPr>
          <w:p>
            <w:pPr>
              <w:pStyle w:val="TableContents"/>
              <w:bidi w:val="0"/>
              <w:spacing w:before="0" w:after="0"/>
              <w:jc w:val="left"/>
              <w:rPr/>
            </w:pPr>
            <w:r>
              <w:rPr/>
              <w:t> </w:t>
            </w:r>
          </w:p>
        </w:tc>
        <w:tc>
          <w:tcPr>
            <w:tcW w:w="16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100" w:type="dxa"/>
            <w:tcBorders/>
            <w:shd w:fill="CCEEFF" w:val="clear"/>
            <w:vAlign w:val="center"/>
          </w:tcPr>
          <w:p>
            <w:pPr>
              <w:pStyle w:val="TableContents"/>
              <w:bidi w:val="0"/>
              <w:spacing w:before="0" w:after="0"/>
              <w:jc w:val="left"/>
              <w:rPr/>
            </w:pPr>
            <w:r>
              <w:rPr/>
              <w:t> </w:t>
            </w:r>
          </w:p>
        </w:tc>
        <w:tc>
          <w:tcPr>
            <w:tcW w:w="209"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8"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2.7</w:t>
            </w:r>
            <w:r>
              <w:rPr>
                <w:rFonts w:ascii="Times New Roman" w:hAnsi="Times New Roman"/>
                <w:sz w:val="20"/>
              </w:rPr>
              <w:t>)</w:t>
            </w:r>
          </w:p>
        </w:tc>
      </w:tr>
    </w:tbl>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(a) 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See Note 12, Fair Value Measurements, for the determination of the fair values of derivatives.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sz w:val="24"/>
        </w:rPr>
      </w:pPr>
      <w:r>
        <w:rPr>
          <w:rFonts w:ascii="Times New Roman" w:hAnsi="Times New Roman"/>
          <w:b/>
          <w:sz w:val="20"/>
        </w:rPr>
        <w:t>(12)</w:t>
      </w:r>
      <w:r>
        <w:rPr>
          <w:rFonts w:ascii="Times New Roman" w:hAnsi="Times New Roman"/>
          <w:sz w:val="24"/>
        </w:rPr>
        <w:t> </w:t>
      </w:r>
      <w:r>
        <w:rPr>
          <w:rFonts w:ascii="Times New Roman" w:hAnsi="Times New Roman"/>
          <w:b/>
          <w:sz w:val="20"/>
        </w:rPr>
        <w:t>FAIR VALUE MEASUREMENTS</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r>
        <w:rPr>
          <w:rFonts w:ascii="Times New Roman" w:hAnsi="Times New Roman"/>
          <w:sz w:val="24"/>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both"/>
              <w:rPr/>
            </w:pPr>
            <w:r>
              <w:rPr/>
              <w:t> </w:t>
            </w:r>
          </w:p>
        </w:tc>
      </w:tr>
      <w:tr>
        <w:trPr/>
        <w:tc>
          <w:tcPr>
            <w:tcW w:w="10205" w:type="dxa"/>
            <w:tcBorders/>
            <w:vAlign w:val="center"/>
          </w:tcPr>
          <w:p>
            <w:pPr>
              <w:pStyle w:val="TableContents"/>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Level 1 – Unadjusted quoted prices in active markets for identical assets or liabilities.</w:t>
            </w:r>
            <w:r>
              <w:rPr/>
              <w:t> </w:t>
            </w:r>
          </w:p>
          <w:p>
            <w:pPr>
              <w:pStyle w:val="TableContents"/>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Level</w:t>
            </w:r>
            <w:r>
              <w:rPr/>
              <w:t> </w:t>
            </w:r>
            <w:r>
              <w:rPr>
                <w:rFonts w:ascii="Times New Roman" w:hAnsi="Times New Roman"/>
                <w:sz w:val="20"/>
              </w:rPr>
              <w:t>2</w:t>
            </w:r>
            <w:r>
              <w:rPr/>
              <w:t xml:space="preserve"> – </w:t>
            </w:r>
            <w:r>
              <w:rPr>
                <w:rFonts w:ascii="Times New Roman" w:hAnsi="Times New Roman"/>
                <w:sz w:val="20"/>
              </w:rPr>
              <w:t>Valuations based on quoted prices for similar assets or liabilities, quoted prices in markets that are not active, or other inputs that are observable or can be corroborated by observable data for substantially the full term of the assets or liabilities.</w:t>
            </w:r>
          </w:p>
          <w:p>
            <w:pPr>
              <w:pStyle w:val="TableContents"/>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Level</w:t>
            </w:r>
            <w:r>
              <w:rPr/>
              <w:t> </w:t>
            </w:r>
            <w:r>
              <w:rPr>
                <w:rFonts w:ascii="Times New Roman" w:hAnsi="Times New Roman"/>
                <w:sz w:val="20"/>
              </w:rPr>
              <w:t>3</w:t>
            </w:r>
            <w:r>
              <w:rPr/>
              <w:t xml:space="preserve"> – </w:t>
            </w:r>
            <w:r>
              <w:rPr>
                <w:rFonts w:ascii="Times New Roman" w:hAnsi="Times New Roman"/>
                <w:sz w:val="20"/>
              </w:rPr>
              <w:t>Unobservable inputs in which little or no market activity exists, therefore requiring an entity to develop its own assumptions about the inputs that market participants would use in pricing.</w:t>
            </w:r>
          </w:p>
        </w:tc>
      </w:tr>
    </w:tbl>
    <w:p>
      <w:pPr>
        <w:pStyle w:val="TextBody"/>
        <w:bidi w:val="0"/>
        <w:spacing w:lineRule="atLeast" w:line="240" w:before="0" w:after="0"/>
        <w:jc w:val="left"/>
        <w:rPr/>
      </w:pPr>
      <w:r>
        <w:rPr/>
        <w:t> </w:t>
      </w:r>
    </w:p>
    <w:p>
      <w:pPr>
        <w:pStyle w:val="TextBody"/>
        <w:bidi w:val="0"/>
        <w:spacing w:lineRule="atLeast" w:line="240" w:before="0" w:after="200"/>
        <w:jc w:val="left"/>
        <w:rPr>
          <w:rFonts w:ascii="Times New Roman" w:hAnsi="Times New Roman"/>
          <w:sz w:val="20"/>
        </w:rPr>
      </w:pPr>
      <w:r>
        <w:rPr>
          <w:rFonts w:ascii="Times New Roman" w:hAnsi="Times New Roman"/>
          <w:sz w:val="20"/>
        </w:rPr>
        <w:t>The following table details financial assets and liabilities measured and recorded at fair value on a recurring basis:</w:t>
      </w:r>
    </w:p>
    <w:tbl>
      <w:tblPr>
        <w:tblW w:w="8330" w:type="dxa"/>
        <w:jc w:val="left"/>
        <w:tblInd w:w="0" w:type="dxa"/>
        <w:tblLayout w:type="fixed"/>
        <w:tblCellMar>
          <w:top w:w="0" w:type="dxa"/>
          <w:left w:w="0" w:type="dxa"/>
          <w:bottom w:w="0" w:type="dxa"/>
          <w:right w:w="0" w:type="dxa"/>
        </w:tblCellMar>
      </w:tblPr>
      <w:tblGrid>
        <w:gridCol w:w="3020"/>
        <w:gridCol w:w="60"/>
        <w:gridCol w:w="2360"/>
        <w:gridCol w:w="60"/>
        <w:gridCol w:w="125"/>
        <w:gridCol w:w="545"/>
        <w:gridCol w:w="60"/>
        <w:gridCol w:w="125"/>
        <w:gridCol w:w="545"/>
        <w:gridCol w:w="60"/>
        <w:gridCol w:w="125"/>
        <w:gridCol w:w="545"/>
        <w:gridCol w:w="60"/>
        <w:gridCol w:w="125"/>
        <w:gridCol w:w="515"/>
      </w:tblGrid>
      <w:tr>
        <w:trPr/>
        <w:tc>
          <w:tcPr>
            <w:tcW w:w="30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705" w:type="dxa"/>
            <w:gridSpan w:val="10"/>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June 30, 2025</w:t>
            </w:r>
          </w:p>
        </w:tc>
      </w:tr>
      <w:tr>
        <w:trPr/>
        <w:tc>
          <w:tcPr>
            <w:tcW w:w="302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23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Balance Sheet Classification</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1</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2</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3</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1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3020" w:type="dxa"/>
            <w:tcBorders>
              <w:top w:val="single" w:sz="8" w:space="0" w:color="000000"/>
            </w:tcBorders>
            <w:tcMar>
              <w:top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 w:type="dxa"/>
            <w:tcBorders/>
            <w:vAlign w:val="center"/>
          </w:tcPr>
          <w:p>
            <w:pPr>
              <w:pStyle w:val="TableContents"/>
              <w:bidi w:val="0"/>
              <w:spacing w:before="0" w:after="0"/>
              <w:jc w:val="left"/>
              <w:rPr/>
            </w:pPr>
            <w:r>
              <w:rPr/>
              <w:t> </w:t>
            </w:r>
          </w:p>
        </w:tc>
        <w:tc>
          <w:tcPr>
            <w:tcW w:w="2360"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45"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45"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45"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15" w:type="dxa"/>
            <w:tcBorders>
              <w:top w:val="single" w:sz="8" w:space="0" w:color="000000"/>
            </w:tcBorders>
            <w:tcMar>
              <w:top w:w="28" w:type="dxa"/>
            </w:tcMar>
            <w:vAlign w:val="center"/>
          </w:tcPr>
          <w:p>
            <w:pPr>
              <w:pStyle w:val="TableContents"/>
              <w:bidi w:val="0"/>
              <w:spacing w:before="0" w:after="0"/>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contracts</w:t>
            </w:r>
          </w:p>
        </w:tc>
        <w:tc>
          <w:tcPr>
            <w:tcW w:w="6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Other current assets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54.3</w:t>
            </w:r>
          </w:p>
        </w:tc>
      </w:tr>
      <w:tr>
        <w:trPr/>
        <w:tc>
          <w:tcPr>
            <w:tcW w:w="30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receivable</w:t>
            </w:r>
          </w:p>
        </w:tc>
        <w:tc>
          <w:tcPr>
            <w:tcW w:w="60" w:type="dxa"/>
            <w:tcBorders/>
            <w:shd w:fill="FFFFFF" w:val="clear"/>
            <w:vAlign w:val="center"/>
          </w:tcPr>
          <w:p>
            <w:pPr>
              <w:pStyle w:val="TableContents"/>
              <w:bidi w:val="0"/>
              <w:spacing w:before="0" w:after="0"/>
              <w:jc w:val="left"/>
              <w:rPr/>
            </w:pPr>
            <w:r>
              <w:rPr/>
              <w:t> </w:t>
            </w:r>
          </w:p>
        </w:tc>
        <w:tc>
          <w:tcPr>
            <w:tcW w:w="236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Convertible notes receivable</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87.2</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6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Marketable securities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30.0</w:t>
            </w:r>
          </w:p>
        </w:tc>
      </w:tr>
      <w:tr>
        <w:trPr/>
        <w:tc>
          <w:tcPr>
            <w:tcW w:w="302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60" w:type="dxa"/>
            <w:tcBorders/>
            <w:shd w:fill="FFFFFF" w:val="clear"/>
            <w:vAlign w:val="center"/>
          </w:tcPr>
          <w:p>
            <w:pPr>
              <w:pStyle w:val="TableContents"/>
              <w:bidi w:val="0"/>
              <w:spacing w:before="0" w:after="0"/>
              <w:jc w:val="left"/>
              <w:rPr/>
            </w:pPr>
            <w:r>
              <w:rPr/>
              <w:t> </w:t>
            </w:r>
          </w:p>
        </w:tc>
        <w:tc>
          <w:tcPr>
            <w:tcW w:w="2360" w:type="dxa"/>
            <w:tcBorders/>
            <w:shd w:fill="FFFFFF" w:val="clear"/>
            <w:vAlign w:val="center"/>
          </w:tcPr>
          <w:p>
            <w:pPr>
              <w:pStyle w:val="TableContents"/>
              <w:bidi w:val="0"/>
              <w:spacing w:before="0" w:after="0"/>
              <w:jc w:val="center"/>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15" w:type="dxa"/>
            <w:tcBorders/>
            <w:shd w:fill="FFFFFF" w:val="clear"/>
            <w:vAlign w:val="center"/>
          </w:tcPr>
          <w:p>
            <w:pPr>
              <w:pStyle w:val="TableContents"/>
              <w:bidi w:val="0"/>
              <w:spacing w:before="0" w:after="0"/>
              <w:jc w:val="righ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contracts</w:t>
            </w:r>
          </w:p>
        </w:tc>
        <w:tc>
          <w:tcPr>
            <w:tcW w:w="6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Other current liabilities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50.8</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15"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50.8</w:t>
            </w:r>
            <w:r>
              <w:rPr>
                <w:rFonts w:ascii="Times New Roman" w:hAnsi="Times New Roman"/>
                <w:sz w:val="20"/>
              </w:rPr>
              <w:t>)</w:t>
            </w:r>
          </w:p>
        </w:tc>
      </w:tr>
    </w:tbl>
    <w:p>
      <w:pPr>
        <w:pStyle w:val="TextBody"/>
        <w:bidi w:val="0"/>
        <w:spacing w:lineRule="atLeast" w:line="240" w:before="0" w:after="0"/>
        <w:jc w:val="left"/>
        <w:rPr/>
      </w:pPr>
      <w:r>
        <w:rPr/>
        <w:t> </w:t>
      </w:r>
    </w:p>
    <w:tbl>
      <w:tblPr>
        <w:tblW w:w="8330" w:type="dxa"/>
        <w:jc w:val="left"/>
        <w:tblInd w:w="0" w:type="dxa"/>
        <w:tblLayout w:type="fixed"/>
        <w:tblCellMar>
          <w:top w:w="0" w:type="dxa"/>
          <w:left w:w="0" w:type="dxa"/>
          <w:bottom w:w="0" w:type="dxa"/>
          <w:right w:w="0" w:type="dxa"/>
        </w:tblCellMar>
      </w:tblPr>
      <w:tblGrid>
        <w:gridCol w:w="3020"/>
        <w:gridCol w:w="60"/>
        <w:gridCol w:w="2360"/>
        <w:gridCol w:w="60"/>
        <w:gridCol w:w="125"/>
        <w:gridCol w:w="545"/>
        <w:gridCol w:w="60"/>
        <w:gridCol w:w="125"/>
        <w:gridCol w:w="545"/>
        <w:gridCol w:w="60"/>
        <w:gridCol w:w="125"/>
        <w:gridCol w:w="545"/>
        <w:gridCol w:w="60"/>
        <w:gridCol w:w="125"/>
        <w:gridCol w:w="515"/>
      </w:tblGrid>
      <w:tr>
        <w:trPr/>
        <w:tc>
          <w:tcPr>
            <w:tcW w:w="30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705" w:type="dxa"/>
            <w:gridSpan w:val="10"/>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2024</w:t>
            </w:r>
          </w:p>
        </w:tc>
      </w:tr>
      <w:tr>
        <w:trPr/>
        <w:tc>
          <w:tcPr>
            <w:tcW w:w="302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23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Balance Sheet Classification</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1</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2</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3</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1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3020" w:type="dxa"/>
            <w:tcBorders>
              <w:top w:val="single" w:sz="8" w:space="0" w:color="000000"/>
            </w:tcBorders>
            <w:tcMar>
              <w:top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 w:type="dxa"/>
            <w:tcBorders/>
            <w:vAlign w:val="center"/>
          </w:tcPr>
          <w:p>
            <w:pPr>
              <w:pStyle w:val="TableContents"/>
              <w:bidi w:val="0"/>
              <w:spacing w:before="0" w:after="0"/>
              <w:jc w:val="left"/>
              <w:rPr/>
            </w:pPr>
            <w:r>
              <w:rPr/>
              <w:t> </w:t>
            </w:r>
          </w:p>
        </w:tc>
        <w:tc>
          <w:tcPr>
            <w:tcW w:w="2360" w:type="dxa"/>
            <w:tcBorders>
              <w:top w:val="single" w:sz="8" w:space="0" w:color="000000"/>
            </w:tcBorders>
            <w:tcMar>
              <w:top w:w="28" w:type="dxa"/>
            </w:tcMar>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45"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45"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45"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15" w:type="dxa"/>
            <w:tcBorders>
              <w:top w:val="single" w:sz="8" w:space="0" w:color="000000"/>
            </w:tcBorders>
            <w:tcMar>
              <w:top w:w="28" w:type="dxa"/>
            </w:tcMar>
            <w:vAlign w:val="center"/>
          </w:tcPr>
          <w:p>
            <w:pPr>
              <w:pStyle w:val="TableContents"/>
              <w:bidi w:val="0"/>
              <w:spacing w:before="0" w:after="0"/>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contracts</w:t>
            </w:r>
          </w:p>
        </w:tc>
        <w:tc>
          <w:tcPr>
            <w:tcW w:w="6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Other current assets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53.1</w:t>
            </w:r>
          </w:p>
        </w:tc>
      </w:tr>
      <w:tr>
        <w:trPr/>
        <w:tc>
          <w:tcPr>
            <w:tcW w:w="30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receivable</w:t>
            </w:r>
          </w:p>
        </w:tc>
        <w:tc>
          <w:tcPr>
            <w:tcW w:w="60" w:type="dxa"/>
            <w:tcBorders/>
            <w:shd w:fill="FFFFFF" w:val="clear"/>
            <w:vAlign w:val="center"/>
          </w:tcPr>
          <w:p>
            <w:pPr>
              <w:pStyle w:val="TableContents"/>
              <w:bidi w:val="0"/>
              <w:spacing w:before="0" w:after="0"/>
              <w:jc w:val="left"/>
              <w:rPr/>
            </w:pPr>
            <w:r>
              <w:rPr/>
              <w:t> </w:t>
            </w:r>
          </w:p>
        </w:tc>
        <w:tc>
          <w:tcPr>
            <w:tcW w:w="236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Convertible notes receivable</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56.3</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6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Marketable securities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26.7</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26.7</w:t>
            </w:r>
          </w:p>
        </w:tc>
      </w:tr>
      <w:tr>
        <w:trPr/>
        <w:tc>
          <w:tcPr>
            <w:tcW w:w="302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60" w:type="dxa"/>
            <w:tcBorders/>
            <w:shd w:fill="FFFFFF" w:val="clear"/>
            <w:vAlign w:val="center"/>
          </w:tcPr>
          <w:p>
            <w:pPr>
              <w:pStyle w:val="TableContents"/>
              <w:bidi w:val="0"/>
              <w:spacing w:before="0" w:after="0"/>
              <w:jc w:val="left"/>
              <w:rPr/>
            </w:pPr>
            <w:r>
              <w:rPr/>
              <w:t> </w:t>
            </w:r>
          </w:p>
        </w:tc>
        <w:tc>
          <w:tcPr>
            <w:tcW w:w="2360" w:type="dxa"/>
            <w:tcBorders/>
            <w:shd w:fill="FFFFFF" w:val="clear"/>
            <w:vAlign w:val="center"/>
          </w:tcPr>
          <w:p>
            <w:pPr>
              <w:pStyle w:val="TableContents"/>
              <w:bidi w:val="0"/>
              <w:spacing w:before="0" w:after="0"/>
              <w:jc w:val="center"/>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15" w:type="dxa"/>
            <w:tcBorders/>
            <w:shd w:fill="FFFFFF" w:val="clear"/>
            <w:vAlign w:val="center"/>
          </w:tcPr>
          <w:p>
            <w:pPr>
              <w:pStyle w:val="TableContents"/>
              <w:bidi w:val="0"/>
              <w:spacing w:before="0" w:after="0"/>
              <w:jc w:val="righ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contracts</w:t>
            </w:r>
          </w:p>
        </w:tc>
        <w:tc>
          <w:tcPr>
            <w:tcW w:w="6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Other current liabilities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53.7</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15"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53.7</w:t>
            </w:r>
            <w:r>
              <w:rPr>
                <w:rFonts w:ascii="Times New Roman" w:hAnsi="Times New Roman"/>
                <w:sz w:val="20"/>
              </w:rPr>
              <w:t>)</w:t>
            </w:r>
          </w:p>
        </w:tc>
      </w:tr>
    </w:tbl>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Other Fair Value Disclosures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as of June 30, 2025</w:t>
      </w:r>
      <w:r>
        <w:rPr>
          <w:rFonts w:ascii="Times New Roman" w:hAnsi="Times New Roman"/>
          <w:sz w:val="24"/>
        </w:rPr>
        <w:t xml:space="preserve"> </w:t>
      </w:r>
      <w:r>
        <w:rPr>
          <w:rFonts w:ascii="Times New Roman" w:hAnsi="Times New Roman"/>
          <w:sz w:val="20"/>
        </w:rPr>
        <w:t>was based on the Secured Overnight Financing Rate ("SOFR") that resets at various intervals of less than one year. The Company estimates the fair value of the Convertible Notes and Senior Notes using quoted prices in inactive markets for identical liabilities (Level 2).</w:t>
      </w:r>
      <w:r>
        <w:rPr>
          <w:rFonts w:ascii="Times New Roman" w:hAnsi="Times New Roman"/>
          <w:color w:val="252525"/>
          <w:sz w:val="24"/>
        </w:rPr>
        <w:t xml:space="preserve"> </w:t>
      </w:r>
      <w:r>
        <w:rPr>
          <w:rFonts w:ascii="Times New Roman" w:hAnsi="Times New Roman"/>
          <w:color w:val="252525"/>
          <w:sz w:val="20"/>
        </w:rPr>
        <w:t xml:space="preserve">As of June 30, 2025, </w:t>
      </w:r>
      <w:r>
        <w:rPr>
          <w:rFonts w:ascii="Times New Roman" w:hAnsi="Times New Roman"/>
          <w:sz w:val="20"/>
        </w:rPr>
        <w:t>the fair values of the Convertible Notes and Senior Notes were $31.6</w:t>
      </w:r>
      <w:r>
        <w:rPr>
          <w:rFonts w:ascii="Times New Roman" w:hAnsi="Times New Roman"/>
          <w:sz w:val="24"/>
        </w:rPr>
        <w:t xml:space="preserve"> </w:t>
      </w:r>
      <w:r>
        <w:rPr>
          <w:rFonts w:ascii="Times New Roman" w:hAnsi="Times New Roman"/>
          <w:sz w:val="20"/>
        </w:rPr>
        <w:t>million and $698.9</w:t>
      </w:r>
      <w:r>
        <w:rPr>
          <w:rFonts w:ascii="Times New Roman" w:hAnsi="Times New Roman"/>
          <w:sz w:val="24"/>
        </w:rPr>
        <w:t> </w:t>
      </w:r>
      <w:r>
        <w:rPr>
          <w:rFonts w:ascii="Times New Roman" w:hAnsi="Times New Roman"/>
          <w:sz w:val="20"/>
        </w:rPr>
        <w:t>million, respectively, with carrying values of $33.2</w:t>
      </w:r>
      <w:r>
        <w:rPr>
          <w:rFonts w:ascii="Times New Roman" w:hAnsi="Times New Roman"/>
          <w:sz w:val="24"/>
        </w:rPr>
        <w:t> </w:t>
      </w:r>
      <w:r>
        <w:rPr>
          <w:rFonts w:ascii="Times New Roman" w:hAnsi="Times New Roman"/>
          <w:sz w:val="20"/>
        </w:rPr>
        <w:t>million and $707.2</w:t>
      </w:r>
      <w:r>
        <w:rPr>
          <w:rFonts w:ascii="Times New Roman" w:hAnsi="Times New Roman"/>
          <w:sz w:val="24"/>
        </w:rPr>
        <w:t xml:space="preserve"> </w:t>
      </w:r>
      <w:r>
        <w:rPr>
          <w:rFonts w:ascii="Times New Roman" w:hAnsi="Times New Roman"/>
          <w:sz w:val="20"/>
        </w:rPr>
        <w:t>million, respectively.</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sz w:val="24"/>
        </w:rPr>
      </w:pPr>
      <w:r>
        <w:rPr>
          <w:rFonts w:ascii="Times New Roman" w:hAnsi="Times New Roman"/>
          <w:b/>
          <w:sz w:val="20"/>
        </w:rPr>
        <w:t>(13)</w:t>
      </w:r>
      <w:r>
        <w:rPr>
          <w:rFonts w:ascii="Times New Roman" w:hAnsi="Times New Roman"/>
          <w:sz w:val="24"/>
        </w:rPr>
        <w:t> </w:t>
      </w:r>
      <w:r>
        <w:rPr>
          <w:rFonts w:ascii="Times New Roman" w:hAnsi="Times New Roman"/>
          <w:b/>
          <w:sz w:val="20"/>
        </w:rPr>
        <w:t>SEGMENT INFORMATION</w:t>
      </w:r>
    </w:p>
    <w:p>
      <w:pPr>
        <w:pStyle w:val="TextBody"/>
        <w:bidi w:val="0"/>
        <w:spacing w:lineRule="atLeast" w:line="240"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Euronet's Chief Executive Officer (CEO) is the Chief Operating Decision Maker (CODM) and is responsible for assessing performance and making resource allocation decisions across the Company's operating segments. The CODM evaluates segment performance primarily based on financial metrics such as revenue, operating income, and other key performance indicators. In making resource allocation decisions, the CODM reviews segment operating income and revenue on a monthly basis to assess profitability and efficiency across segments. Additionally, the CODM considers forecast-to-actual variances in revenue, operating income, and key performance indicators as part of the forecasting process. These measures are used to guide decisions related to capital investments, personnel allocation, and strategic initiatives across the Company’s segments. The CODM also evaluates segment-level profitability and return on assets when making long-term investment decisions and assessing segment performance relative to strategic goals. The accounting policies of the segments are the same as those described in the summary of significant accounting policies.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Euronet's reportable operating segments have been determined in accordance with ASC Topic 280, Segment Reporting ("ASC 280"). The Company currently operates in the following three reportable operating segments:</w:t>
      </w:r>
    </w:p>
    <w:p>
      <w:pPr>
        <w:pStyle w:val="TextBody"/>
        <w:bidi w:val="0"/>
        <w:spacing w:lineRule="atLeast" w:line="240" w:before="0" w:after="0"/>
        <w:jc w:val="both"/>
        <w:rPr/>
      </w:pPr>
      <w:r>
        <w:rPr/>
        <w:t> </w:t>
      </w:r>
    </w:p>
    <w:p>
      <w:pPr>
        <w:pStyle w:val="TextBody"/>
        <w:bidi w:val="0"/>
        <w:spacing w:before="0" w:after="0"/>
        <w:ind w:left="0" w:right="0" w:firstLine="302"/>
        <w:jc w:val="both"/>
        <w:rPr>
          <w:rFonts w:ascii="Times New Roman" w:hAnsi="Times New Roman"/>
          <w:sz w:val="20"/>
        </w:rPr>
      </w:pPr>
      <w:r>
        <w:rPr>
          <w:rFonts w:ascii="Times New Roman" w:hAnsi="Times New Roman"/>
          <w:sz w:val="20"/>
        </w:rPr>
        <w:t>1) Through the EFT Processing Segment, the Company processes transactions for a network of ATMs and POS terminals across Europe, the Middle East, Africa, Asia Pacific and the United States. Euronet provides comprehensive electronic payment solutions consisting of ATM cash withdrawal and deposit services, ATM network participation, outsourced ATM and POS management solutions, credit, debit and prepaid card outsourcing, dynamic currency conversion, domestic and international surcharges and other value added services. Through this segment, the Company also offers a suite of integrated electronic financial transaction software solutions for electronic payment and transaction delivery systems.</w:t>
      </w:r>
    </w:p>
    <w:p>
      <w:pPr>
        <w:pStyle w:val="TextBody"/>
        <w:bidi w:val="0"/>
        <w:spacing w:lineRule="atLeast" w:line="240" w:before="0" w:after="0"/>
        <w:jc w:val="both"/>
        <w:rPr/>
      </w:pPr>
      <w:r>
        <w:rPr/>
        <w:t> </w:t>
      </w:r>
    </w:p>
    <w:p>
      <w:pPr>
        <w:pStyle w:val="TextBody"/>
        <w:bidi w:val="0"/>
        <w:spacing w:before="0" w:after="0"/>
        <w:ind w:left="0" w:right="0" w:firstLine="302"/>
        <w:jc w:val="both"/>
        <w:rPr>
          <w:rFonts w:ascii="Times New Roman" w:hAnsi="Times New Roman"/>
          <w:sz w:val="20"/>
        </w:rPr>
      </w:pPr>
      <w:r>
        <w:rPr>
          <w:rFonts w:ascii="Times New Roman" w:hAnsi="Times New Roman"/>
          <w:sz w:val="20"/>
        </w:rPr>
        <w:t xml:space="preserve">2) Through the epay Segment, Euronet provides distribution, processing and collection services for electronic payment products, and prepaid mobile airtime through a network of POS terminals in Europe, the Middle East, Asia Pacific, South America and North America. The epay Segment also provides vouchers and physical gift fulfillment services in Europe. </w:t>
      </w:r>
    </w:p>
    <w:p>
      <w:pPr>
        <w:pStyle w:val="TextBody"/>
        <w:bidi w:val="0"/>
        <w:spacing w:lineRule="atLeast" w:line="240" w:before="0" w:after="0"/>
        <w:ind w:left="0" w:right="0" w:firstLine="300"/>
        <w:jc w:val="both"/>
        <w:rPr/>
      </w:pPr>
      <w:r>
        <w:rPr/>
        <w:t> </w:t>
      </w:r>
    </w:p>
    <w:p>
      <w:pPr>
        <w:pStyle w:val="TextBody"/>
        <w:bidi w:val="0"/>
        <w:spacing w:before="0" w:after="0"/>
        <w:ind w:left="0" w:right="0" w:firstLine="302"/>
        <w:jc w:val="both"/>
        <w:rPr>
          <w:rFonts w:ascii="Times New Roman" w:hAnsi="Times New Roman"/>
          <w:sz w:val="20"/>
        </w:rPr>
      </w:pPr>
      <w:r>
        <w:rPr>
          <w:rFonts w:ascii="Times New Roman" w:hAnsi="Times New Roman"/>
          <w:sz w:val="20"/>
        </w:rPr>
        <w:t xml:space="preserve">3) Through the Money Transfer Segment, Euronet provides global money transfers and currency exchange information in retail stores, apps, and websites through Ria Money Transfer, Xe and the Dandelion cross-border real-time payments network. Euronet’s Money Transfer segment offers real-time, cross-border payments to consumers and businesses across 199 countries and territories, enabling banks, fintechs and big tech platforms to integrate an international payments solution into their own platforms. Ria Money Transfer offers real-time international money transfers with a special focus on emerging markets. In addition, Ria offers safe and affordable money transfers through a global network of cash locations and online, serving over 20 million customers annually. Xe offers web and app-based currency information and industry-leading consumer and business cross-border money transfer services. Customers can send money, buy property overseas, and execute other international payments via the Xe website or app. Dandelion offers consumer and business transaction processing and fulfillment with alternative payout channels like bank accounts, cash pick-up and mobile wallets. Dandelion powers cross-border payments for Xe and Ria, as well as third party banks, fintechs, and big tech platforms. </w:t>
      </w:r>
    </w:p>
    <w:p>
      <w:pPr>
        <w:pStyle w:val="TextBody"/>
        <w:bidi w:val="0"/>
        <w:spacing w:lineRule="atLeast" w:line="240"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In addition, the Company accounts for non-operating activity, share-based compensation expense, certain intersegment eliminations and the costs of providing corporate and other administrative services in the administrative division, "Corporate Services, Eliminations and Other." These services are not directly identifiable with the Company’s reportable operating segments. </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sz w:val="24"/>
        </w:rPr>
      </w:pPr>
      <w:r>
        <w:rPr>
          <w:rFonts w:ascii="Times New Roman" w:hAnsi="Times New Roman"/>
          <w:sz w:val="20"/>
        </w:rPr>
        <w:t>The following tables present the Company's reportable segment results for the three months and</w:t>
      </w:r>
      <w:r>
        <w:rPr>
          <w:rFonts w:ascii="Times New Roman" w:hAnsi="Times New Roman"/>
          <w:sz w:val="24"/>
        </w:rPr>
        <w:t> </w:t>
      </w:r>
      <w:r>
        <w:rPr>
          <w:rFonts w:ascii="Times New Roman" w:hAnsi="Times New Roman"/>
          <w:sz w:val="20"/>
        </w:rPr>
        <w:t>six months ended June 30, 2025</w:t>
      </w:r>
      <w:r>
        <w:rPr>
          <w:rFonts w:ascii="Times New Roman" w:hAnsi="Times New Roman"/>
          <w:sz w:val="24"/>
        </w:rPr>
        <w:t> </w:t>
      </w:r>
      <w:r>
        <w:rPr>
          <w:rFonts w:ascii="Times New Roman" w:hAnsi="Times New Roman"/>
          <w:sz w:val="20"/>
        </w:rPr>
        <w:t>and</w:t>
      </w:r>
      <w:r>
        <w:rPr>
          <w:rFonts w:ascii="Times New Roman" w:hAnsi="Times New Roman"/>
          <w:sz w:val="24"/>
        </w:rPr>
        <w:t> </w:t>
      </w:r>
      <w:r>
        <w:rPr>
          <w:rFonts w:ascii="Times New Roman" w:hAnsi="Times New Roman"/>
          <w:sz w:val="20"/>
        </w:rPr>
        <w:t>2024:</w:t>
      </w:r>
    </w:p>
    <w:p>
      <w:pPr>
        <w:pStyle w:val="TextBody"/>
        <w:bidi w:val="0"/>
        <w:spacing w:lineRule="atLeast" w:line="24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3174"/>
        <w:gridCol w:w="60"/>
        <w:gridCol w:w="125"/>
        <w:gridCol w:w="1043"/>
        <w:gridCol w:w="60"/>
        <w:gridCol w:w="125"/>
        <w:gridCol w:w="485"/>
        <w:gridCol w:w="60"/>
        <w:gridCol w:w="125"/>
        <w:gridCol w:w="1080"/>
        <w:gridCol w:w="60"/>
        <w:gridCol w:w="125"/>
        <w:gridCol w:w="2517"/>
        <w:gridCol w:w="60"/>
        <w:gridCol w:w="125"/>
        <w:gridCol w:w="981"/>
      </w:tblGrid>
      <w:tr>
        <w:trPr/>
        <w:tc>
          <w:tcPr>
            <w:tcW w:w="317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6846" w:type="dxa"/>
            <w:gridSpan w:val="1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 2025</w:t>
            </w:r>
          </w:p>
        </w:tc>
      </w:tr>
      <w:tr>
        <w:trPr/>
        <w:tc>
          <w:tcPr>
            <w:tcW w:w="3174"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4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EFT Processing</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8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r>
              <w:rPr>
                <w:rFonts w:ascii="Times New Roman" w:hAnsi="Times New Roman"/>
                <w:b/>
                <w:sz w:val="16"/>
              </w:rPr>
              <w:t>Money Transfer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251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Corporate Services, Eliminations and Other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8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Consolidated</w:t>
            </w:r>
          </w:p>
        </w:tc>
      </w:tr>
      <w:tr>
        <w:trPr/>
        <w:tc>
          <w:tcPr>
            <w:tcW w:w="3174"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338.5</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48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280.1</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8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457.9</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51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2.2</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1,074.3</w:t>
            </w:r>
          </w:p>
        </w:tc>
      </w:tr>
      <w:tr>
        <w:trPr/>
        <w:tc>
          <w:tcPr>
            <w:tcW w:w="317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43"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48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1080"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2517"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981"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r>
      <w:tr>
        <w:trPr/>
        <w:tc>
          <w:tcPr>
            <w:tcW w:w="3174" w:type="dxa"/>
            <w:tcBorders/>
            <w:shd w:fill="CCEEFF" w:val="clear"/>
            <w:vAlign w:val="center"/>
          </w:tcPr>
          <w:p>
            <w:pPr>
              <w:pStyle w:val="TableContents"/>
              <w:bidi w:val="0"/>
              <w:spacing w:before="0" w:after="0"/>
              <w:ind w:left="101" w:right="0" w:hanging="0"/>
              <w:jc w:val="left"/>
              <w:rPr>
                <w:rFonts w:ascii="Times New Roman" w:hAnsi="Times New Roman"/>
                <w:sz w:val="20"/>
              </w:rPr>
            </w:pPr>
            <w:r>
              <w:rPr>
                <w:rFonts w:ascii="Times New Roman" w:hAnsi="Times New Roman"/>
                <w:sz w:val="20"/>
              </w:rPr>
              <w:t>Direct operating costs, exclusive of depreciation</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173.9</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210.9</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0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238.0</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2517"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2.2</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9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620.6</w:t>
            </w:r>
          </w:p>
        </w:tc>
      </w:tr>
      <w:tr>
        <w:trPr/>
        <w:tc>
          <w:tcPr>
            <w:tcW w:w="3174" w:type="dxa"/>
            <w:tcBorders/>
            <w:shd w:fill="FFFFFF" w:val="clear"/>
            <w:vAlign w:val="center"/>
          </w:tcPr>
          <w:p>
            <w:pPr>
              <w:pStyle w:val="TableContents"/>
              <w:bidi w:val="0"/>
              <w:spacing w:before="0" w:after="0"/>
              <w:ind w:left="101" w:right="0" w:hanging="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39.7</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26.6</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0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251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19.0</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98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173.5</w:t>
            </w:r>
          </w:p>
        </w:tc>
      </w:tr>
      <w:tr>
        <w:trPr/>
        <w:tc>
          <w:tcPr>
            <w:tcW w:w="3174" w:type="dxa"/>
            <w:tcBorders/>
            <w:shd w:fill="CCEEFF" w:val="clear"/>
            <w:vAlign w:val="center"/>
          </w:tcPr>
          <w:p>
            <w:pPr>
              <w:pStyle w:val="TableContents"/>
              <w:bidi w:val="0"/>
              <w:spacing w:before="0" w:after="0"/>
              <w:ind w:left="101"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14.3</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9.8</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0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60.1</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251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9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87.8</w:t>
            </w:r>
          </w:p>
        </w:tc>
      </w:tr>
      <w:tr>
        <w:trPr/>
        <w:tc>
          <w:tcPr>
            <w:tcW w:w="3174" w:type="dxa"/>
            <w:tcBorders/>
            <w:shd w:fill="FFFFFF" w:val="clear"/>
            <w:vAlign w:val="center"/>
          </w:tcPr>
          <w:p>
            <w:pPr>
              <w:pStyle w:val="TableContents"/>
              <w:bidi w:val="0"/>
              <w:spacing w:before="0" w:after="0"/>
              <w:ind w:left="101" w:right="0" w:hanging="0"/>
              <w:jc w:val="left"/>
              <w:rPr>
                <w:rFonts w:ascii="Times New Roman" w:hAnsi="Times New Roman"/>
                <w:sz w:val="20"/>
              </w:rPr>
            </w:pPr>
            <w:r>
              <w:rPr>
                <w:rFonts w:ascii="Times New Roman" w:hAnsi="Times New Roman"/>
                <w:sz w:val="20"/>
              </w:rPr>
              <w:t>Goodwill impairment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3"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48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08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2517"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981" w:type="dxa"/>
            <w:tcBorders/>
            <w:shd w:fill="FFFFFF" w:val="clear"/>
            <w:vAlign w:val="center"/>
          </w:tcPr>
          <w:p>
            <w:pPr>
              <w:pStyle w:val="TableContents"/>
              <w:bidi w:val="0"/>
              <w:spacing w:before="0" w:after="0"/>
              <w:jc w:val="right"/>
              <w:rPr/>
            </w:pPr>
            <w:r>
              <w:rPr/>
              <w:t>—</w:t>
            </w:r>
          </w:p>
        </w:tc>
      </w:tr>
      <w:tr>
        <w:trPr/>
        <w:tc>
          <w:tcPr>
            <w:tcW w:w="3174" w:type="dxa"/>
            <w:tcBorders/>
            <w:shd w:fill="CCEEFF" w:val="clear"/>
            <w:vAlign w:val="center"/>
          </w:tcPr>
          <w:p>
            <w:pPr>
              <w:pStyle w:val="TableContents"/>
              <w:bidi w:val="0"/>
              <w:spacing w:before="0" w:after="0"/>
              <w:ind w:left="101"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4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26.0</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108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6.0</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251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98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33.8</w:t>
            </w:r>
          </w:p>
        </w:tc>
      </w:tr>
      <w:tr>
        <w:trPr/>
        <w:tc>
          <w:tcPr>
            <w:tcW w:w="3174" w:type="dxa"/>
            <w:tcBorders/>
            <w:shd w:fill="FFFFFF"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Total 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4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253.9</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pPr>
            <w:r>
              <w:rPr/>
              <w:t> </w:t>
            </w:r>
          </w:p>
        </w:tc>
        <w:tc>
          <w:tcPr>
            <w:tcW w:w="48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249.0</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pPr>
            <w:r>
              <w:rPr/>
              <w:t> </w:t>
            </w:r>
          </w:p>
        </w:tc>
        <w:tc>
          <w:tcPr>
            <w:tcW w:w="108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392.3</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pPr>
            <w:r>
              <w:rPr/>
              <w:t> </w:t>
            </w:r>
          </w:p>
        </w:tc>
        <w:tc>
          <w:tcPr>
            <w:tcW w:w="251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20.5</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pPr>
            <w:r>
              <w:rPr/>
              <w:t> </w:t>
            </w:r>
          </w:p>
        </w:tc>
        <w:tc>
          <w:tcPr>
            <w:tcW w:w="98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915.7</w:t>
            </w:r>
          </w:p>
        </w:tc>
      </w:tr>
      <w:tr>
        <w:trPr/>
        <w:tc>
          <w:tcPr>
            <w:tcW w:w="3174" w:type="dxa"/>
            <w:tcBorders/>
            <w:shd w:fill="CCEEFF" w:val="clear"/>
            <w:vAlign w:val="center"/>
          </w:tcPr>
          <w:p>
            <w:pPr>
              <w:pStyle w:val="TableContents"/>
              <w:bidi w:val="0"/>
              <w:spacing w:before="0" w:after="0"/>
              <w:ind w:left="446" w:right="0" w:hanging="0"/>
              <w:jc w:val="left"/>
              <w:rPr>
                <w:rFonts w:ascii="Times New Roman" w:hAnsi="Times New Roman"/>
                <w:sz w:val="20"/>
              </w:rPr>
            </w:pPr>
            <w:r>
              <w:rPr>
                <w:rFonts w:ascii="Times New Roman" w:hAnsi="Times New Roman"/>
                <w:sz w:val="20"/>
              </w:rPr>
              <w:t>Operating income (Loss)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84.6</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31.1</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8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65.6</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51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22.7</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158.6</w:t>
            </w:r>
          </w:p>
        </w:tc>
      </w:tr>
    </w:tbl>
    <w:p>
      <w:pPr>
        <w:pStyle w:val="TextBody"/>
        <w:bidi w:val="0"/>
        <w:spacing w:lineRule="atLeast" w:line="22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3174"/>
        <w:gridCol w:w="60"/>
        <w:gridCol w:w="125"/>
        <w:gridCol w:w="1043"/>
        <w:gridCol w:w="60"/>
        <w:gridCol w:w="125"/>
        <w:gridCol w:w="485"/>
        <w:gridCol w:w="60"/>
        <w:gridCol w:w="125"/>
        <w:gridCol w:w="1080"/>
        <w:gridCol w:w="60"/>
        <w:gridCol w:w="125"/>
        <w:gridCol w:w="2517"/>
        <w:gridCol w:w="60"/>
        <w:gridCol w:w="125"/>
        <w:gridCol w:w="981"/>
      </w:tblGrid>
      <w:tr>
        <w:trPr/>
        <w:tc>
          <w:tcPr>
            <w:tcW w:w="317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6846" w:type="dxa"/>
            <w:gridSpan w:val="1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 2024</w:t>
            </w:r>
          </w:p>
        </w:tc>
      </w:tr>
      <w:tr>
        <w:trPr/>
        <w:tc>
          <w:tcPr>
            <w:tcW w:w="3174"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4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EFT Processing</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8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r>
              <w:rPr>
                <w:rFonts w:ascii="Times New Roman" w:hAnsi="Times New Roman"/>
                <w:b/>
                <w:sz w:val="16"/>
              </w:rPr>
              <w:t>Money Transfer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251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Corporate Services, Eliminations and Other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8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Consolidated</w:t>
            </w:r>
          </w:p>
        </w:tc>
      </w:tr>
      <w:tr>
        <w:trPr/>
        <w:tc>
          <w:tcPr>
            <w:tcW w:w="3174" w:type="dxa"/>
            <w:tcBorders>
              <w:top w:val="sing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305.4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260.9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421.8</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1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1.9</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986.2</w:t>
            </w:r>
          </w:p>
        </w:tc>
      </w:tr>
      <w:tr>
        <w:trPr/>
        <w:tc>
          <w:tcPr>
            <w:tcW w:w="317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43"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48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80"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2517"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81"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r>
      <w:tr>
        <w:trPr/>
        <w:tc>
          <w:tcPr>
            <w:tcW w:w="3174" w:type="dxa"/>
            <w:tcBorders/>
            <w:shd w:fill="CCEE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Direct operating costs, exclusive of depreciation</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152.5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198.5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231.7</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517"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1.9</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580.8</w:t>
            </w:r>
          </w:p>
        </w:tc>
      </w:tr>
      <w:tr>
        <w:trPr/>
        <w:tc>
          <w:tcPr>
            <w:tcW w:w="3174" w:type="dxa"/>
            <w:tcBorders/>
            <w:shd w:fill="FFFF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82.7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251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158.0</w:t>
            </w:r>
          </w:p>
        </w:tc>
      </w:tr>
      <w:tr>
        <w:trPr/>
        <w:tc>
          <w:tcPr>
            <w:tcW w:w="3174" w:type="dxa"/>
            <w:tcBorders/>
            <w:shd w:fill="CCEE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51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79.4</w:t>
            </w:r>
          </w:p>
        </w:tc>
      </w:tr>
      <w:tr>
        <w:trPr/>
        <w:tc>
          <w:tcPr>
            <w:tcW w:w="3174" w:type="dxa"/>
            <w:tcBorders/>
            <w:shd w:fill="FFFF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Goodwill impairment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3"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8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2517"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1" w:type="dxa"/>
            <w:tcBorders/>
            <w:shd w:fill="FFFFFF" w:val="clear"/>
            <w:vAlign w:val="center"/>
          </w:tcPr>
          <w:p>
            <w:pPr>
              <w:pStyle w:val="TableContents"/>
              <w:bidi w:val="0"/>
              <w:spacing w:before="0" w:after="0"/>
              <w:jc w:val="right"/>
              <w:rPr/>
            </w:pPr>
            <w:r>
              <w:rPr/>
              <w:t>—</w:t>
            </w:r>
          </w:p>
        </w:tc>
      </w:tr>
      <w:tr>
        <w:trPr/>
        <w:tc>
          <w:tcPr>
            <w:tcW w:w="3174" w:type="dxa"/>
            <w:tcBorders/>
            <w:shd w:fill="CCEE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4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25.1</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8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51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8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33.7</w:t>
            </w:r>
          </w:p>
        </w:tc>
      </w:tr>
      <w:tr>
        <w:trPr/>
        <w:tc>
          <w:tcPr>
            <w:tcW w:w="3174" w:type="dxa"/>
            <w:tcBorders/>
            <w:shd w:fill="FFFFFF" w:val="clear"/>
            <w:vAlign w:val="center"/>
          </w:tcPr>
          <w:p>
            <w:pPr>
              <w:pStyle w:val="TableContents"/>
              <w:bidi w:val="0"/>
              <w:spacing w:before="0" w:after="0"/>
              <w:ind w:left="280" w:right="0" w:hanging="0"/>
              <w:jc w:val="left"/>
              <w:rPr>
                <w:rFonts w:ascii="Times New Roman" w:hAnsi="Times New Roman"/>
                <w:sz w:val="20"/>
              </w:rPr>
            </w:pPr>
            <w:r>
              <w:rPr>
                <w:rFonts w:ascii="Times New Roman" w:hAnsi="Times New Roman"/>
                <w:sz w:val="20"/>
              </w:rPr>
              <w:t>Total 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4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225.5</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234.7</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8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374.5</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251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98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851.9</w:t>
            </w:r>
          </w:p>
        </w:tc>
      </w:tr>
      <w:tr>
        <w:trPr/>
        <w:tc>
          <w:tcPr>
            <w:tcW w:w="3174" w:type="dxa"/>
            <w:tcBorders/>
            <w:shd w:fill="CCEEFF" w:val="clear"/>
            <w:vAlign w:val="center"/>
          </w:tcPr>
          <w:p>
            <w:pPr>
              <w:pStyle w:val="TableContents"/>
              <w:bidi w:val="0"/>
              <w:spacing w:before="0" w:after="0"/>
              <w:ind w:left="440" w:right="0" w:hanging="0"/>
              <w:jc w:val="left"/>
              <w:rPr>
                <w:rFonts w:ascii="Times New Roman" w:hAnsi="Times New Roman"/>
                <w:sz w:val="20"/>
              </w:rPr>
            </w:pPr>
            <w:r>
              <w:rPr>
                <w:rFonts w:ascii="Times New Roman" w:hAnsi="Times New Roman"/>
                <w:sz w:val="20"/>
              </w:rPr>
              <w:t>Operating income (expense)</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79.9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1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19.1</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134.3</w:t>
            </w:r>
          </w:p>
        </w:tc>
      </w:tr>
    </w:tbl>
    <w:p>
      <w:pPr>
        <w:pStyle w:val="TextBody"/>
        <w:bidi w:val="0"/>
        <w:spacing w:lineRule="atLeast" w:line="22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3174"/>
        <w:gridCol w:w="60"/>
        <w:gridCol w:w="125"/>
        <w:gridCol w:w="1043"/>
        <w:gridCol w:w="60"/>
        <w:gridCol w:w="125"/>
        <w:gridCol w:w="485"/>
        <w:gridCol w:w="60"/>
        <w:gridCol w:w="125"/>
        <w:gridCol w:w="1080"/>
        <w:gridCol w:w="60"/>
        <w:gridCol w:w="125"/>
        <w:gridCol w:w="2517"/>
        <w:gridCol w:w="60"/>
        <w:gridCol w:w="125"/>
        <w:gridCol w:w="981"/>
      </w:tblGrid>
      <w:tr>
        <w:trPr/>
        <w:tc>
          <w:tcPr>
            <w:tcW w:w="317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6846" w:type="dxa"/>
            <w:gridSpan w:val="1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 2025</w:t>
            </w:r>
          </w:p>
        </w:tc>
      </w:tr>
      <w:tr>
        <w:trPr/>
        <w:tc>
          <w:tcPr>
            <w:tcW w:w="3174"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4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EFT Processing</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8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r>
              <w:rPr>
                <w:rFonts w:ascii="Times New Roman" w:hAnsi="Times New Roman"/>
                <w:b/>
                <w:sz w:val="16"/>
              </w:rPr>
              <w:t>Money Transfer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251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Corporate Services, Eliminations and Other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8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Consolidated</w:t>
            </w:r>
          </w:p>
        </w:tc>
      </w:tr>
      <w:tr>
        <w:trPr/>
        <w:tc>
          <w:tcPr>
            <w:tcW w:w="3174"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571.0</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547.5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875.6</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1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4.3</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1,989.8</w:t>
            </w:r>
          </w:p>
        </w:tc>
      </w:tr>
      <w:tr>
        <w:trPr/>
        <w:tc>
          <w:tcPr>
            <w:tcW w:w="317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43"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48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80"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2517"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81"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r>
      <w:tr>
        <w:trPr/>
        <w:tc>
          <w:tcPr>
            <w:tcW w:w="3174" w:type="dxa"/>
            <w:tcBorders/>
            <w:shd w:fill="CCEE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Direct operating costs, exclusive of depreciation</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310.4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413.0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462.5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517"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4.3</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1,181.6</w:t>
            </w:r>
          </w:p>
        </w:tc>
      </w:tr>
      <w:tr>
        <w:trPr/>
        <w:tc>
          <w:tcPr>
            <w:tcW w:w="3174" w:type="dxa"/>
            <w:tcBorders/>
            <w:shd w:fill="FFFF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75.2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176.1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251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35.6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337.6</w:t>
            </w:r>
          </w:p>
        </w:tc>
      </w:tr>
      <w:tr>
        <w:trPr/>
        <w:tc>
          <w:tcPr>
            <w:tcW w:w="3174" w:type="dxa"/>
            <w:tcBorders/>
            <w:shd w:fill="CCEE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114.2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51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170.8</w:t>
            </w:r>
          </w:p>
        </w:tc>
      </w:tr>
      <w:tr>
        <w:trPr/>
        <w:tc>
          <w:tcPr>
            <w:tcW w:w="3174" w:type="dxa"/>
            <w:tcBorders/>
            <w:shd w:fill="FFFF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Goodwill impairment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3"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8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2517"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1" w:type="dxa"/>
            <w:tcBorders/>
            <w:shd w:fill="FFFFFF" w:val="clear"/>
            <w:vAlign w:val="center"/>
          </w:tcPr>
          <w:p>
            <w:pPr>
              <w:pStyle w:val="TableContents"/>
              <w:bidi w:val="0"/>
              <w:spacing w:before="0" w:after="0"/>
              <w:jc w:val="right"/>
              <w:rPr/>
            </w:pPr>
            <w:r>
              <w:rPr/>
              <w:t>—</w:t>
            </w:r>
          </w:p>
        </w:tc>
      </w:tr>
      <w:tr>
        <w:trPr/>
        <w:tc>
          <w:tcPr>
            <w:tcW w:w="3174" w:type="dxa"/>
            <w:tcBorders/>
            <w:shd w:fill="CCEE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4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50.3</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8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12.1</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51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0.3</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8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66.0</w:t>
            </w:r>
          </w:p>
        </w:tc>
      </w:tr>
      <w:tr>
        <w:trPr/>
        <w:tc>
          <w:tcPr>
            <w:tcW w:w="3174" w:type="dxa"/>
            <w:tcBorders/>
            <w:shd w:fill="FFFFFF" w:val="clear"/>
            <w:vAlign w:val="center"/>
          </w:tcPr>
          <w:p>
            <w:pPr>
              <w:pStyle w:val="TableContents"/>
              <w:bidi w:val="0"/>
              <w:spacing w:before="0" w:after="0"/>
              <w:ind w:left="280" w:right="0" w:hanging="0"/>
              <w:jc w:val="left"/>
              <w:rPr>
                <w:rFonts w:ascii="Times New Roman" w:hAnsi="Times New Roman"/>
                <w:sz w:val="20"/>
              </w:rPr>
            </w:pPr>
            <w:r>
              <w:rPr>
                <w:rFonts w:ascii="Times New Roman" w:hAnsi="Times New Roman"/>
                <w:sz w:val="20"/>
              </w:rPr>
              <w:t>Total 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4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463.1</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489.6</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8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764.9</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251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38.4</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98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1,756.0</w:t>
            </w:r>
          </w:p>
        </w:tc>
      </w:tr>
      <w:tr>
        <w:trPr/>
        <w:tc>
          <w:tcPr>
            <w:tcW w:w="3174" w:type="dxa"/>
            <w:tcBorders/>
            <w:shd w:fill="CCEEFF" w:val="clear"/>
            <w:vAlign w:val="center"/>
          </w:tcPr>
          <w:p>
            <w:pPr>
              <w:pStyle w:val="TableContents"/>
              <w:bidi w:val="0"/>
              <w:spacing w:before="0" w:after="0"/>
              <w:ind w:left="440" w:right="0" w:hanging="0"/>
              <w:jc w:val="left"/>
              <w:rPr>
                <w:rFonts w:ascii="Times New Roman" w:hAnsi="Times New Roman"/>
                <w:sz w:val="20"/>
              </w:rPr>
            </w:pPr>
            <w:r>
              <w:rPr>
                <w:rFonts w:ascii="Times New Roman" w:hAnsi="Times New Roman"/>
                <w:sz w:val="20"/>
              </w:rPr>
              <w:t>Operating income (expense)</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107.9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110.7</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1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42.7</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233.8</w:t>
            </w:r>
          </w:p>
        </w:tc>
      </w:tr>
    </w:tbl>
    <w:p>
      <w:pPr>
        <w:pStyle w:val="TextBody"/>
        <w:bidi w:val="0"/>
        <w:spacing w:lineRule="atLeast" w:line="22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655"/>
        <w:gridCol w:w="60"/>
        <w:gridCol w:w="125"/>
        <w:gridCol w:w="1098"/>
        <w:gridCol w:w="60"/>
        <w:gridCol w:w="125"/>
        <w:gridCol w:w="485"/>
        <w:gridCol w:w="60"/>
        <w:gridCol w:w="125"/>
        <w:gridCol w:w="1172"/>
        <w:gridCol w:w="60"/>
        <w:gridCol w:w="125"/>
        <w:gridCol w:w="2888"/>
        <w:gridCol w:w="60"/>
        <w:gridCol w:w="125"/>
        <w:gridCol w:w="982"/>
      </w:tblGrid>
      <w:tr>
        <w:trPr/>
        <w:tc>
          <w:tcPr>
            <w:tcW w:w="26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7365" w:type="dxa"/>
            <w:gridSpan w:val="1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 2024</w:t>
            </w:r>
          </w:p>
        </w:tc>
      </w:tr>
      <w:tr>
        <w:trPr/>
        <w:tc>
          <w:tcPr>
            <w:tcW w:w="2655"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9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EFT Processing</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7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r>
              <w:rPr>
                <w:rFonts w:ascii="Times New Roman" w:hAnsi="Times New Roman"/>
                <w:b/>
                <w:sz w:val="16"/>
              </w:rPr>
              <w:t>Money Transfer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288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Corporate Services, Eliminations and Other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8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Consolidated</w:t>
            </w:r>
          </w:p>
        </w:tc>
      </w:tr>
      <w:tr>
        <w:trPr/>
        <w:tc>
          <w:tcPr>
            <w:tcW w:w="265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522.6</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518.0</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7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806.4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88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3.8</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1,843.2</w:t>
            </w:r>
          </w:p>
        </w:tc>
      </w:tr>
      <w:tr>
        <w:trPr/>
        <w:tc>
          <w:tcPr>
            <w:tcW w:w="265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98"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48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172"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2888"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82"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r>
      <w:tr>
        <w:trPr/>
        <w:tc>
          <w:tcPr>
            <w:tcW w:w="2655" w:type="dxa"/>
            <w:tcBorders/>
            <w:shd w:fill="CCEE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Direct operating costs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9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283.6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393.6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7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441.1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888"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3.8</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1,114.5</w:t>
            </w:r>
          </w:p>
        </w:tc>
      </w:tr>
      <w:tr>
        <w:trPr/>
        <w:tc>
          <w:tcPr>
            <w:tcW w:w="2655" w:type="dxa"/>
            <w:tcBorders/>
            <w:shd w:fill="FFFF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9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66.2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49.2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7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163.4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288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312.7</w:t>
            </w:r>
          </w:p>
        </w:tc>
      </w:tr>
      <w:tr>
        <w:trPr/>
        <w:tc>
          <w:tcPr>
            <w:tcW w:w="2655" w:type="dxa"/>
            <w:tcBorders/>
            <w:shd w:fill="CCEE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9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22.7</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7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103.4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88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151.3</w:t>
            </w:r>
          </w:p>
        </w:tc>
      </w:tr>
      <w:tr>
        <w:trPr/>
        <w:tc>
          <w:tcPr>
            <w:tcW w:w="2655" w:type="dxa"/>
            <w:tcBorders/>
            <w:shd w:fill="FFFF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Goodwill impairment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98"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72"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2888"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2" w:type="dxa"/>
            <w:tcBorders/>
            <w:shd w:fill="FFFFFF" w:val="clear"/>
            <w:vAlign w:val="center"/>
          </w:tcPr>
          <w:p>
            <w:pPr>
              <w:pStyle w:val="TableContents"/>
              <w:bidi w:val="0"/>
              <w:spacing w:before="0" w:after="0"/>
              <w:jc w:val="right"/>
              <w:rPr/>
            </w:pPr>
            <w:r>
              <w:rPr/>
              <w:t>—</w:t>
            </w:r>
          </w:p>
        </w:tc>
      </w:tr>
      <w:tr>
        <w:trPr/>
        <w:tc>
          <w:tcPr>
            <w:tcW w:w="2655" w:type="dxa"/>
            <w:tcBorders/>
            <w:shd w:fill="CCEE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9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48.7</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72"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14.0</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88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66.4</w:t>
            </w:r>
          </w:p>
        </w:tc>
      </w:tr>
      <w:tr>
        <w:trPr/>
        <w:tc>
          <w:tcPr>
            <w:tcW w:w="2655" w:type="dxa"/>
            <w:tcBorders/>
            <w:shd w:fill="FFFFFF" w:val="clear"/>
            <w:vAlign w:val="center"/>
          </w:tcPr>
          <w:p>
            <w:pPr>
              <w:pStyle w:val="TableContents"/>
              <w:bidi w:val="0"/>
              <w:spacing w:before="0" w:after="0"/>
              <w:ind w:left="280" w:right="0" w:hanging="0"/>
              <w:jc w:val="left"/>
              <w:rPr>
                <w:rFonts w:ascii="Times New Roman" w:hAnsi="Times New Roman"/>
                <w:sz w:val="20"/>
              </w:rPr>
            </w:pPr>
            <w:r>
              <w:rPr>
                <w:rFonts w:ascii="Times New Roman" w:hAnsi="Times New Roman"/>
                <w:sz w:val="20"/>
              </w:rPr>
              <w:t>Total 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98"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421.2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465.2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172"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721.9</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2888"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36.6</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982"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1,644.9</w:t>
            </w:r>
          </w:p>
        </w:tc>
      </w:tr>
      <w:tr>
        <w:trPr/>
        <w:tc>
          <w:tcPr>
            <w:tcW w:w="2655" w:type="dxa"/>
            <w:tcBorders/>
            <w:shd w:fill="CCEEFF" w:val="clear"/>
            <w:vAlign w:val="center"/>
          </w:tcPr>
          <w:p>
            <w:pPr>
              <w:pStyle w:val="TableContents"/>
              <w:bidi w:val="0"/>
              <w:spacing w:before="0" w:after="0"/>
              <w:ind w:left="440" w:right="0" w:hanging="0"/>
              <w:jc w:val="left"/>
              <w:rPr>
                <w:rFonts w:ascii="Times New Roman" w:hAnsi="Times New Roman"/>
                <w:sz w:val="20"/>
              </w:rPr>
            </w:pPr>
            <w:r>
              <w:rPr>
                <w:rFonts w:ascii="Times New Roman" w:hAnsi="Times New Roman"/>
                <w:sz w:val="20"/>
              </w:rPr>
              <w:t>Operating income (expense)</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101.4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52.8</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7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84.5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88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40.4</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198.3</w:t>
            </w:r>
          </w:p>
        </w:tc>
      </w:tr>
    </w:tbl>
    <w:p>
      <w:pPr>
        <w:pStyle w:val="TextBody"/>
        <w:bidi w:val="0"/>
        <w:spacing w:before="200" w:after="0"/>
        <w:jc w:val="left"/>
        <w:rPr>
          <w:rFonts w:ascii="Times New Roman" w:hAnsi="Times New Roman"/>
          <w:sz w:val="20"/>
        </w:rPr>
      </w:pPr>
      <w:r>
        <w:rPr>
          <w:rFonts w:ascii="Times New Roman" w:hAnsi="Times New Roman"/>
          <w:sz w:val="20"/>
        </w:rPr>
        <w:t>The following table presents the Company's total assets by reportable segment:</w:t>
      </w:r>
    </w:p>
    <w:p>
      <w:pPr>
        <w:pStyle w:val="TextBody"/>
        <w:bidi w:val="0"/>
        <w:spacing w:lineRule="atLeast" w:line="240" w:before="0" w:after="0"/>
        <w:jc w:val="left"/>
        <w:rPr/>
      </w:pPr>
      <w:r>
        <w:rPr/>
        <w:t> </w:t>
      </w:r>
    </w:p>
    <w:tbl>
      <w:tblPr>
        <w:tblW w:w="6385" w:type="dxa"/>
        <w:jc w:val="left"/>
        <w:tblInd w:w="0" w:type="dxa"/>
        <w:tblLayout w:type="fixed"/>
        <w:tblCellMar>
          <w:top w:w="0" w:type="dxa"/>
          <w:left w:w="0" w:type="dxa"/>
          <w:bottom w:w="0" w:type="dxa"/>
          <w:right w:w="0" w:type="dxa"/>
        </w:tblCellMar>
      </w:tblPr>
      <w:tblGrid>
        <w:gridCol w:w="3545"/>
        <w:gridCol w:w="60"/>
        <w:gridCol w:w="125"/>
        <w:gridCol w:w="1040"/>
        <w:gridCol w:w="60"/>
        <w:gridCol w:w="125"/>
        <w:gridCol w:w="1430"/>
      </w:tblGrid>
      <w:tr>
        <w:trPr/>
        <w:tc>
          <w:tcPr>
            <w:tcW w:w="3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655"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 Assets as of</w:t>
            </w:r>
          </w:p>
        </w:tc>
      </w:tr>
      <w:tr>
        <w:trPr/>
        <w:tc>
          <w:tcPr>
            <w:tcW w:w="354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4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June 30, 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3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2024</w:t>
            </w:r>
          </w:p>
        </w:tc>
      </w:tr>
      <w:tr>
        <w:trPr/>
        <w:tc>
          <w:tcPr>
            <w:tcW w:w="354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EFT Processing</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3,288.3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2,762.2</w:t>
            </w:r>
          </w:p>
        </w:tc>
      </w:tr>
      <w:tr>
        <w:trPr/>
        <w:tc>
          <w:tcPr>
            <w:tcW w:w="35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epay</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923.8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1,073.7</w:t>
            </w:r>
          </w:p>
        </w:tc>
      </w:tr>
      <w:tr>
        <w:trPr/>
        <w:tc>
          <w:tcPr>
            <w:tcW w:w="3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Money Transfer</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2,008.9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1,745.5</w:t>
            </w:r>
          </w:p>
        </w:tc>
      </w:tr>
      <w:tr>
        <w:trPr/>
        <w:tc>
          <w:tcPr>
            <w:tcW w:w="35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Corporate Services, Eliminations and Other</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333.9</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253.1</w:t>
            </w:r>
          </w:p>
        </w:tc>
      </w:tr>
      <w:tr>
        <w:trPr/>
        <w:tc>
          <w:tcPr>
            <w:tcW w:w="3545" w:type="dxa"/>
            <w:tcBorders/>
            <w:shd w:fill="CCEEFF" w:val="clear"/>
            <w:vAlign w:val="center"/>
          </w:tcPr>
          <w:p>
            <w:pPr>
              <w:pStyle w:val="TableContents"/>
              <w:bidi w:val="0"/>
              <w:spacing w:before="0" w:after="0"/>
              <w:jc w:val="left"/>
              <w:rPr/>
            </w:pPr>
            <w:r>
              <w:rPr/>
              <w:t>   </w:t>
            </w:r>
            <w:r>
              <w:rPr>
                <w:rFonts w:ascii="Times New Roman" w:hAnsi="Times New Roman"/>
                <w:sz w:val="20"/>
              </w:rPr>
              <w:t>Total</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6,554.9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5,834.5</w:t>
            </w:r>
          </w:p>
        </w:tc>
      </w:tr>
    </w:tbl>
    <w:p>
      <w:pPr>
        <w:pStyle w:val="TextBody"/>
        <w:bidi w:val="0"/>
        <w:spacing w:lineRule="atLeast" w:line="220"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 </w:t>
      </w:r>
    </w:p>
    <w:p>
      <w:pPr>
        <w:pStyle w:val="TextBody"/>
        <w:bidi w:val="0"/>
        <w:spacing w:before="0" w:after="0"/>
        <w:jc w:val="both"/>
        <w:rPr/>
      </w:pPr>
      <w:r>
        <w:rPr/>
        <w:t> </w:t>
      </w:r>
    </w:p>
    <w:tbl>
      <w:tblPr>
        <w:tblW w:w="9685" w:type="dxa"/>
        <w:jc w:val="left"/>
        <w:tblInd w:w="0" w:type="dxa"/>
        <w:tblLayout w:type="fixed"/>
        <w:tblCellMar>
          <w:top w:w="0" w:type="dxa"/>
          <w:left w:w="0" w:type="dxa"/>
          <w:bottom w:w="0" w:type="dxa"/>
          <w:right w:w="0" w:type="dxa"/>
        </w:tblCellMar>
      </w:tblPr>
      <w:tblGrid>
        <w:gridCol w:w="1220"/>
        <w:gridCol w:w="60"/>
        <w:gridCol w:w="125"/>
        <w:gridCol w:w="1145"/>
        <w:gridCol w:w="60"/>
        <w:gridCol w:w="125"/>
        <w:gridCol w:w="485"/>
        <w:gridCol w:w="60"/>
        <w:gridCol w:w="125"/>
        <w:gridCol w:w="1190"/>
        <w:gridCol w:w="60"/>
        <w:gridCol w:w="125"/>
        <w:gridCol w:w="635"/>
        <w:gridCol w:w="60"/>
        <w:gridCol w:w="60"/>
        <w:gridCol w:w="125"/>
        <w:gridCol w:w="1145"/>
        <w:gridCol w:w="60"/>
        <w:gridCol w:w="125"/>
        <w:gridCol w:w="485"/>
        <w:gridCol w:w="60"/>
        <w:gridCol w:w="125"/>
        <w:gridCol w:w="1190"/>
        <w:gridCol w:w="60"/>
        <w:gridCol w:w="125"/>
        <w:gridCol w:w="650"/>
      </w:tblGrid>
      <w:tr>
        <w:trPr/>
        <w:tc>
          <w:tcPr>
            <w:tcW w:w="12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4010" w:type="dxa"/>
            <w:gridSpan w:val="10"/>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 2025</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4025" w:type="dxa"/>
            <w:gridSpan w:val="10"/>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 2025</w:t>
            </w:r>
          </w:p>
        </w:tc>
      </w:tr>
      <w:tr>
        <w:trPr/>
        <w:tc>
          <w:tcPr>
            <w:tcW w:w="122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EFT Processing</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9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Money Transfer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3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EFT Processing</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9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Money Transfer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5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122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253.5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189.3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201.7</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644.5</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403.1</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362.6</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379.1</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1,144.8</w:t>
            </w:r>
          </w:p>
        </w:tc>
      </w:tr>
      <w:tr>
        <w:trPr/>
        <w:tc>
          <w:tcPr>
            <w:tcW w:w="12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North America</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43.1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9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205.0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268.3</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9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395.8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522.1</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Asia Pacific</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33.7</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125.2</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112.9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74.7</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66.3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253.9</w:t>
            </w:r>
          </w:p>
        </w:tc>
      </w:tr>
      <w:tr>
        <w:trPr/>
        <w:tc>
          <w:tcPr>
            <w:tcW w:w="12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9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38.5</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9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73.3</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Eliminations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2.2</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4.3</w:t>
            </w:r>
            <w:r>
              <w:rPr>
                <w:rFonts w:ascii="Times New Roman" w:hAnsi="Times New Roman"/>
                <w:sz w:val="20"/>
              </w:rPr>
              <w:t>)</w:t>
            </w:r>
          </w:p>
        </w:tc>
      </w:tr>
      <w:tr>
        <w:trPr/>
        <w:tc>
          <w:tcPr>
            <w:tcW w:w="1220" w:type="dxa"/>
            <w:tcBorders/>
            <w:shd w:fill="FFFF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338.5</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280.1</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457.9</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1,074.3</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571.0</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547.5</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875.6</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1,989.8</w:t>
            </w:r>
          </w:p>
        </w:tc>
      </w:tr>
    </w:tbl>
    <w:p>
      <w:pPr>
        <w:pStyle w:val="TextBody"/>
        <w:bidi w:val="0"/>
        <w:spacing w:before="0" w:after="0"/>
        <w:jc w:val="left"/>
        <w:rPr/>
      </w:pPr>
      <w:r>
        <w:rPr/>
        <w:t> </w:t>
      </w:r>
    </w:p>
    <w:tbl>
      <w:tblPr>
        <w:tblW w:w="9535" w:type="dxa"/>
        <w:jc w:val="left"/>
        <w:tblInd w:w="0" w:type="dxa"/>
        <w:tblLayout w:type="fixed"/>
        <w:tblCellMar>
          <w:top w:w="0" w:type="dxa"/>
          <w:left w:w="0" w:type="dxa"/>
          <w:bottom w:w="0" w:type="dxa"/>
          <w:right w:w="0" w:type="dxa"/>
        </w:tblCellMar>
      </w:tblPr>
      <w:tblGrid>
        <w:gridCol w:w="1220"/>
        <w:gridCol w:w="60"/>
        <w:gridCol w:w="125"/>
        <w:gridCol w:w="1145"/>
        <w:gridCol w:w="60"/>
        <w:gridCol w:w="125"/>
        <w:gridCol w:w="485"/>
        <w:gridCol w:w="60"/>
        <w:gridCol w:w="125"/>
        <w:gridCol w:w="1190"/>
        <w:gridCol w:w="60"/>
        <w:gridCol w:w="125"/>
        <w:gridCol w:w="485"/>
        <w:gridCol w:w="60"/>
        <w:gridCol w:w="60"/>
        <w:gridCol w:w="125"/>
        <w:gridCol w:w="1145"/>
        <w:gridCol w:w="60"/>
        <w:gridCol w:w="125"/>
        <w:gridCol w:w="485"/>
        <w:gridCol w:w="60"/>
        <w:gridCol w:w="125"/>
        <w:gridCol w:w="1190"/>
        <w:gridCol w:w="60"/>
        <w:gridCol w:w="125"/>
        <w:gridCol w:w="650"/>
      </w:tblGrid>
      <w:tr>
        <w:trPr/>
        <w:tc>
          <w:tcPr>
            <w:tcW w:w="12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3860" w:type="dxa"/>
            <w:gridSpan w:val="10"/>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 2024</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4025" w:type="dxa"/>
            <w:gridSpan w:val="10"/>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 2024</w:t>
            </w:r>
          </w:p>
        </w:tc>
      </w:tr>
      <w:tr>
        <w:trPr/>
        <w:tc>
          <w:tcPr>
            <w:tcW w:w="122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EFT Processing</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9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Money Transfer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EFT Processing</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9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Money Transfer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5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122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230.2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161.5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173.4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565.1</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377.3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328.1</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334.5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1,039.9</w:t>
            </w:r>
          </w:p>
        </w:tc>
      </w:tr>
      <w:tr>
        <w:trPr/>
        <w:tc>
          <w:tcPr>
            <w:tcW w:w="12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North America</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48.6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9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199.1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266.0</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92.9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9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376.1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505.1</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Asia Pacific</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123.4</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102.2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70.6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62.6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235.4</w:t>
            </w:r>
          </w:p>
        </w:tc>
      </w:tr>
      <w:tr>
        <w:trPr/>
        <w:tc>
          <w:tcPr>
            <w:tcW w:w="12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9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33.6</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9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66.6</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Eliminations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1.9</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3.8</w:t>
            </w:r>
            <w:r>
              <w:rPr>
                <w:rFonts w:ascii="Times New Roman" w:hAnsi="Times New Roman"/>
                <w:sz w:val="20"/>
              </w:rPr>
              <w:t>)</w:t>
            </w:r>
          </w:p>
        </w:tc>
      </w:tr>
      <w:tr>
        <w:trPr/>
        <w:tc>
          <w:tcPr>
            <w:tcW w:w="1220" w:type="dxa"/>
            <w:tcBorders/>
            <w:shd w:fill="FFFF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305.4</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260.9</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421.8</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986.2</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522.6</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518.0</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806.4</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1,843.2</w:t>
            </w:r>
          </w:p>
        </w:tc>
      </w:tr>
    </w:tbl>
    <w:p>
      <w:pPr>
        <w:pStyle w:val="TextBody"/>
        <w:bidi w:val="0"/>
        <w:spacing w:lineRule="atLeast" w:line="22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sz w:val="24"/>
        </w:rPr>
      </w:pPr>
      <w:r>
        <w:rPr>
          <w:rFonts w:ascii="Times New Roman" w:hAnsi="Times New Roman"/>
          <w:b/>
          <w:sz w:val="20"/>
        </w:rPr>
        <w:t>(14)</w:t>
      </w:r>
      <w:r>
        <w:rPr>
          <w:rFonts w:ascii="Times New Roman" w:hAnsi="Times New Roman"/>
          <w:sz w:val="24"/>
        </w:rPr>
        <w:t> </w:t>
      </w:r>
      <w:r>
        <w:rPr>
          <w:rFonts w:ascii="Times New Roman" w:hAnsi="Times New Roman"/>
          <w:b/>
          <w:sz w:val="20"/>
        </w:rPr>
        <w:t>INCOME TAXES</w:t>
      </w:r>
    </w:p>
    <w:p>
      <w:pPr>
        <w:pStyle w:val="TextBody"/>
        <w:bidi w:val="0"/>
        <w:spacing w:lineRule="atLeast" w:line="264"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Company's effective income tax rate was</w:t>
      </w:r>
      <w:r>
        <w:rPr>
          <w:rFonts w:ascii="Times New Roman" w:hAnsi="Times New Roman"/>
          <w:sz w:val="24"/>
        </w:rPr>
        <w:t> </w:t>
      </w:r>
      <w:r>
        <w:rPr>
          <w:rFonts w:ascii="Times New Roman" w:hAnsi="Times New Roman"/>
          <w:sz w:val="20"/>
        </w:rPr>
        <w:t>25.5%</w:t>
      </w:r>
      <w:r>
        <w:rPr>
          <w:rFonts w:ascii="Times New Roman" w:hAnsi="Times New Roman"/>
          <w:sz w:val="24"/>
        </w:rPr>
        <w:t> </w:t>
      </w:r>
      <w:r>
        <w:rPr>
          <w:rFonts w:ascii="Times New Roman" w:hAnsi="Times New Roman"/>
          <w:sz w:val="20"/>
        </w:rPr>
        <w:t>and</w:t>
      </w:r>
      <w:r>
        <w:rPr>
          <w:rFonts w:ascii="Times New Roman" w:hAnsi="Times New Roman"/>
          <w:sz w:val="24"/>
        </w:rPr>
        <w:t> </w:t>
      </w:r>
      <w:r>
        <w:rPr>
          <w:rFonts w:ascii="Times New Roman" w:hAnsi="Times New Roman"/>
          <w:sz w:val="20"/>
        </w:rPr>
        <w:t>23.0% for the</w:t>
      </w:r>
      <w:r>
        <w:rPr>
          <w:rFonts w:ascii="Times New Roman" w:hAnsi="Times New Roman"/>
          <w:sz w:val="24"/>
        </w:rPr>
        <w:t> </w:t>
      </w:r>
      <w:r>
        <w:rPr>
          <w:rFonts w:ascii="Times New Roman" w:hAnsi="Times New Roman"/>
          <w:sz w:val="20"/>
        </w:rPr>
        <w:t>three and six months ended June 30, 2025</w:t>
      </w:r>
      <w:r>
        <w:rPr>
          <w:rFonts w:ascii="Times New Roman" w:hAnsi="Times New Roman"/>
          <w:sz w:val="24"/>
        </w:rPr>
        <w:t> </w:t>
      </w:r>
      <w:r>
        <w:rPr>
          <w:rFonts w:ascii="Times New Roman" w:hAnsi="Times New Roman"/>
          <w:sz w:val="20"/>
        </w:rPr>
        <w:t>respectively, compared to</w:t>
      </w:r>
      <w:r>
        <w:rPr>
          <w:rFonts w:ascii="Times New Roman" w:hAnsi="Times New Roman"/>
          <w:sz w:val="24"/>
        </w:rPr>
        <w:t> </w:t>
      </w:r>
      <w:r>
        <w:rPr>
          <w:rFonts w:ascii="Times New Roman" w:hAnsi="Times New Roman"/>
          <w:sz w:val="20"/>
        </w:rPr>
        <w:t>32.0% and</w:t>
      </w:r>
      <w:r>
        <w:rPr>
          <w:rFonts w:ascii="Times New Roman" w:hAnsi="Times New Roman"/>
          <w:sz w:val="24"/>
        </w:rPr>
        <w:t> </w:t>
      </w:r>
      <w:r>
        <w:rPr>
          <w:rFonts w:ascii="Times New Roman" w:hAnsi="Times New Roman"/>
          <w:sz w:val="20"/>
        </w:rPr>
        <w:t>33.5% for the three and six months ended June 30, 2024,</w:t>
      </w:r>
      <w:r>
        <w:rPr>
          <w:rFonts w:ascii="Times New Roman" w:hAnsi="Times New Roman"/>
          <w:sz w:val="24"/>
        </w:rPr>
        <w:t> </w:t>
      </w:r>
      <w:r>
        <w:rPr>
          <w:rFonts w:ascii="Times New Roman" w:hAnsi="Times New Roman"/>
          <w:sz w:val="20"/>
        </w:rPr>
        <w:t>respectively.</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Company's effective income tax rate for the</w:t>
      </w:r>
      <w:r>
        <w:rPr>
          <w:rFonts w:ascii="Times New Roman" w:hAnsi="Times New Roman"/>
          <w:sz w:val="24"/>
        </w:rPr>
        <w:t> </w:t>
      </w:r>
      <w:r>
        <w:rPr>
          <w:rFonts w:ascii="Times New Roman" w:hAnsi="Times New Roman"/>
          <w:sz w:val="20"/>
        </w:rPr>
        <w:t>three and six months ended June 30, 2025</w:t>
      </w:r>
      <w:r>
        <w:rPr>
          <w:rFonts w:ascii="Times New Roman" w:hAnsi="Times New Roman"/>
          <w:sz w:val="24"/>
        </w:rPr>
        <w:t xml:space="preserve"> </w:t>
      </w:r>
      <w:r>
        <w:rPr>
          <w:rFonts w:ascii="Times New Roman" w:hAnsi="Times New Roman"/>
          <w:sz w:val="20"/>
        </w:rPr>
        <w:t>was higher than the applicable statutory income tax rate of 21% as a result of certain of its foreign earnings being subject to higher local statutory tax rates. The Company's effective income tax rate for the</w:t>
      </w:r>
      <w:r>
        <w:rPr>
          <w:rFonts w:ascii="Times New Roman" w:hAnsi="Times New Roman"/>
          <w:sz w:val="24"/>
        </w:rPr>
        <w:t> </w:t>
      </w:r>
      <w:r>
        <w:rPr>
          <w:rFonts w:ascii="Times New Roman" w:hAnsi="Times New Roman"/>
          <w:sz w:val="20"/>
        </w:rPr>
        <w:t>three and six months ended June 30, 2024</w:t>
      </w:r>
      <w:r>
        <w:rPr>
          <w:rFonts w:ascii="Times New Roman" w:hAnsi="Times New Roman"/>
          <w:sz w:val="24"/>
        </w:rPr>
        <w:t> </w:t>
      </w:r>
      <w:r>
        <w:rPr>
          <w:rFonts w:ascii="Times New Roman" w:hAnsi="Times New Roman"/>
          <w:sz w:val="20"/>
        </w:rPr>
        <w:t>was higher than the applicable statutory income tax rate of 21% mainly as a result of certain foreign earnings being subject to higher local statutory tax rates and our U.S. deferred tax activity.</w:t>
      </w:r>
      <w:r>
        <w:rPr>
          <w:rFonts w:ascii="Times New Roman" w:hAnsi="Times New Roman"/>
          <w:sz w:val="24"/>
        </w:rPr>
        <w:t> </w:t>
      </w:r>
    </w:p>
    <w:p>
      <w:pPr>
        <w:pStyle w:val="TextBody"/>
        <w:bidi w:val="0"/>
        <w:spacing w:lineRule="atLeast" w:line="240"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The Organization for Economic Co-operation and Development (“OECD”) Pillar 2 guidelines published to date include transition and safe harbor rules around the implementation of the Pillar 2 global minimum tax of 15%. Based on current enacted legislation effective in 2025, the Company does not expect a material impact in 2025. The Company is monitoring developments and evaluating the impact these new rules will have on its future income tax provision and effective income tax rate.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(15)</w:t>
      </w:r>
      <w:r>
        <w:rPr>
          <w:rFonts w:ascii="Times New Roman" w:hAnsi="Times New Roman"/>
          <w:sz w:val="20"/>
        </w:rPr>
        <w:t> </w:t>
      </w:r>
      <w:r>
        <w:rPr>
          <w:rFonts w:ascii="Times New Roman" w:hAnsi="Times New Roman"/>
          <w:b/>
          <w:sz w:val="20"/>
        </w:rPr>
        <w:t>COMMITMENTS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As of June 30, 2025, the Company had $78.8 million of stand-by letters of credit/bank guarantees issued on the Company's behalf, of which $1.7 million are collateralized by cash deposits held by the respective issuing banks.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Under certain circumstances, the Company grants guarantees in support of obligations of subsidiaries. As of June 30, 2025, the Company had granted off balance sheet guarantees for cash in various ATM networks amounting to $11.8 million over the terms of the cash supply agreements and performance guarantees amounting to approximately $43.4 million over the terms of agreements with the Company's customers. </w:t>
      </w:r>
    </w:p>
    <w:p>
      <w:pPr>
        <w:pStyle w:val="TextBody"/>
        <w:bidi w:val="0"/>
        <w:spacing w:before="0" w:after="0"/>
        <w:jc w:val="both"/>
        <w:rPr/>
      </w:pPr>
      <w:r>
        <w:rPr/>
        <w:t> </w:t>
      </w:r>
    </w:p>
    <w:p>
      <w:pPr>
        <w:pStyle w:val="TextBody"/>
        <w:pBdr/>
        <w:bidi w:val="0"/>
        <w:spacing w:before="0" w:after="0"/>
        <w:jc w:val="both"/>
        <w:rPr>
          <w:rFonts w:ascii="Times New Roman" w:hAnsi="Times New Roman"/>
          <w:sz w:val="20"/>
        </w:rPr>
      </w:pPr>
      <w:r>
        <w:rPr>
          <w:rFonts w:ascii="Times New Roman" w:hAnsi="Times New Roman"/>
          <w:sz w:val="20"/>
        </w:rPr>
        <w:t xml:space="preserve">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The Company's liability under such indemnification provisions may be mitigated by relevant insurance coverage and may be subject to time and materiality limitations, monetary caps and other conditions and defenses. Such indemnification obligations include the following:  </w:t>
      </w:r>
    </w:p>
    <w:p>
      <w:pPr>
        <w:pStyle w:val="TextBody"/>
        <w:bidi w:val="0"/>
        <w:spacing w:before="200" w:after="0"/>
        <w:ind w:left="720" w:right="0" w:hanging="192"/>
        <w:jc w:val="both"/>
        <w:rPr/>
      </w:pPr>
      <w:r>
        <w:rPr/>
        <w:t></w:t>
      </w:r>
      <w:r>
        <w:rPr>
          <w:caps w:val="false"/>
          <w:smallCaps w:val="false"/>
        </w:rPr>
        <w:t xml:space="preserve">   </w:t>
      </w:r>
      <w:r>
        <w:rPr>
          <w:rFonts w:ascii="Times New Roman" w:hAnsi="Times New Roman"/>
          <w:sz w:val="20"/>
        </w:rPr>
        <w:t>In connection with contracts with financial institutions in the EFT Processing Segment, the Company is responsible for managing the damage to ATMs and theft of ATM network cash. As of June 30, 2025, the balance of such cash used in the Company's ATM networks for which the Company was responsible was approximately $584.2 million. The Company and suppliers maintain insurance policies to mitigate this exposure; </w:t>
      </w:r>
    </w:p>
    <w:p>
      <w:pPr>
        <w:pStyle w:val="TextBody"/>
        <w:bidi w:val="0"/>
        <w:spacing w:before="0" w:after="0"/>
        <w:ind w:left="720" w:right="0" w:hanging="192"/>
        <w:jc w:val="both"/>
        <w:rPr/>
      </w:pPr>
      <w:r>
        <w:rPr/>
        <w:t></w:t>
      </w:r>
      <w:r>
        <w:rPr>
          <w:caps w:val="false"/>
          <w:smallCaps w:val="false"/>
        </w:rPr>
        <w:t xml:space="preserve">   </w:t>
      </w:r>
      <w:r>
        <w:rPr>
          <w:rFonts w:ascii="Times New Roman" w:hAnsi="Times New Roman"/>
          <w:sz w:val="20"/>
        </w:rPr>
        <w:t>In connection with contracts with financial institutions in the EFT Processing Segment, the Company is responsible for losses suffered by the Company's customers and other parties as a result of the breach of the Company's computer systems, including in particular, losses arising from fraudulent transactions made using information stolen through the Company's processing systems. The Company maintains insurance policies to mitigate this exposure;</w:t>
      </w:r>
    </w:p>
    <w:p>
      <w:pPr>
        <w:pStyle w:val="TextBody"/>
        <w:bidi w:val="0"/>
        <w:spacing w:before="0" w:after="0"/>
        <w:ind w:left="720" w:right="0" w:hanging="192"/>
        <w:jc w:val="both"/>
        <w:rPr/>
      </w:pPr>
      <w:r>
        <w:rPr/>
        <w:t></w:t>
      </w:r>
      <w:r>
        <w:rPr>
          <w:caps w:val="false"/>
          <w:smallCaps w:val="false"/>
        </w:rPr>
        <w:t xml:space="preserve">   </w:t>
      </w:r>
      <w:r>
        <w:rPr>
          <w:rFonts w:ascii="Times New Roman" w:hAnsi="Times New Roman"/>
          <w:sz w:val="20"/>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pStyle w:val="TextBody"/>
        <w:bidi w:val="0"/>
        <w:spacing w:before="0" w:after="0"/>
        <w:ind w:left="720" w:right="0" w:hanging="192"/>
        <w:jc w:val="both"/>
        <w:rPr/>
      </w:pPr>
      <w:r>
        <w:rPr/>
        <w:t></w:t>
      </w:r>
      <w:r>
        <w:rPr>
          <w:caps w:val="false"/>
          <w:smallCaps w:val="false"/>
        </w:rPr>
        <w:t xml:space="preserve">   </w:t>
      </w:r>
      <w:r>
        <w:rPr>
          <w:rFonts w:ascii="Times New Roman" w:hAnsi="Times New Roman"/>
          <w:sz w:val="20"/>
        </w:rPr>
        <w:t>The Company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pStyle w:val="TextBody"/>
        <w:bidi w:val="0"/>
        <w:spacing w:before="0" w:after="0"/>
        <w:ind w:left="720" w:right="0" w:hanging="192"/>
        <w:jc w:val="both"/>
        <w:rPr/>
      </w:pPr>
      <w:r>
        <w:rPr/>
        <w:t></w:t>
      </w:r>
      <w:r>
        <w:rPr>
          <w:caps w:val="false"/>
          <w:smallCaps w:val="false"/>
        </w:rPr>
        <w:t xml:space="preserve">   </w:t>
      </w:r>
      <w:r>
        <w:rPr>
          <w:rFonts w:ascii="Times New Roman" w:hAnsi="Times New Roman"/>
          <w:sz w:val="20"/>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the Company, the Company has agreed to indemnify the seller against third party claims made against the seller relating to the operating unit or asset and arising after the closing of the transaction, and (ii) in connection with dispositions made by the Company, the Company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pStyle w:val="TextBody"/>
        <w:bidi w:val="0"/>
        <w:spacing w:before="0" w:after="200"/>
        <w:ind w:left="720" w:right="0" w:hanging="192"/>
        <w:jc w:val="both"/>
        <w:rPr/>
      </w:pPr>
      <w:r>
        <w:rPr/>
        <w:t></w:t>
      </w:r>
      <w:r>
        <w:rPr>
          <w:caps w:val="false"/>
          <w:smallCaps w:val="false"/>
        </w:rPr>
        <w:t xml:space="preserve">   </w:t>
      </w:r>
      <w:r>
        <w:rPr>
          <w:rFonts w:ascii="Times New Roman" w:hAnsi="Times New Roman"/>
          <w:sz w:val="20"/>
        </w:rPr>
        <w:t>The Company has entered into agreements with certain third parties, including banks that provide fiduciary and other services to the Company or the Company's benefit plans. Under such agreements, the Company has agreed to indemnify such service providers for third-party claims relating to carrying out their respective duties under such agreements.</w:t>
      </w:r>
    </w:p>
    <w:p>
      <w:pPr>
        <w:pStyle w:val="TextBody"/>
        <w:bidi w:val="0"/>
        <w:spacing w:before="0" w:after="0"/>
        <w:jc w:val="both"/>
        <w:rPr>
          <w:rFonts w:ascii="Times New Roman" w:hAnsi="Times New Roman"/>
          <w:sz w:val="20"/>
        </w:rPr>
      </w:pPr>
      <w:r>
        <w:rPr>
          <w:rFonts w:ascii="Times New Roman" w:hAnsi="Times New Roman"/>
          <w:sz w:val="20"/>
        </w:rPr>
        <w:t>The Company is also required to meet minimum capitalization and cash requirements of various regulatory authorities in the jurisdictions in which the Company has operations. The Company has obtained surety bonds in compliance with money transfer licensing requirements of the applicable governmental authorities.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To date, the Company is not aware of any significant claims made by the indemnified parties or third parties to guarantee agreements with the Company and, accordingly, no liabilities were recorded as of June 30, 2025 or December 31, 2024.</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sz w:val="24"/>
        </w:rPr>
      </w:pPr>
      <w:r>
        <w:rPr>
          <w:rFonts w:ascii="Times New Roman" w:hAnsi="Times New Roman"/>
          <w:b/>
          <w:sz w:val="20"/>
        </w:rPr>
        <w:t>(16)</w:t>
      </w:r>
      <w:r>
        <w:rPr>
          <w:rFonts w:ascii="Times New Roman" w:hAnsi="Times New Roman"/>
          <w:sz w:val="24"/>
        </w:rPr>
        <w:t> </w:t>
      </w:r>
      <w:r>
        <w:rPr>
          <w:rFonts w:ascii="Times New Roman" w:hAnsi="Times New Roman"/>
          <w:b/>
          <w:sz w:val="20"/>
        </w:rPr>
        <w:t>LITIGATION AND CONTINGENCIES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sz w:val="20"/>
        </w:rPr>
      </w:pPr>
      <w:r>
        <w:rPr>
          <w:rFonts w:ascii="Times New Roman" w:hAnsi="Times New Roman"/>
          <w:b/>
          <w:sz w:val="20"/>
        </w:rPr>
        <w:t>Litigation and contingencies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From time to time, the Company is a party to legal or regulatory proceedings arising in the ordinary course of the Company's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During July 2024, the Company received an adverse judicial decision related to withholding taxes on certain agency relationships in Italy within the Money Transfer Segment, which the Company has appealed.</w:t>
      </w:r>
      <w:r>
        <w:rPr>
          <w:rFonts w:ascii="Times New Roman" w:hAnsi="Times New Roman"/>
          <w:sz w:val="24"/>
        </w:rPr>
        <w:t> </w:t>
      </w:r>
      <w:r>
        <w:rPr>
          <w:rFonts w:ascii="Times New Roman" w:hAnsi="Times New Roman"/>
          <w:sz w:val="20"/>
        </w:rPr>
        <w:t>In January 2025, the Company received a positive judicial decision in the same court related to the same issue but corresponding to a different taxable period. The Company completed an assessment and concluded that it is reasonably possible that</w:t>
      </w:r>
      <w:r>
        <w:rPr>
          <w:rFonts w:ascii="Times New Roman" w:hAnsi="Times New Roman"/>
          <w:sz w:val="24"/>
        </w:rPr>
        <w:t> </w:t>
      </w:r>
      <w:r>
        <w:rPr>
          <w:rFonts w:ascii="Times New Roman" w:hAnsi="Times New Roman"/>
          <w:sz w:val="20"/>
        </w:rPr>
        <w:t>a liability has been incurred, but not probable.</w:t>
      </w:r>
      <w:r>
        <w:rPr>
          <w:rFonts w:ascii="Times New Roman" w:hAnsi="Times New Roman"/>
          <w:sz w:val="24"/>
        </w:rPr>
        <w:t> </w:t>
      </w:r>
      <w:r>
        <w:rPr>
          <w:rFonts w:ascii="Times New Roman" w:hAnsi="Times New Roman"/>
          <w:sz w:val="20"/>
        </w:rPr>
        <w:t>The principal amount of the agent-based withholding tax could be approximately $16.5</w:t>
      </w:r>
      <w:r>
        <w:rPr>
          <w:rFonts w:ascii="Times New Roman" w:hAnsi="Times New Roman"/>
          <w:sz w:val="24"/>
        </w:rPr>
        <w:t> </w:t>
      </w:r>
      <w:r>
        <w:rPr>
          <w:rFonts w:ascii="Times New Roman" w:hAnsi="Times New Roman"/>
          <w:sz w:val="20"/>
        </w:rPr>
        <w:t>million for all open periods.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In March 2025, the Company was notified of a fire, resulting in the loss of Malaysian Ringgit notes in the custody of a third-party service provider. The third-party service provider had the risk of loss based on the terms of the contractual arrangement. The bank note balance of approximately $10</w:t>
      </w:r>
      <w:r>
        <w:rPr>
          <w:rFonts w:ascii="Times New Roman" w:hAnsi="Times New Roman"/>
          <w:sz w:val="24"/>
        </w:rPr>
        <w:t xml:space="preserve"> </w:t>
      </w:r>
      <w:r>
        <w:rPr>
          <w:rFonts w:ascii="Times New Roman" w:hAnsi="Times New Roman"/>
          <w:sz w:val="20"/>
        </w:rPr>
        <w:t xml:space="preserve">million was moved to other receivables as of June 30, 2025. At this time the Company has determined that it is probable the bank notes will be recovered from the third-party service provider.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sz w:val="20"/>
        </w:rPr>
      </w:pPr>
      <w:r>
        <w:rPr>
          <w:rFonts w:ascii="Times New Roman" w:hAnsi="Times New Roman"/>
          <w:b/>
          <w:sz w:val="20"/>
        </w:rPr>
        <w:t>Subsequent events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On July 30, 2025, Euronet entered into a definitive agreement (the “Merger Agreement”) to acquire</w:t>
      </w:r>
      <w:r>
        <w:rPr>
          <w:rFonts w:ascii="Times New Roman" w:hAnsi="Times New Roman"/>
          <w:sz w:val="24"/>
        </w:rPr>
        <w:t> </w:t>
      </w:r>
      <w:r>
        <w:rPr>
          <w:rFonts w:ascii="Times New Roman" w:hAnsi="Times New Roman"/>
          <w:sz w:val="20"/>
        </w:rPr>
        <w:t>CoreCard</w:t>
      </w:r>
      <w:r>
        <w:rPr>
          <w:rFonts w:ascii="Times New Roman" w:hAnsi="Times New Roman"/>
          <w:sz w:val="24"/>
        </w:rPr>
        <w:t> </w:t>
      </w:r>
      <w:r>
        <w:rPr>
          <w:rFonts w:ascii="Times New Roman" w:hAnsi="Times New Roman"/>
          <w:sz w:val="20"/>
        </w:rPr>
        <w:t>in a stock-for-stock merger transaction that values</w:t>
      </w:r>
      <w:r>
        <w:rPr>
          <w:rFonts w:ascii="Times New Roman" w:hAnsi="Times New Roman"/>
          <w:sz w:val="24"/>
        </w:rPr>
        <w:t> </w:t>
      </w:r>
      <w:r>
        <w:rPr>
          <w:rFonts w:ascii="Times New Roman" w:hAnsi="Times New Roman"/>
          <w:sz w:val="20"/>
        </w:rPr>
        <w:t>CoreCard</w:t>
      </w:r>
      <w:r>
        <w:rPr>
          <w:rFonts w:ascii="Times New Roman" w:hAnsi="Times New Roman"/>
          <w:sz w:val="24"/>
        </w:rPr>
        <w:t> </w:t>
      </w:r>
      <w:r>
        <w:rPr>
          <w:rFonts w:ascii="Times New Roman" w:hAnsi="Times New Roman"/>
          <w:sz w:val="20"/>
        </w:rPr>
        <w:t>at approximately</w:t>
      </w:r>
      <w:r>
        <w:rPr>
          <w:rFonts w:ascii="Times New Roman" w:hAnsi="Times New Roman"/>
          <w:sz w:val="24"/>
        </w:rPr>
        <w:t> </w:t>
      </w:r>
      <w:r>
        <w:rPr>
          <w:rFonts w:ascii="Times New Roman" w:hAnsi="Times New Roman"/>
          <w:sz w:val="20"/>
        </w:rPr>
        <w:t>$248</w:t>
      </w:r>
      <w:r>
        <w:rPr>
          <w:rFonts w:ascii="Times New Roman" w:hAnsi="Times New Roman"/>
          <w:sz w:val="24"/>
        </w:rPr>
        <w:t xml:space="preserve"> </w:t>
      </w:r>
      <w:r>
        <w:rPr>
          <w:rFonts w:ascii="Times New Roman" w:hAnsi="Times New Roman"/>
          <w:sz w:val="20"/>
        </w:rPr>
        <w:t>million, or</w:t>
      </w:r>
      <w:r>
        <w:rPr>
          <w:rFonts w:ascii="Times New Roman" w:hAnsi="Times New Roman"/>
          <w:sz w:val="24"/>
        </w:rPr>
        <w:t> </w:t>
      </w:r>
      <w:r>
        <w:rPr>
          <w:rFonts w:ascii="Times New Roman" w:hAnsi="Times New Roman"/>
          <w:sz w:val="20"/>
        </w:rPr>
        <w:t>$30</w:t>
      </w:r>
      <w:r>
        <w:rPr>
          <w:rFonts w:ascii="Times New Roman" w:hAnsi="Times New Roman"/>
          <w:sz w:val="24"/>
        </w:rPr>
        <w:t> </w:t>
      </w:r>
      <w:r>
        <w:rPr>
          <w:rFonts w:ascii="Times New Roman" w:hAnsi="Times New Roman"/>
          <w:sz w:val="20"/>
        </w:rPr>
        <w:t>per share of</w:t>
      </w:r>
      <w:r>
        <w:rPr>
          <w:rFonts w:ascii="Times New Roman" w:hAnsi="Times New Roman"/>
          <w:sz w:val="24"/>
        </w:rPr>
        <w:t> </w:t>
      </w:r>
      <w:r>
        <w:rPr>
          <w:rFonts w:ascii="Times New Roman" w:hAnsi="Times New Roman"/>
          <w:sz w:val="20"/>
        </w:rPr>
        <w:t>CoreCard</w:t>
      </w:r>
      <w:r>
        <w:rPr>
          <w:rFonts w:ascii="Times New Roman" w:hAnsi="Times New Roman"/>
          <w:sz w:val="24"/>
        </w:rPr>
        <w:t> </w:t>
      </w:r>
      <w:r>
        <w:rPr>
          <w:rFonts w:ascii="Times New Roman" w:hAnsi="Times New Roman"/>
          <w:sz w:val="20"/>
        </w:rPr>
        <w:t>common stock.</w:t>
      </w:r>
      <w:r>
        <w:rPr>
          <w:rFonts w:ascii="Times New Roman" w:hAnsi="Times New Roman"/>
          <w:sz w:val="24"/>
        </w:rPr>
        <w:t xml:space="preserve">  </w:t>
      </w:r>
      <w:r>
        <w:rPr>
          <w:rFonts w:ascii="Times New Roman" w:hAnsi="Times New Roman"/>
          <w:sz w:val="20"/>
        </w:rPr>
        <w:t xml:space="preserve">CoreCard is a publicly traded financial technology company based in Norcross, Georgia. </w:t>
      </w:r>
      <w:r>
        <w:rPr>
          <w:rFonts w:ascii="Times New Roman" w:hAnsi="Times New Roman"/>
          <w:sz w:val="24"/>
        </w:rPr>
        <w:t> </w:t>
      </w:r>
      <w:r>
        <w:rPr>
          <w:rFonts w:ascii="Times New Roman" w:hAnsi="Times New Roman"/>
          <w:sz w:val="20"/>
        </w:rPr>
        <w:t>CoreCard specializes in providing technology solutions and processing services.</w:t>
      </w:r>
      <w:r>
        <w:rPr>
          <w:rFonts w:ascii="Times New Roman" w:hAnsi="Times New Roman"/>
          <w:sz w:val="24"/>
        </w:rPr>
        <w:t xml:space="preserve">  </w:t>
      </w:r>
      <w:r>
        <w:rPr>
          <w:rFonts w:ascii="Times New Roman" w:hAnsi="Times New Roman"/>
          <w:sz w:val="20"/>
        </w:rPr>
        <w:t>The transaction has been approved by the boards of directors of both</w:t>
      </w:r>
      <w:r>
        <w:rPr>
          <w:rFonts w:ascii="Times New Roman" w:hAnsi="Times New Roman"/>
          <w:sz w:val="24"/>
        </w:rPr>
        <w:t> </w:t>
      </w:r>
      <w:r>
        <w:rPr>
          <w:rFonts w:ascii="Times New Roman" w:hAnsi="Times New Roman"/>
          <w:sz w:val="20"/>
        </w:rPr>
        <w:t>Euronet</w:t>
      </w:r>
      <w:r>
        <w:rPr>
          <w:rFonts w:ascii="Times New Roman" w:hAnsi="Times New Roman"/>
          <w:sz w:val="24"/>
        </w:rPr>
        <w:t> </w:t>
      </w:r>
      <w:r>
        <w:rPr>
          <w:rFonts w:ascii="Times New Roman" w:hAnsi="Times New Roman"/>
          <w:sz w:val="20"/>
        </w:rPr>
        <w:t>and</w:t>
      </w:r>
      <w:r>
        <w:rPr>
          <w:rFonts w:ascii="Times New Roman" w:hAnsi="Times New Roman"/>
          <w:sz w:val="24"/>
        </w:rPr>
        <w:t> </w:t>
      </w:r>
      <w:r>
        <w:rPr>
          <w:rFonts w:ascii="Times New Roman" w:hAnsi="Times New Roman"/>
          <w:sz w:val="20"/>
        </w:rPr>
        <w:t>CoreCard, and is expected to close in</w:t>
      </w:r>
      <w:r>
        <w:rPr>
          <w:rFonts w:ascii="Times New Roman" w:hAnsi="Times New Roman"/>
          <w:sz w:val="24"/>
        </w:rPr>
        <w:t> </w:t>
      </w:r>
      <w:r>
        <w:rPr>
          <w:rFonts w:ascii="Times New Roman" w:hAnsi="Times New Roman"/>
          <w:sz w:val="20"/>
        </w:rPr>
        <w:t>late 2025, subject to approval by</w:t>
      </w:r>
      <w:r>
        <w:rPr>
          <w:rFonts w:ascii="Times New Roman" w:hAnsi="Times New Roman"/>
          <w:sz w:val="24"/>
        </w:rPr>
        <w:t> </w:t>
      </w:r>
      <w:r>
        <w:rPr>
          <w:rFonts w:ascii="Times New Roman" w:hAnsi="Times New Roman"/>
          <w:sz w:val="20"/>
        </w:rPr>
        <w:t>CoreCard</w:t>
      </w:r>
      <w:r>
        <w:rPr>
          <w:rFonts w:ascii="Times New Roman" w:hAnsi="Times New Roman"/>
          <w:sz w:val="24"/>
        </w:rPr>
        <w:t> </w:t>
      </w:r>
      <w:r>
        <w:rPr>
          <w:rFonts w:ascii="Times New Roman" w:hAnsi="Times New Roman"/>
          <w:sz w:val="20"/>
        </w:rPr>
        <w:t>shareholders and the satisfaction of certain other customary closing conditions, including the expiration or termination of the applicable waiting period under the Hart-Scott-Rodino Antitrust Improvements Act of 1976.</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Under the terms of the merger agreement, each share of</w:t>
      </w:r>
      <w:r>
        <w:rPr>
          <w:rFonts w:ascii="Times New Roman" w:hAnsi="Times New Roman"/>
          <w:sz w:val="24"/>
        </w:rPr>
        <w:t> </w:t>
      </w:r>
      <w:r>
        <w:rPr>
          <w:rFonts w:ascii="Times New Roman" w:hAnsi="Times New Roman"/>
          <w:sz w:val="20"/>
        </w:rPr>
        <w:t>CoreCard</w:t>
      </w:r>
      <w:r>
        <w:rPr>
          <w:rFonts w:ascii="Times New Roman" w:hAnsi="Times New Roman"/>
          <w:sz w:val="24"/>
        </w:rPr>
        <w:t> </w:t>
      </w:r>
      <w:r>
        <w:rPr>
          <w:rFonts w:ascii="Times New Roman" w:hAnsi="Times New Roman"/>
          <w:sz w:val="20"/>
        </w:rPr>
        <w:t>common stock will be exchanged for a number of shares of</w:t>
      </w:r>
      <w:r>
        <w:rPr>
          <w:rFonts w:ascii="Times New Roman" w:hAnsi="Times New Roman"/>
          <w:sz w:val="24"/>
        </w:rPr>
        <w:t> </w:t>
      </w:r>
      <w:r>
        <w:rPr>
          <w:rFonts w:ascii="Times New Roman" w:hAnsi="Times New Roman"/>
          <w:sz w:val="20"/>
        </w:rPr>
        <w:t>Euronet</w:t>
      </w:r>
      <w:r>
        <w:rPr>
          <w:rFonts w:ascii="Times New Roman" w:hAnsi="Times New Roman"/>
          <w:sz w:val="24"/>
        </w:rPr>
        <w:t> </w:t>
      </w:r>
      <w:r>
        <w:rPr>
          <w:rFonts w:ascii="Times New Roman" w:hAnsi="Times New Roman"/>
          <w:sz w:val="20"/>
        </w:rPr>
        <w:t>common stock equal to an exchange ratio between 0.2783 and 0.3142, calculated as</w:t>
      </w:r>
      <w:r>
        <w:rPr>
          <w:rFonts w:ascii="Times New Roman" w:hAnsi="Times New Roman"/>
          <w:sz w:val="24"/>
        </w:rPr>
        <w:t> </w:t>
      </w:r>
      <w:r>
        <w:rPr>
          <w:rFonts w:ascii="Times New Roman" w:hAnsi="Times New Roman"/>
          <w:sz w:val="20"/>
        </w:rPr>
        <w:t>$30</w:t>
      </w:r>
      <w:r>
        <w:rPr>
          <w:rFonts w:ascii="Times New Roman" w:hAnsi="Times New Roman"/>
          <w:sz w:val="24"/>
        </w:rPr>
        <w:t> </w:t>
      </w:r>
      <w:r>
        <w:rPr>
          <w:rFonts w:ascii="Times New Roman" w:hAnsi="Times New Roman"/>
          <w:sz w:val="20"/>
        </w:rPr>
        <w:t>divided by the volume weighted average share price of</w:t>
      </w:r>
      <w:r>
        <w:rPr>
          <w:rFonts w:ascii="Times New Roman" w:hAnsi="Times New Roman"/>
          <w:sz w:val="24"/>
        </w:rPr>
        <w:t> </w:t>
      </w:r>
      <w:r>
        <w:rPr>
          <w:rFonts w:ascii="Times New Roman" w:hAnsi="Times New Roman"/>
          <w:sz w:val="20"/>
        </w:rPr>
        <w:t>Euronet</w:t>
      </w:r>
      <w:r>
        <w:rPr>
          <w:rFonts w:ascii="Times New Roman" w:hAnsi="Times New Roman"/>
          <w:sz w:val="24"/>
        </w:rPr>
        <w:t> </w:t>
      </w:r>
      <w:r>
        <w:rPr>
          <w:rFonts w:ascii="Times New Roman" w:hAnsi="Times New Roman"/>
          <w:sz w:val="20"/>
        </w:rPr>
        <w:t>common stock over the 15-trading day period ending on and including the second to last trading day prior to the closing date (the “Final Euronet Stock Price”), subject to a floor of</w:t>
      </w:r>
      <w:r>
        <w:rPr>
          <w:rFonts w:ascii="Times New Roman" w:hAnsi="Times New Roman"/>
          <w:sz w:val="24"/>
        </w:rPr>
        <w:t> </w:t>
      </w:r>
      <w:r>
        <w:rPr>
          <w:rFonts w:ascii="Times New Roman" w:hAnsi="Times New Roman"/>
          <w:sz w:val="20"/>
        </w:rPr>
        <w:t>$95.48</w:t>
      </w:r>
      <w:r>
        <w:rPr>
          <w:rFonts w:ascii="Times New Roman" w:hAnsi="Times New Roman"/>
          <w:sz w:val="24"/>
        </w:rPr>
        <w:t> </w:t>
      </w:r>
      <w:r>
        <w:rPr>
          <w:rFonts w:ascii="Times New Roman" w:hAnsi="Times New Roman"/>
          <w:sz w:val="20"/>
        </w:rPr>
        <w:t>per share and a ceiling of</w:t>
      </w:r>
      <w:r>
        <w:rPr>
          <w:rFonts w:ascii="Times New Roman" w:hAnsi="Times New Roman"/>
          <w:sz w:val="24"/>
        </w:rPr>
        <w:t> </w:t>
      </w:r>
      <w:r>
        <w:rPr>
          <w:rFonts w:ascii="Times New Roman" w:hAnsi="Times New Roman"/>
          <w:sz w:val="20"/>
        </w:rPr>
        <w:t>$107.80</w:t>
      </w:r>
      <w:r>
        <w:rPr>
          <w:rFonts w:ascii="Times New Roman" w:hAnsi="Times New Roman"/>
          <w:sz w:val="24"/>
        </w:rPr>
        <w:t> </w:t>
      </w:r>
      <w:r>
        <w:rPr>
          <w:rFonts w:ascii="Times New Roman" w:hAnsi="Times New Roman"/>
          <w:sz w:val="20"/>
        </w:rPr>
        <w:t>per share.</w:t>
      </w:r>
      <w:r>
        <w:rPr>
          <w:rFonts w:ascii="Times New Roman" w:hAnsi="Times New Roman"/>
          <w:sz w:val="24"/>
        </w:rPr>
        <w:t> </w:t>
      </w:r>
      <w:r>
        <w:rPr>
          <w:rFonts w:ascii="Times New Roman" w:hAnsi="Times New Roman"/>
          <w:sz w:val="20"/>
        </w:rPr>
        <w:t>CoreCard</w:t>
      </w:r>
      <w:r>
        <w:rPr>
          <w:rFonts w:ascii="Times New Roman" w:hAnsi="Times New Roman"/>
          <w:sz w:val="24"/>
        </w:rPr>
        <w:t> </w:t>
      </w:r>
      <w:r>
        <w:rPr>
          <w:rFonts w:ascii="Times New Roman" w:hAnsi="Times New Roman"/>
          <w:sz w:val="20"/>
        </w:rPr>
        <w:t>shareholders will receive 0.3142</w:t>
      </w:r>
      <w:r>
        <w:rPr>
          <w:rFonts w:ascii="Times New Roman" w:hAnsi="Times New Roman"/>
          <w:sz w:val="24"/>
        </w:rPr>
        <w:t> </w:t>
      </w:r>
      <w:r>
        <w:rPr>
          <w:rFonts w:ascii="Times New Roman" w:hAnsi="Times New Roman"/>
          <w:sz w:val="20"/>
        </w:rPr>
        <w:t>Euronet</w:t>
      </w:r>
      <w:r>
        <w:rPr>
          <w:rFonts w:ascii="Times New Roman" w:hAnsi="Times New Roman"/>
          <w:sz w:val="24"/>
        </w:rPr>
        <w:t> </w:t>
      </w:r>
      <w:r>
        <w:rPr>
          <w:rFonts w:ascii="Times New Roman" w:hAnsi="Times New Roman"/>
          <w:sz w:val="20"/>
        </w:rPr>
        <w:t>shares for each of their</w:t>
      </w:r>
      <w:r>
        <w:rPr>
          <w:rFonts w:ascii="Times New Roman" w:hAnsi="Times New Roman"/>
          <w:sz w:val="24"/>
        </w:rPr>
        <w:t> </w:t>
      </w:r>
      <w:r>
        <w:rPr>
          <w:rFonts w:ascii="Times New Roman" w:hAnsi="Times New Roman"/>
          <w:sz w:val="20"/>
        </w:rPr>
        <w:t>CoreCard</w:t>
      </w:r>
      <w:r>
        <w:rPr>
          <w:rFonts w:ascii="Times New Roman" w:hAnsi="Times New Roman"/>
          <w:sz w:val="24"/>
        </w:rPr>
        <w:t> </w:t>
      </w:r>
      <w:r>
        <w:rPr>
          <w:rFonts w:ascii="Times New Roman" w:hAnsi="Times New Roman"/>
          <w:sz w:val="20"/>
        </w:rPr>
        <w:t>shares if the Final Euronet Stock Price is at or below</w:t>
      </w:r>
      <w:r>
        <w:rPr>
          <w:rFonts w:ascii="Times New Roman" w:hAnsi="Times New Roman"/>
          <w:sz w:val="24"/>
        </w:rPr>
        <w:t> </w:t>
      </w:r>
      <w:r>
        <w:rPr>
          <w:rFonts w:ascii="Times New Roman" w:hAnsi="Times New Roman"/>
          <w:sz w:val="20"/>
        </w:rPr>
        <w:t>$95.48, and 0.2783</w:t>
      </w:r>
      <w:r>
        <w:rPr>
          <w:rFonts w:ascii="Times New Roman" w:hAnsi="Times New Roman"/>
          <w:sz w:val="24"/>
        </w:rPr>
        <w:t> </w:t>
      </w:r>
      <w:r>
        <w:rPr>
          <w:rFonts w:ascii="Times New Roman" w:hAnsi="Times New Roman"/>
          <w:sz w:val="20"/>
        </w:rPr>
        <w:t>Euronet</w:t>
      </w:r>
      <w:r>
        <w:rPr>
          <w:rFonts w:ascii="Times New Roman" w:hAnsi="Times New Roman"/>
          <w:sz w:val="24"/>
        </w:rPr>
        <w:t> </w:t>
      </w:r>
      <w:r>
        <w:rPr>
          <w:rFonts w:ascii="Times New Roman" w:hAnsi="Times New Roman"/>
          <w:sz w:val="20"/>
        </w:rPr>
        <w:t>shares for each of their</w:t>
      </w:r>
      <w:r>
        <w:rPr>
          <w:rFonts w:ascii="Times New Roman" w:hAnsi="Times New Roman"/>
          <w:sz w:val="24"/>
        </w:rPr>
        <w:t> </w:t>
      </w:r>
      <w:r>
        <w:rPr>
          <w:rFonts w:ascii="Times New Roman" w:hAnsi="Times New Roman"/>
          <w:sz w:val="20"/>
        </w:rPr>
        <w:t>CoreCard</w:t>
      </w:r>
      <w:r>
        <w:rPr>
          <w:rFonts w:ascii="Times New Roman" w:hAnsi="Times New Roman"/>
          <w:sz w:val="24"/>
        </w:rPr>
        <w:t> </w:t>
      </w:r>
      <w:r>
        <w:rPr>
          <w:rFonts w:ascii="Times New Roman" w:hAnsi="Times New Roman"/>
          <w:sz w:val="20"/>
        </w:rPr>
        <w:t>shares if the Final Euronet Stock Price is at or above</w:t>
      </w:r>
      <w:r>
        <w:rPr>
          <w:rFonts w:ascii="Times New Roman" w:hAnsi="Times New Roman"/>
          <w:sz w:val="24"/>
        </w:rPr>
        <w:t> </w:t>
      </w:r>
      <w:r>
        <w:rPr>
          <w:rFonts w:ascii="Times New Roman" w:hAnsi="Times New Roman"/>
          <w:sz w:val="20"/>
        </w:rPr>
        <w:t>$107.80.</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Additional information regarding the CoreCard acquisition is contained in the Company’s Form 8-K that was filed with the SEC on July 31, 2025.</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r>
        <w:br w:type="page"/>
      </w:r>
    </w:p>
    <w:p>
      <w:pPr>
        <w:pStyle w:val="TextBody"/>
        <w:bidi w:val="0"/>
        <w:spacing w:lineRule="atLeast" w:line="240" w:before="0" w:after="0"/>
        <w:jc w:val="left"/>
        <w:rPr>
          <w:rFonts w:ascii="Times New Roman" w:hAnsi="Times New Roman"/>
          <w:sz w:val="24"/>
        </w:rPr>
      </w:pPr>
      <w:r>
        <w:rPr>
          <w:rFonts w:ascii="Times New Roman" w:hAnsi="Times New Roman"/>
          <w:b/>
          <w:sz w:val="20"/>
        </w:rPr>
        <w:t>(17)</w:t>
      </w:r>
      <w:r>
        <w:rPr>
          <w:rFonts w:ascii="Times New Roman" w:hAnsi="Times New Roman"/>
          <w:sz w:val="24"/>
        </w:rPr>
        <w:t> </w:t>
      </w:r>
      <w:r>
        <w:rPr>
          <w:rFonts w:ascii="Times New Roman" w:hAnsi="Times New Roman"/>
          <w:b/>
          <w:sz w:val="20"/>
        </w:rPr>
        <w:t>LEASES</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Company enters into operating leases for ATM sites, office spaces, retail stores and equipment. The Company's finance leases are immaterial. Right of use (ROU) assets and lease liabilities are recognized at the lease commencement date based on the present value of the lease payments over the lease terms.</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present value of lease payments is determined using the incremental borrowing rate based on information available at the lease commencement date. The Company recognizes lease expense for these leases on a straight-line basis over the lease term.</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Since the Company is not reasonably certain not to exercise termination options, payments for ATM site leases with termination options subject to the short-term lease exemption are expensed in the period incurred and corresponding leases are excluded from the right of use lease asset and lease</w:t>
      </w:r>
      <w:r>
        <w:rPr>
          <w:rFonts w:ascii="Times New Roman" w:hAnsi="Times New Roman"/>
          <w:sz w:val="24"/>
        </w:rPr>
        <w:t> </w:t>
      </w:r>
      <w:r>
        <w:rPr>
          <w:rFonts w:ascii="Times New Roman" w:hAnsi="Times New Roman"/>
          <w:sz w:val="20"/>
        </w:rPr>
        <w:t>liability balances. 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Future minimum lease payments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Future minimum lease payments under non-cancelable operating leases (with initial lease terms in excess of one year) as of</w:t>
      </w:r>
      <w:r>
        <w:rPr>
          <w:rFonts w:ascii="Times New Roman" w:hAnsi="Times New Roman"/>
          <w:sz w:val="24"/>
        </w:rPr>
        <w:t> </w:t>
      </w:r>
      <w:r>
        <w:rPr>
          <w:rFonts w:ascii="Times New Roman" w:hAnsi="Times New Roman"/>
          <w:sz w:val="20"/>
        </w:rPr>
        <w:t>June 30, 2025</w:t>
      </w:r>
      <w:r>
        <w:rPr>
          <w:rFonts w:ascii="Times New Roman" w:hAnsi="Times New Roman"/>
          <w:sz w:val="24"/>
        </w:rPr>
        <w:t> </w:t>
      </w:r>
      <w:r>
        <w:rPr>
          <w:rFonts w:ascii="Times New Roman" w:hAnsi="Times New Roman"/>
          <w:sz w:val="20"/>
        </w:rPr>
        <w:t>are:</w:t>
      </w:r>
    </w:p>
    <w:p>
      <w:pPr>
        <w:pStyle w:val="TextBody"/>
        <w:bidi w:val="0"/>
        <w:spacing w:lineRule="atLeast" w:line="240" w:before="0" w:after="0"/>
        <w:jc w:val="both"/>
        <w:rPr/>
      </w:pPr>
      <w:r>
        <w:rPr/>
        <w:t> </w:t>
      </w:r>
    </w:p>
    <w:tbl>
      <w:tblPr>
        <w:tblW w:w="4620" w:type="dxa"/>
        <w:jc w:val="left"/>
        <w:tblInd w:w="0" w:type="dxa"/>
        <w:tblLayout w:type="fixed"/>
        <w:tblCellMar>
          <w:top w:w="0" w:type="dxa"/>
          <w:left w:w="0" w:type="dxa"/>
          <w:bottom w:w="0" w:type="dxa"/>
          <w:right w:w="0" w:type="dxa"/>
        </w:tblCellMar>
      </w:tblPr>
      <w:tblGrid>
        <w:gridCol w:w="2885"/>
        <w:gridCol w:w="125"/>
        <w:gridCol w:w="1535"/>
        <w:gridCol w:w="75"/>
      </w:tblGrid>
      <w:tr>
        <w:trPr/>
        <w:tc>
          <w:tcPr>
            <w:tcW w:w="2885" w:type="dxa"/>
            <w:tcBorders/>
            <w:vAlign w:val="center"/>
          </w:tcPr>
          <w:p>
            <w:pPr>
              <w:pStyle w:val="TableContents"/>
              <w:bidi w:val="0"/>
              <w:spacing w:before="0" w:after="0"/>
              <w:jc w:val="left"/>
              <w:rPr/>
            </w:pPr>
            <w:r>
              <w:rPr/>
              <w:t> </w:t>
            </w:r>
          </w:p>
        </w:tc>
        <w:tc>
          <w:tcPr>
            <w:tcW w:w="125" w:type="dxa"/>
            <w:tcBorders>
              <w:bottom w:val="single" w:sz="6" w:space="0" w:color="000000"/>
            </w:tcBorders>
            <w:tcMar>
              <w:bottom w:w="28" w:type="dxa"/>
            </w:tcMar>
            <w:vAlign w:val="center"/>
          </w:tcPr>
          <w:p>
            <w:pPr>
              <w:pStyle w:val="TableContents"/>
              <w:bidi w:val="0"/>
              <w:spacing w:before="0" w:after="0"/>
              <w:jc w:val="left"/>
              <w:rPr/>
            </w:pPr>
            <w:r>
              <w:rPr/>
              <w:t> </w:t>
            </w:r>
          </w:p>
        </w:tc>
        <w:tc>
          <w:tcPr>
            <w:tcW w:w="1535" w:type="dxa"/>
            <w:tcBorders>
              <w:bottom w:val="single" w:sz="6"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 June 30, 2025</w:t>
            </w:r>
          </w:p>
        </w:tc>
        <w:tc>
          <w:tcPr>
            <w:tcW w:w="75" w:type="dxa"/>
            <w:tcBorders>
              <w:bottom w:val="single" w:sz="6" w:space="0" w:color="000000"/>
            </w:tcBorders>
            <w:tcMar>
              <w:bottom w:w="28" w:type="dxa"/>
            </w:tcMar>
            <w:vAlign w:val="center"/>
          </w:tcPr>
          <w:p>
            <w:pPr>
              <w:pStyle w:val="TableContents"/>
              <w:bidi w:val="0"/>
              <w:spacing w:before="0" w:after="0"/>
              <w:jc w:val="left"/>
              <w:rPr/>
            </w:pPr>
            <w:r>
              <w:rPr/>
              <w:t> </w:t>
            </w:r>
          </w:p>
        </w:tc>
      </w:tr>
      <w:tr>
        <w:trPr/>
        <w:tc>
          <w:tcPr>
            <w:tcW w:w="2885"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Maturity of Lease Liabilities (in millions)</w:t>
            </w:r>
          </w:p>
        </w:tc>
        <w:tc>
          <w:tcPr>
            <w:tcW w:w="125"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tc>
        <w:tc>
          <w:tcPr>
            <w:tcW w:w="1535" w:type="dxa"/>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Operating Leases (1)</w:t>
            </w:r>
          </w:p>
        </w:tc>
        <w:tc>
          <w:tcPr>
            <w:tcW w:w="75"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tc>
      </w:tr>
      <w:tr>
        <w:trPr/>
        <w:tc>
          <w:tcPr>
            <w:tcW w:w="2885" w:type="dxa"/>
            <w:tcBorders>
              <w:top w:val="sing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Remainder of 2025</w:t>
            </w:r>
          </w:p>
        </w:tc>
        <w:tc>
          <w:tcPr>
            <w:tcW w:w="125" w:type="dxa"/>
            <w:tcBorders>
              <w:top w:val="sing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35"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27.6</w:t>
            </w:r>
          </w:p>
        </w:tc>
        <w:tc>
          <w:tcPr>
            <w:tcW w:w="75"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r>
      <w:tr>
        <w:trPr/>
        <w:tc>
          <w:tcPr>
            <w:tcW w:w="28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5" w:type="dxa"/>
            <w:tcBorders/>
            <w:shd w:fill="FFFFFF" w:val="clear"/>
            <w:vAlign w:val="center"/>
          </w:tcPr>
          <w:p>
            <w:pPr>
              <w:pStyle w:val="TableContents"/>
              <w:bidi w:val="0"/>
              <w:spacing w:before="0" w:after="0"/>
              <w:jc w:val="left"/>
              <w:rPr/>
            </w:pPr>
            <w:r>
              <w:rPr/>
              <w:t> </w:t>
            </w:r>
          </w:p>
        </w:tc>
        <w:tc>
          <w:tcPr>
            <w:tcW w:w="15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44.3</w:t>
            </w:r>
          </w:p>
        </w:tc>
        <w:tc>
          <w:tcPr>
            <w:tcW w:w="75" w:type="dxa"/>
            <w:tcBorders/>
            <w:shd w:fill="FFFFFF" w:val="clear"/>
            <w:vAlign w:val="center"/>
          </w:tcPr>
          <w:p>
            <w:pPr>
              <w:pStyle w:val="TableContents"/>
              <w:bidi w:val="0"/>
              <w:spacing w:before="0" w:after="0"/>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5"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31.6</w:t>
            </w:r>
          </w:p>
        </w:tc>
        <w:tc>
          <w:tcPr>
            <w:tcW w:w="75" w:type="dxa"/>
            <w:tcBorders/>
            <w:shd w:fill="CCEEFF" w:val="clear"/>
            <w:vAlign w:val="center"/>
          </w:tcPr>
          <w:p>
            <w:pPr>
              <w:pStyle w:val="TableContents"/>
              <w:bidi w:val="0"/>
              <w:spacing w:before="0" w:after="0"/>
              <w:jc w:val="left"/>
              <w:rPr/>
            </w:pPr>
            <w:r>
              <w:rPr/>
              <w:t> </w:t>
            </w:r>
          </w:p>
        </w:tc>
      </w:tr>
      <w:tr>
        <w:trPr/>
        <w:tc>
          <w:tcPr>
            <w:tcW w:w="28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5" w:type="dxa"/>
            <w:tcBorders/>
            <w:shd w:fill="FFFFFF" w:val="clear"/>
            <w:vAlign w:val="center"/>
          </w:tcPr>
          <w:p>
            <w:pPr>
              <w:pStyle w:val="TableContents"/>
              <w:bidi w:val="0"/>
              <w:spacing w:before="0" w:after="0"/>
              <w:jc w:val="left"/>
              <w:rPr/>
            </w:pPr>
            <w:r>
              <w:rPr/>
              <w:t> </w:t>
            </w:r>
          </w:p>
        </w:tc>
        <w:tc>
          <w:tcPr>
            <w:tcW w:w="15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20.3</w:t>
            </w:r>
          </w:p>
        </w:tc>
        <w:tc>
          <w:tcPr>
            <w:tcW w:w="75" w:type="dxa"/>
            <w:tcBorders/>
            <w:shd w:fill="FFFFFF" w:val="clear"/>
            <w:vAlign w:val="center"/>
          </w:tcPr>
          <w:p>
            <w:pPr>
              <w:pStyle w:val="TableContents"/>
              <w:bidi w:val="0"/>
              <w:spacing w:before="0" w:after="0"/>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125"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13.7</w:t>
            </w:r>
          </w:p>
        </w:tc>
        <w:tc>
          <w:tcPr>
            <w:tcW w:w="75" w:type="dxa"/>
            <w:tcBorders/>
            <w:shd w:fill="CCEEFF" w:val="clear"/>
            <w:vAlign w:val="center"/>
          </w:tcPr>
          <w:p>
            <w:pPr>
              <w:pStyle w:val="TableContents"/>
              <w:bidi w:val="0"/>
              <w:spacing w:before="0" w:after="0"/>
              <w:jc w:val="left"/>
              <w:rPr/>
            </w:pPr>
            <w:r>
              <w:rPr/>
              <w:t> </w:t>
            </w:r>
          </w:p>
        </w:tc>
      </w:tr>
      <w:tr>
        <w:trPr/>
        <w:tc>
          <w:tcPr>
            <w:tcW w:w="28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53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26.2</w:t>
            </w:r>
          </w:p>
        </w:tc>
        <w:tc>
          <w:tcPr>
            <w:tcW w:w="7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3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163.6</w:t>
            </w:r>
          </w:p>
        </w:tc>
        <w:tc>
          <w:tcPr>
            <w:tcW w:w="7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28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535"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12.7</w:t>
            </w:r>
            <w:r>
              <w:rPr>
                <w:rFonts w:ascii="Times New Roman" w:hAnsi="Times New Roman"/>
                <w:sz w:val="20"/>
              </w:rPr>
              <w:t>)</w:t>
            </w:r>
          </w:p>
        </w:tc>
        <w:tc>
          <w:tcPr>
            <w:tcW w:w="7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lease liabilities</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3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150.9</w:t>
            </w:r>
          </w:p>
        </w:tc>
        <w:tc>
          <w:tcPr>
            <w:tcW w:w="75" w:type="dxa"/>
            <w:tcBorders>
              <w:top w:val="single" w:sz="8" w:space="0" w:color="000000"/>
              <w:bottom w:val="single" w:sz="6" w:space="0" w:color="000000"/>
            </w:tcBorders>
            <w:shd w:fill="CCEEFF" w:val="clear"/>
            <w:tcMar>
              <w:top w:w="28" w:type="dxa"/>
              <w:bottom w:w="28" w:type="dxa"/>
            </w:tcMar>
            <w:vAlign w:val="center"/>
          </w:tcPr>
          <w:p>
            <w:pPr>
              <w:pStyle w:val="TableContents"/>
              <w:bidi w:val="0"/>
              <w:spacing w:before="0" w:after="0"/>
              <w:jc w:val="left"/>
              <w:rPr/>
            </w:pPr>
            <w:r>
              <w:rPr/>
              <w:t> </w:t>
            </w:r>
          </w:p>
        </w:tc>
      </w:tr>
    </w:tbl>
    <w:p>
      <w:pPr>
        <w:pStyle w:val="TextBody"/>
        <w:bidi w:val="0"/>
        <w:spacing w:lineRule="atLeast" w:line="240" w:before="0" w:after="0"/>
        <w:ind w:left="360" w:right="0" w:hanging="360"/>
        <w:jc w:val="both"/>
        <w:rPr/>
      </w:pPr>
      <w:r>
        <w:rPr/>
        <w:t> </w:t>
      </w:r>
    </w:p>
    <w:p>
      <w:pPr>
        <w:pStyle w:val="TextBody"/>
        <w:bidi w:val="0"/>
        <w:spacing w:lineRule="atLeast" w:line="240" w:before="0" w:after="0"/>
        <w:ind w:left="720" w:right="0" w:hanging="360"/>
        <w:jc w:val="both"/>
        <w:rPr>
          <w:rFonts w:ascii="Times New Roman" w:hAnsi="Times New Roman"/>
          <w:sz w:val="24"/>
        </w:rPr>
      </w:pPr>
      <w:r>
        <w:rPr>
          <w:rFonts w:ascii="Times New Roman" w:hAnsi="Times New Roman"/>
          <w:sz w:val="20"/>
        </w:rPr>
        <w:t>(1)</w:t>
      </w:r>
      <w:r>
        <w:rPr>
          <w:rFonts w:ascii="Times New Roman" w:hAnsi="Times New Roman"/>
          <w:sz w:val="24"/>
        </w:rPr>
        <w:t>  </w:t>
      </w:r>
      <w:r>
        <w:rPr>
          <w:rFonts w:ascii="Times New Roman" w:hAnsi="Times New Roman"/>
          <w:sz w:val="20"/>
        </w:rPr>
        <w:t>Operating lease payments reflect the Company's current fixed obligations under the operating lease agreements.</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sz w:val="24"/>
        </w:rPr>
      </w:pPr>
      <w:r>
        <w:rPr>
          <w:rFonts w:ascii="Times New Roman" w:hAnsi="Times New Roman"/>
          <w:sz w:val="20"/>
        </w:rPr>
        <w:t>Lease expense recognized in the Consolidated Statements of Income is summarized as follows:</w:t>
      </w:r>
      <w:r>
        <w:rPr>
          <w:rFonts w:ascii="Times New Roman" w:hAnsi="Times New Roman"/>
          <w:sz w:val="24"/>
        </w:rPr>
        <w:t> </w:t>
      </w:r>
    </w:p>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1305"/>
        <w:gridCol w:w="60"/>
        <w:gridCol w:w="2713"/>
        <w:gridCol w:w="60"/>
        <w:gridCol w:w="125"/>
        <w:gridCol w:w="1366"/>
        <w:gridCol w:w="60"/>
        <w:gridCol w:w="125"/>
        <w:gridCol w:w="1366"/>
        <w:gridCol w:w="60"/>
        <w:gridCol w:w="125"/>
        <w:gridCol w:w="1288"/>
        <w:gridCol w:w="60"/>
        <w:gridCol w:w="125"/>
        <w:gridCol w:w="1288"/>
        <w:gridCol w:w="79"/>
      </w:tblGrid>
      <w:tr>
        <w:trPr/>
        <w:tc>
          <w:tcPr>
            <w:tcW w:w="1305" w:type="dxa"/>
            <w:tcBorders>
              <w:bottom w:val="single" w:sz="8" w:space="0" w:color="00000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Lease Expense</w:t>
            </w:r>
          </w:p>
          <w:p>
            <w:pPr>
              <w:pStyle w:val="TableContents"/>
              <w:bidi w:val="0"/>
              <w:spacing w:before="0" w:after="0"/>
              <w:jc w:val="left"/>
              <w:rPr>
                <w:rFonts w:ascii="Times New Roman" w:hAnsi="Times New Roman"/>
                <w:i/>
                <w:sz w:val="16"/>
              </w:rPr>
            </w:pPr>
            <w:r>
              <w:rPr>
                <w:rFonts w:ascii="Times New Roman" w:hAnsi="Times New Roman"/>
                <w:i/>
                <w:sz w:val="16"/>
              </w:rPr>
              <w:t>(in millions)</w:t>
            </w:r>
          </w:p>
        </w:tc>
        <w:tc>
          <w:tcPr>
            <w:tcW w:w="60" w:type="dxa"/>
            <w:tcBorders>
              <w:bottom w:val="single" w:sz="6" w:space="0" w:color="000000"/>
            </w:tcBorders>
            <w:vAlign w:val="center"/>
          </w:tcPr>
          <w:p>
            <w:pPr>
              <w:pStyle w:val="TableContents"/>
              <w:bidi w:val="0"/>
              <w:spacing w:before="0" w:after="0"/>
              <w:jc w:val="left"/>
              <w:rPr/>
            </w:pPr>
            <w:r>
              <w:rPr/>
              <w:t> </w:t>
            </w:r>
          </w:p>
        </w:tc>
        <w:tc>
          <w:tcPr>
            <w:tcW w:w="2713"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Income Statement Classification</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366"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 2025</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366"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 2024</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288"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 2025</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6" w:space="0" w:color="000000"/>
            </w:tcBorders>
            <w:vAlign w:val="center"/>
          </w:tcPr>
          <w:p>
            <w:pPr>
              <w:pStyle w:val="TableContents"/>
              <w:bidi w:val="0"/>
              <w:spacing w:before="0" w:after="0"/>
              <w:jc w:val="left"/>
              <w:rPr/>
            </w:pPr>
            <w:r>
              <w:rPr/>
              <w:t> </w:t>
            </w:r>
          </w:p>
        </w:tc>
        <w:tc>
          <w:tcPr>
            <w:tcW w:w="1288"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 2024</w:t>
            </w:r>
          </w:p>
        </w:tc>
        <w:tc>
          <w:tcPr>
            <w:tcW w:w="79" w:type="dxa"/>
            <w:tcBorders/>
            <w:tcMar>
              <w:bottom w:w="0" w:type="dxa"/>
            </w:tcMar>
            <w:vAlign w:val="center"/>
          </w:tcPr>
          <w:p>
            <w:pPr>
              <w:pStyle w:val="TableContents"/>
              <w:bidi w:val="0"/>
              <w:spacing w:before="0" w:after="0"/>
              <w:jc w:val="left"/>
              <w:rPr/>
            </w:pPr>
            <w:r>
              <w:rPr/>
              <w:t> </w:t>
            </w:r>
          </w:p>
        </w:tc>
      </w:tr>
      <w:tr>
        <w:trPr/>
        <w:tc>
          <w:tcPr>
            <w:tcW w:w="130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expense</w:t>
            </w:r>
          </w:p>
        </w:tc>
        <w:tc>
          <w:tcPr>
            <w:tcW w:w="60" w:type="dxa"/>
            <w:tcBorders>
              <w:top w:val="single" w:sz="6" w:space="0" w:color="000000"/>
              <w:bottom w:val="single" w:sz="6" w:space="0" w:color="000000"/>
            </w:tcBorders>
            <w:shd w:fill="CCEEFF" w:val="clear"/>
            <w:tcMar>
              <w:top w:w="28" w:type="dxa"/>
            </w:tcMar>
            <w:vAlign w:val="center"/>
          </w:tcPr>
          <w:p>
            <w:pPr>
              <w:pStyle w:val="TableContents"/>
              <w:bidi w:val="0"/>
              <w:spacing w:before="0" w:after="0"/>
              <w:jc w:val="left"/>
              <w:rPr/>
            </w:pPr>
            <w:r>
              <w:rPr/>
              <w:t> </w:t>
            </w:r>
          </w:p>
        </w:tc>
        <w:tc>
          <w:tcPr>
            <w:tcW w:w="2713"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Selling, general and administrative and Direct operating costs</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66"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13.4</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366"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12.9</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288"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26.2</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6"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288"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25.5</w:t>
            </w:r>
          </w:p>
        </w:tc>
        <w:tc>
          <w:tcPr>
            <w:tcW w:w="79" w:type="dxa"/>
            <w:tcBorders/>
            <w:shd w:fill="CCEEFF" w:val="clear"/>
            <w:tcMar>
              <w:bottom w:w="0" w:type="dxa"/>
            </w:tcMar>
            <w:vAlign w:val="center"/>
          </w:tcPr>
          <w:p>
            <w:pPr>
              <w:pStyle w:val="TableContents"/>
              <w:bidi w:val="0"/>
              <w:spacing w:before="0" w:after="0"/>
              <w:jc w:val="left"/>
              <w:rPr/>
            </w:pPr>
            <w:r>
              <w:rPr/>
              <w:t> </w:t>
            </w:r>
          </w:p>
        </w:tc>
      </w:tr>
      <w:tr>
        <w:trPr/>
        <w:tc>
          <w:tcPr>
            <w:tcW w:w="130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Variable lease expense</w:t>
            </w:r>
          </w:p>
        </w:tc>
        <w:tc>
          <w:tcPr>
            <w:tcW w:w="60" w:type="dxa"/>
            <w:tcBorders>
              <w:top w:val="single" w:sz="6" w:space="0" w:color="000000"/>
              <w:bottom w:val="single" w:sz="6" w:space="0" w:color="000000"/>
            </w:tcBorders>
            <w:shd w:fill="FFFFFF" w:val="clear"/>
            <w:tcMar>
              <w:top w:w="28" w:type="dxa"/>
            </w:tcMar>
            <w:vAlign w:val="center"/>
          </w:tcPr>
          <w:p>
            <w:pPr>
              <w:pStyle w:val="TableContents"/>
              <w:bidi w:val="0"/>
              <w:spacing w:before="0" w:after="0"/>
              <w:jc w:val="left"/>
              <w:rPr/>
            </w:pPr>
            <w:r>
              <w:rPr/>
              <w:t> </w:t>
            </w:r>
          </w:p>
        </w:tc>
        <w:tc>
          <w:tcPr>
            <w:tcW w:w="2713"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Selling, general and administrative and Direct operating costs</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366"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49.2</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1366"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43.2</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1288"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87.3</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1288"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80.0</w:t>
            </w:r>
          </w:p>
        </w:tc>
        <w:tc>
          <w:tcPr>
            <w:tcW w:w="79" w:type="dxa"/>
            <w:tcBorders/>
            <w:shd w:fill="FFFFFF" w:val="clear"/>
            <w:tcMar>
              <w:bottom w:w="0" w:type="dxa"/>
            </w:tcMar>
            <w:vAlign w:val="center"/>
          </w:tcPr>
          <w:p>
            <w:pPr>
              <w:pStyle w:val="TableContents"/>
              <w:bidi w:val="0"/>
              <w:spacing w:before="0" w:after="0"/>
              <w:jc w:val="left"/>
              <w:rPr/>
            </w:pPr>
            <w:r>
              <w:rPr/>
              <w:t> </w:t>
            </w:r>
          </w:p>
        </w:tc>
      </w:tr>
      <w:tr>
        <w:trPr/>
        <w:tc>
          <w:tcPr>
            <w:tcW w:w="130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expense</w:t>
            </w:r>
          </w:p>
        </w:tc>
        <w:tc>
          <w:tcPr>
            <w:tcW w:w="60" w:type="dxa"/>
            <w:tcBorders>
              <w:top w:val="single" w:sz="6" w:space="0" w:color="000000"/>
              <w:bottom w:val="single" w:sz="6" w:space="0" w:color="000000"/>
            </w:tcBorders>
            <w:shd w:fill="CCEEFF" w:val="clear"/>
            <w:tcMar>
              <w:top w:w="28" w:type="dxa"/>
            </w:tcMar>
            <w:vAlign w:val="center"/>
          </w:tcPr>
          <w:p>
            <w:pPr>
              <w:pStyle w:val="TableContents"/>
              <w:bidi w:val="0"/>
              <w:spacing w:before="0" w:after="0"/>
              <w:jc w:val="left"/>
              <w:rPr/>
            </w:pPr>
            <w:r>
              <w:rPr/>
              <w:t> </w:t>
            </w:r>
          </w:p>
        </w:tc>
        <w:tc>
          <w:tcPr>
            <w:tcW w:w="2713"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66"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62.6</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366"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56.1</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288"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113.5</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288"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105.5</w:t>
            </w:r>
          </w:p>
        </w:tc>
        <w:tc>
          <w:tcPr>
            <w:tcW w:w="79" w:type="dxa"/>
            <w:tcBorders/>
            <w:shd w:fill="CCEEFF" w:val="clear"/>
            <w:tcMar>
              <w:bottom w:w="0" w:type="dxa"/>
            </w:tcMar>
            <w:vAlign w:val="center"/>
          </w:tcPr>
          <w:p>
            <w:pPr>
              <w:pStyle w:val="TableContents"/>
              <w:bidi w:val="0"/>
              <w:spacing w:before="0" w:after="0"/>
              <w:jc w:val="left"/>
              <w:rPr/>
            </w:pPr>
            <w:r>
              <w:rPr/>
              <w:t> </w:t>
            </w:r>
          </w:p>
        </w:tc>
      </w:tr>
    </w:tbl>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Other information about lease amounts recognized in the consolidated financial statements is summarized as follows:</w:t>
      </w:r>
      <w:r>
        <w:rPr>
          <w:rFonts w:ascii="Times New Roman" w:hAnsi="Times New Roman"/>
          <w:sz w:val="24"/>
        </w:rPr>
        <w:t> </w:t>
      </w:r>
    </w:p>
    <w:tbl>
      <w:tblPr>
        <w:tblW w:w="5904" w:type="dxa"/>
        <w:jc w:val="left"/>
        <w:tblInd w:w="0" w:type="dxa"/>
        <w:tblLayout w:type="fixed"/>
        <w:tblCellMar>
          <w:top w:w="0" w:type="dxa"/>
          <w:left w:w="0" w:type="dxa"/>
          <w:bottom w:w="0" w:type="dxa"/>
          <w:right w:w="0" w:type="dxa"/>
        </w:tblCellMar>
      </w:tblPr>
      <w:tblGrid>
        <w:gridCol w:w="4370"/>
        <w:gridCol w:w="60"/>
        <w:gridCol w:w="853"/>
        <w:gridCol w:w="621"/>
      </w:tblGrid>
      <w:tr>
        <w:trPr/>
        <w:tc>
          <w:tcPr>
            <w:tcW w:w="5904" w:type="dxa"/>
            <w:gridSpan w:val="4"/>
            <w:tcBorders/>
            <w:vAlign w:val="center"/>
          </w:tcPr>
          <w:p>
            <w:pPr>
              <w:pStyle w:val="TableContents"/>
              <w:bidi w:val="0"/>
              <w:spacing w:before="0" w:after="0"/>
              <w:jc w:val="left"/>
              <w:rPr/>
            </w:pPr>
            <w:r>
              <w:rPr/>
              <w:t> </w:t>
            </w:r>
          </w:p>
        </w:tc>
      </w:tr>
      <w:tr>
        <w:trPr/>
        <w:tc>
          <w:tcPr>
            <w:tcW w:w="437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Lease Term and Discount Rate of Operating Leases</w:t>
            </w:r>
          </w:p>
        </w:tc>
        <w:tc>
          <w:tcPr>
            <w:tcW w:w="60" w:type="dxa"/>
            <w:tcBorders/>
            <w:vAlign w:val="center"/>
          </w:tcPr>
          <w:p>
            <w:pPr>
              <w:pStyle w:val="TableContents"/>
              <w:bidi w:val="0"/>
              <w:spacing w:before="0" w:after="0"/>
              <w:jc w:val="left"/>
              <w:rPr/>
            </w:pPr>
            <w:r>
              <w:rPr/>
              <w:t> </w:t>
            </w:r>
          </w:p>
        </w:tc>
        <w:tc>
          <w:tcPr>
            <w:tcW w:w="1474" w:type="dxa"/>
            <w:gridSpan w:val="2"/>
            <w:tcBorders>
              <w:bottom w:val="single" w:sz="6"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 June 30, 2025</w:t>
            </w:r>
          </w:p>
        </w:tc>
      </w:tr>
      <w:tr>
        <w:trPr/>
        <w:tc>
          <w:tcPr>
            <w:tcW w:w="4370" w:type="dxa"/>
            <w:tcBorders>
              <w:top w:val="sing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(years)</w:t>
            </w:r>
          </w:p>
        </w:tc>
        <w:tc>
          <w:tcPr>
            <w:tcW w:w="60" w:type="dxa"/>
            <w:tcBorders/>
            <w:shd w:fill="CCEEFF" w:val="clear"/>
            <w:vAlign w:val="center"/>
          </w:tcPr>
          <w:p>
            <w:pPr>
              <w:pStyle w:val="TableContents"/>
              <w:bidi w:val="0"/>
              <w:spacing w:before="0" w:after="0"/>
              <w:jc w:val="left"/>
              <w:rPr/>
            </w:pPr>
            <w:r>
              <w:rPr/>
              <w:t> </w:t>
            </w:r>
          </w:p>
        </w:tc>
        <w:tc>
          <w:tcPr>
            <w:tcW w:w="85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w:t>
            </w:r>
          </w:p>
        </w:tc>
        <w:tc>
          <w:tcPr>
            <w:tcW w:w="621"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437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discount rate</w:t>
            </w:r>
          </w:p>
        </w:tc>
        <w:tc>
          <w:tcPr>
            <w:tcW w:w="60" w:type="dxa"/>
            <w:tcBorders/>
            <w:shd w:fill="FFFFFF" w:val="clear"/>
            <w:vAlign w:val="center"/>
          </w:tcPr>
          <w:p>
            <w:pPr>
              <w:pStyle w:val="TableContents"/>
              <w:bidi w:val="0"/>
              <w:spacing w:before="0" w:after="0"/>
              <w:jc w:val="left"/>
              <w:rPr/>
            </w:pPr>
            <w:r>
              <w:rPr/>
              <w:t> </w:t>
            </w:r>
          </w:p>
        </w:tc>
        <w:tc>
          <w:tcPr>
            <w:tcW w:w="85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w:t>
            </w:r>
          </w:p>
        </w:tc>
        <w:tc>
          <w:tcPr>
            <w:tcW w:w="62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left"/>
        <w:rPr/>
      </w:pPr>
      <w:r>
        <w:rPr/>
        <w:t> </w:t>
      </w:r>
    </w:p>
    <w:p>
      <w:pPr>
        <w:pStyle w:val="TextBody"/>
        <w:bidi w:val="0"/>
        <w:spacing w:lineRule="atLeast" w:line="240" w:before="0" w:after="200"/>
        <w:jc w:val="left"/>
        <w:rPr>
          <w:rFonts w:ascii="Times New Roman" w:hAnsi="Times New Roman"/>
          <w:sz w:val="20"/>
        </w:rPr>
      </w:pPr>
      <w:r>
        <w:rPr>
          <w:rFonts w:ascii="Times New Roman" w:hAnsi="Times New Roman"/>
          <w:sz w:val="20"/>
        </w:rPr>
        <w:t>The following table presents supplemental cash flow and non-cash information related to leases.</w:t>
      </w:r>
    </w:p>
    <w:tbl>
      <w:tblPr>
        <w:tblW w:w="10205" w:type="dxa"/>
        <w:jc w:val="left"/>
        <w:tblInd w:w="0" w:type="dxa"/>
        <w:tblLayout w:type="fixed"/>
        <w:tblCellMar>
          <w:top w:w="0" w:type="dxa"/>
          <w:left w:w="0" w:type="dxa"/>
          <w:bottom w:w="28" w:type="dxa"/>
          <w:right w:w="0" w:type="dxa"/>
        </w:tblCellMar>
      </w:tblPr>
      <w:tblGrid>
        <w:gridCol w:w="5882"/>
        <w:gridCol w:w="125"/>
        <w:gridCol w:w="1968"/>
        <w:gridCol w:w="60"/>
        <w:gridCol w:w="125"/>
        <w:gridCol w:w="1968"/>
        <w:gridCol w:w="77"/>
      </w:tblGrid>
      <w:tr>
        <w:trPr/>
        <w:tc>
          <w:tcPr>
            <w:tcW w:w="5882" w:type="dxa"/>
            <w:tcBorders>
              <w:bottom w:val="single" w:sz="8" w:space="0" w:color="000000"/>
            </w:tcBorders>
            <w:vAlign w:val="center"/>
          </w:tcPr>
          <w:p>
            <w:pPr>
              <w:pStyle w:val="TableContents"/>
              <w:bidi w:val="0"/>
              <w:spacing w:before="0" w:after="0"/>
              <w:jc w:val="left"/>
              <w:rPr/>
            </w:pPr>
            <w:r>
              <w:rPr/>
              <w:t> </w:t>
            </w:r>
          </w:p>
        </w:tc>
        <w:tc>
          <w:tcPr>
            <w:tcW w:w="125" w:type="dxa"/>
            <w:tcBorders>
              <w:bottom w:val="single" w:sz="6" w:space="0" w:color="000000"/>
            </w:tcBorders>
            <w:vAlign w:val="center"/>
          </w:tcPr>
          <w:p>
            <w:pPr>
              <w:pStyle w:val="TableContents"/>
              <w:bidi w:val="0"/>
              <w:spacing w:before="0" w:after="0"/>
              <w:jc w:val="left"/>
              <w:rPr/>
            </w:pPr>
            <w:r>
              <w:rPr/>
              <w:t> </w:t>
            </w:r>
          </w:p>
        </w:tc>
        <w:tc>
          <w:tcPr>
            <w:tcW w:w="1968"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 2025</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968"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 2024</w:t>
            </w:r>
          </w:p>
        </w:tc>
        <w:tc>
          <w:tcPr>
            <w:tcW w:w="77" w:type="dxa"/>
            <w:tcBorders>
              <w:bottom w:val="single" w:sz="8" w:space="0" w:color="000000"/>
            </w:tcBorders>
            <w:vAlign w:val="center"/>
          </w:tcPr>
          <w:p>
            <w:pPr>
              <w:pStyle w:val="TableContents"/>
              <w:bidi w:val="0"/>
              <w:spacing w:before="0" w:after="0"/>
              <w:jc w:val="left"/>
              <w:rPr/>
            </w:pPr>
            <w:r>
              <w:rPr/>
              <w:t> </w:t>
            </w:r>
          </w:p>
        </w:tc>
      </w:tr>
      <w:tr>
        <w:trPr/>
        <w:tc>
          <w:tcPr>
            <w:tcW w:w="5882" w:type="dxa"/>
            <w:tcBorders>
              <w:top w:val="single" w:sz="8" w:space="0" w:color="000000"/>
            </w:tcBorders>
            <w:shd w:fill="CCEEFF" w:val="clear"/>
            <w:tcMar>
              <w:top w:w="28" w:type="dxa"/>
              <w:bottom w:w="0" w:type="dxa"/>
            </w:tcMar>
            <w:vAlign w:val="center"/>
          </w:tcPr>
          <w:p>
            <w:pPr>
              <w:pStyle w:val="TableContents"/>
              <w:bidi w:val="0"/>
              <w:spacing w:before="0" w:after="0"/>
              <w:jc w:val="left"/>
              <w:rPr>
                <w:sz w:val="20"/>
              </w:rPr>
            </w:pPr>
            <w:r>
              <w:rPr>
                <w:rFonts w:ascii="Times New Roman" w:hAnsi="Times New Roman"/>
                <w:sz w:val="20"/>
              </w:rPr>
              <w:t>Cash paid for amounts included in the measurement of lease liabilities</w:t>
            </w:r>
            <w:r>
              <w:rPr>
                <w:sz w:val="20"/>
              </w:rPr>
              <w:t> </w:t>
            </w:r>
            <w:r>
              <w:rPr>
                <w:rFonts w:ascii="Times New Roman" w:hAnsi="Times New Roman"/>
                <w:i/>
                <w:sz w:val="20"/>
              </w:rPr>
              <w:t>(a)</w:t>
            </w:r>
          </w:p>
        </w:tc>
        <w:tc>
          <w:tcPr>
            <w:tcW w:w="125" w:type="dxa"/>
            <w:tcBorders>
              <w:top w:val="single" w:sz="6"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968"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25.9</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968"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25.5</w:t>
            </w:r>
          </w:p>
        </w:tc>
        <w:tc>
          <w:tcPr>
            <w:tcW w:w="77"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r>
      <w:tr>
        <w:trPr/>
        <w:tc>
          <w:tcPr>
            <w:tcW w:w="5882"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Supplemental non-cash information on lease liabilities arising from obtaining ROU assets</w:t>
            </w:r>
          </w:p>
        </w:tc>
        <w:tc>
          <w:tcPr>
            <w:tcW w:w="125" w:type="dxa"/>
            <w:tcBorders/>
            <w:shd w:fill="FFFFFF" w:val="clear"/>
            <w:tcMar>
              <w:bottom w:w="0" w:type="dxa"/>
            </w:tcMar>
            <w:vAlign w:val="center"/>
          </w:tcPr>
          <w:p>
            <w:pPr>
              <w:pStyle w:val="TableContents"/>
              <w:bidi w:val="0"/>
              <w:spacing w:before="0" w:after="0"/>
              <w:jc w:val="left"/>
              <w:rPr/>
            </w:pPr>
            <w:r>
              <w:rPr/>
              <w:t> </w:t>
            </w:r>
          </w:p>
        </w:tc>
        <w:tc>
          <w:tcPr>
            <w:tcW w:w="1968"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right"/>
              <w:rPr/>
            </w:pPr>
            <w:r>
              <w:rPr/>
              <w:t> </w:t>
            </w:r>
          </w:p>
        </w:tc>
        <w:tc>
          <w:tcPr>
            <w:tcW w:w="1968" w:type="dxa"/>
            <w:tcBorders/>
            <w:shd w:fill="FFFFFF" w:val="clear"/>
            <w:tcMar>
              <w:bottom w:w="0" w:type="dxa"/>
            </w:tcMar>
            <w:vAlign w:val="center"/>
          </w:tcPr>
          <w:p>
            <w:pPr>
              <w:pStyle w:val="TableContents"/>
              <w:bidi w:val="0"/>
              <w:spacing w:before="0" w:after="0"/>
              <w:jc w:val="right"/>
              <w:rPr/>
            </w:pPr>
            <w:r>
              <w:rPr/>
              <w:t> </w:t>
            </w:r>
          </w:p>
        </w:tc>
        <w:tc>
          <w:tcPr>
            <w:tcW w:w="77" w:type="dxa"/>
            <w:tcBorders/>
            <w:shd w:fill="FFFFFF" w:val="clear"/>
            <w:tcMar>
              <w:bottom w:w="0" w:type="dxa"/>
            </w:tcMar>
            <w:vAlign w:val="center"/>
          </w:tcPr>
          <w:p>
            <w:pPr>
              <w:pStyle w:val="TableContents"/>
              <w:bidi w:val="0"/>
              <w:spacing w:before="0" w:after="0"/>
              <w:jc w:val="left"/>
              <w:rPr/>
            </w:pPr>
            <w:r>
              <w:rPr/>
              <w:t> </w:t>
            </w:r>
          </w:p>
        </w:tc>
      </w:tr>
      <w:tr>
        <w:trPr/>
        <w:tc>
          <w:tcPr>
            <w:tcW w:w="5882" w:type="dxa"/>
            <w:tcBorders>
              <w:bottom w:val="single" w:sz="8" w:space="0" w:color="000000"/>
            </w:tcBorders>
            <w:shd w:fill="CCEEFF" w:val="clear"/>
            <w:vAlign w:val="center"/>
          </w:tcPr>
          <w:p>
            <w:pPr>
              <w:pStyle w:val="TableContents"/>
              <w:bidi w:val="0"/>
              <w:spacing w:before="0" w:after="0"/>
              <w:ind w:left="280" w:right="0" w:hanging="0"/>
              <w:jc w:val="left"/>
              <w:rPr>
                <w:rFonts w:ascii="Times New Roman" w:hAnsi="Times New Roman"/>
                <w:sz w:val="20"/>
              </w:rPr>
            </w:pPr>
            <w:r>
              <w:rPr>
                <w:rFonts w:ascii="Times New Roman" w:hAnsi="Times New Roman"/>
                <w:sz w:val="20"/>
              </w:rPr>
              <w:t>ROU assets obtained in exchange for new operating lease liabilities</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968"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36.0</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968"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39.2</w:t>
            </w:r>
          </w:p>
        </w:tc>
        <w:tc>
          <w:tcPr>
            <w:tcW w:w="77" w:type="dxa"/>
            <w:tcBorders>
              <w:bottom w:val="single" w:sz="8" w:space="0" w:color="000000"/>
            </w:tcBorders>
            <w:shd w:fill="CCEEFF" w:val="clear"/>
            <w:vAlign w:val="center"/>
          </w:tcPr>
          <w:p>
            <w:pPr>
              <w:pStyle w:val="TableContents"/>
              <w:bidi w:val="0"/>
              <w:spacing w:before="0" w:after="0"/>
              <w:jc w:val="left"/>
              <w:rPr/>
            </w:pPr>
            <w:r>
              <w:rPr/>
              <w:t> </w:t>
            </w:r>
          </w:p>
        </w:tc>
      </w:tr>
    </w:tbl>
    <w:p>
      <w:pPr>
        <w:pStyle w:val="TextBody"/>
        <w:bidi w:val="0"/>
        <w:spacing w:lineRule="atLeast" w:line="240" w:before="0" w:after="0"/>
        <w:jc w:val="left"/>
        <w:rPr/>
      </w:pPr>
      <w:r>
        <w:rPr/>
        <w:t> </w:t>
      </w:r>
    </w:p>
    <w:p>
      <w:pPr>
        <w:pStyle w:val="TextBody"/>
        <w:bidi w:val="0"/>
        <w:spacing w:lineRule="atLeast" w:line="200" w:before="0" w:after="0"/>
        <w:ind w:left="720" w:right="0" w:hanging="360"/>
        <w:jc w:val="left"/>
        <w:rPr>
          <w:rFonts w:ascii="Times New Roman" w:hAnsi="Times New Roman"/>
          <w:i/>
          <w:sz w:val="20"/>
        </w:rPr>
      </w:pPr>
      <w:r>
        <w:rPr>
          <w:rFonts w:ascii="Times New Roman" w:hAnsi="Times New Roman"/>
          <w:i/>
          <w:sz w:val="20"/>
        </w:rPr>
        <w:t>(a) Included in Net cash provided by operating activities on the Company's Consolidated Statements of Cash Flows.</w:t>
      </w:r>
    </w:p>
    <w:p>
      <w:pPr>
        <w:pStyle w:val="TextBody"/>
        <w:bidi w:val="0"/>
        <w:spacing w:lineRule="atLeast" w:line="20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sz w:val="24"/>
        </w:rPr>
      </w:pPr>
      <w:bookmarkStart w:id="15" w:name="TOC_90a06a2daa2c56ac"/>
      <w:bookmarkEnd w:id="15"/>
      <w:r>
        <w:rPr>
          <w:rFonts w:ascii="Times New Roman" w:hAnsi="Times New Roman"/>
          <w:sz w:val="2"/>
        </w:rPr>
        <w:t>A</w:t>
      </w:r>
      <w:r>
        <w:rPr>
          <w:rFonts w:ascii="Times New Roman" w:hAnsi="Times New Roman"/>
          <w:sz w:val="24"/>
        </w:rPr>
        <w:br/>
      </w:r>
      <w:r>
        <w:rPr>
          <w:rFonts w:ascii="Times New Roman" w:hAnsi="Times New Roman"/>
          <w:b/>
          <w:sz w:val="20"/>
        </w:rPr>
        <w:t>ITEM 2. MANAGEMENT’S DISCUSSION AND ANALYSIS OF FINANCIAL CONDITION AND RESULTS OF OPERATIONS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terms "Euronet," the "Company," "we" and "us" as used herein refer to Euronet Worldwide, Inc. and its subsidiaries.</w:t>
      </w:r>
    </w:p>
    <w:p>
      <w:pPr>
        <w:pStyle w:val="TextBody"/>
        <w:bidi w:val="0"/>
        <w:spacing w:lineRule="atLeast" w:line="240" w:before="0" w:after="0"/>
        <w:jc w:val="both"/>
        <w:rPr/>
      </w:pPr>
      <w:r>
        <w:rPr/>
        <w:t> </w:t>
      </w:r>
    </w:p>
    <w:p>
      <w:pPr>
        <w:pStyle w:val="TextBody"/>
        <w:bidi w:val="0"/>
        <w:spacing w:lineRule="atLeast" w:line="240" w:before="0" w:after="0"/>
        <w:jc w:val="center"/>
        <w:rPr>
          <w:rFonts w:ascii="Times New Roman" w:hAnsi="Times New Roman"/>
          <w:b/>
          <w:sz w:val="20"/>
        </w:rPr>
      </w:pPr>
      <w:r>
        <w:rPr>
          <w:rFonts w:ascii="Times New Roman" w:hAnsi="Times New Roman"/>
          <w:b/>
          <w:sz w:val="20"/>
        </w:rPr>
        <w:t>CAUTIONARY STATEMENT REGARDING FORWARD-LOOKING STATEMENTS</w:t>
      </w:r>
    </w:p>
    <w:p>
      <w:pPr>
        <w:pStyle w:val="TextBody"/>
        <w:bidi w:val="0"/>
        <w:spacing w:lineRule="atLeast" w:line="240" w:before="0" w:after="0"/>
        <w:jc w:val="center"/>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This report contains statements that constitute forward-looking statements within the meaning of section 27A of the Securities Act of 1933 and section 21E of the Securities Exchange Act of 1934</w:t>
      </w:r>
      <w:r>
        <w:rPr>
          <w:rFonts w:ascii="Times New Roman" w:hAnsi="Times New Roman"/>
          <w:sz w:val="24"/>
        </w:rPr>
        <w:t xml:space="preserve"> </w:t>
      </w:r>
      <w:r>
        <w:rPr>
          <w:rFonts w:ascii="Times New Roman" w:hAnsi="Times New Roman"/>
          <w:sz w:val="20"/>
        </w:rPr>
        <w:t>(“Exchange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r>
        <w:rPr>
          <w:rFonts w:ascii="Times New Roman" w:hAnsi="Times New Roman"/>
          <w:sz w:val="24"/>
        </w:rPr>
        <w:t> </w:t>
      </w:r>
    </w:p>
    <w:p>
      <w:pPr>
        <w:pStyle w:val="TextBody"/>
        <w:bidi w:val="0"/>
        <w:spacing w:lineRule="atLeast" w:line="240" w:before="240" w:after="0"/>
        <w:ind w:left="720" w:right="0" w:hanging="192"/>
        <w:jc w:val="both"/>
        <w:rPr/>
      </w:pPr>
      <w:r>
        <w:rPr/>
        <w:t></w:t>
      </w:r>
      <w:r>
        <w:rPr>
          <w:caps w:val="false"/>
          <w:smallCaps w:val="false"/>
        </w:rPr>
        <w:t xml:space="preserve">   </w:t>
      </w:r>
      <w:r>
        <w:rPr>
          <w:rFonts w:ascii="Times New Roman" w:hAnsi="Times New Roman"/>
          <w:sz w:val="20"/>
        </w:rPr>
        <w:t>our business plans and financing plans and requirements;</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our pending acquisition of</w:t>
      </w:r>
      <w:r>
        <w:rPr>
          <w:rFonts w:ascii="Times New Roman" w:hAnsi="Times New Roman"/>
          <w:sz w:val="24"/>
        </w:rPr>
        <w:t> </w:t>
      </w:r>
      <w:r>
        <w:rPr>
          <w:rFonts w:ascii="Times New Roman" w:hAnsi="Times New Roman"/>
          <w:sz w:val="20"/>
        </w:rPr>
        <w:t>CoreCard Corporation (“CoreCard), including the satisfaction of closing conditions in the expected timeframe or at all;</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trends affecting our business plans and financing plans and requirements;</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trends affecting our business;</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the adequacy of capital to meet our capital requirements and expansion plans;</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the assumptions underlying our business plans;</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our ability to repay indebtedness;</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our estimated capital expenditures;</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the potential outcome of loss contingencies;</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our expectations regarding the closing of any pending acquisitions, including the pending CoreCard acquisition;</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business strategy;</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government regulatory action;</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the expected effects of changes in laws or accounting standards, including the excise tax on certain international remittances under the One Big Beautiful Bill Act (the “OBBBA”);</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technological advances; and</w:t>
      </w:r>
    </w:p>
    <w:p>
      <w:pPr>
        <w:pStyle w:val="TextBody"/>
        <w:bidi w:val="0"/>
        <w:spacing w:lineRule="atLeast" w:line="240" w:before="0" w:after="240"/>
        <w:ind w:left="720" w:right="0" w:hanging="192"/>
        <w:jc w:val="both"/>
        <w:rPr/>
      </w:pPr>
      <w:r>
        <w:rPr/>
        <w:t></w:t>
      </w:r>
      <w:r>
        <w:rPr>
          <w:caps w:val="false"/>
          <w:smallCaps w:val="false"/>
        </w:rPr>
        <w:t xml:space="preserve">   </w:t>
      </w:r>
      <w:r>
        <w:rPr>
          <w:rFonts w:ascii="Times New Roman" w:hAnsi="Times New Roman"/>
          <w:sz w:val="20"/>
        </w:rPr>
        <w:t>projected costs and revenues.</w:t>
      </w:r>
    </w:p>
    <w:p>
      <w:pPr>
        <w:pStyle w:val="TextBody"/>
        <w:bidi w:val="0"/>
        <w:spacing w:lineRule="atLeast" w:line="240" w:before="0" w:after="0"/>
        <w:jc w:val="both"/>
        <w:rPr>
          <w:rFonts w:ascii="Times New Roman" w:hAnsi="Times New Roman"/>
          <w:sz w:val="20"/>
        </w:rPr>
      </w:pPr>
      <w:r>
        <w:rPr>
          <w:rFonts w:ascii="Times New Roman" w:hAnsi="Times New Roman"/>
          <w:sz w:val="20"/>
        </w:rPr>
        <w:t>Although we believe that the expectations reflected in these forward-looking statements are reasonable, we can give no assurance that these expectations will prove to be correct.</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Investors are cautioned that any forward-looking statements are not guarantees of future performance and involve risks and uncertainties.</w:t>
      </w:r>
      <w:r>
        <w:rPr>
          <w:rFonts w:ascii="Times New Roman" w:hAnsi="Times New Roman"/>
          <w:sz w:val="24"/>
        </w:rPr>
        <w:t> </w:t>
      </w:r>
      <w:r>
        <w:rPr>
          <w:rFonts w:ascii="Times New Roman" w:hAnsi="Times New Roman"/>
          <w:sz w:val="20"/>
        </w:rPr>
        <w:t>Euronet's actual results may vary materially from those anticipated in such forward-looking statements as a result of a number of factors, including: the expected timing and likelihood of completion of the CoreCard acquisition, including the timing, receipt and terms and conditions of any required governmental and regulatory approvals of the acquisition; the occurrence of any event, change or other circumstances that could give rise to the termination of the merger agreement for the CoreCard acquisition; the possibility that</w:t>
      </w:r>
      <w:r>
        <w:rPr>
          <w:rFonts w:ascii="Times New Roman" w:hAnsi="Times New Roman"/>
          <w:sz w:val="24"/>
        </w:rPr>
        <w:t> </w:t>
      </w:r>
      <w:r>
        <w:rPr>
          <w:rFonts w:ascii="Times New Roman" w:hAnsi="Times New Roman"/>
          <w:sz w:val="20"/>
        </w:rPr>
        <w:t>CoreCard’s</w:t>
      </w:r>
      <w:r>
        <w:rPr>
          <w:rFonts w:ascii="Times New Roman" w:hAnsi="Times New Roman"/>
          <w:sz w:val="24"/>
        </w:rPr>
        <w:t> </w:t>
      </w:r>
      <w:r>
        <w:rPr>
          <w:rFonts w:ascii="Times New Roman" w:hAnsi="Times New Roman"/>
          <w:sz w:val="20"/>
        </w:rPr>
        <w:t>shareholders may not approve the proposed acquisition; the risk that the parties may not be able to satisfy the conditions to the CoreCard acquisition in a timely manner or at all; risks related to disruption of management time from ongoing business operations due to the pending acquisition; the risk that any announcements relating to the CoreCard acquisition could have adverse effects on the market price of the Company’s common stock; the risk that the CoreCard acquisition and its announcement could have an adverse effect on the parties’ business relationships and business generally, including the ability of CoreCard or the Company to retain customers and retain and hire key personnel and maintain relationships with their suppliers and customers, and on their operating results and businesses generally; the risk of unforeseen or unknown liabilities; customer, shareholder, regulatory and other stakeholder approvals and support; the risk of potential litigation relating to the CoreCard acquisition that could be instituted against CoreCard or its directors and/or officers; the risk associated with third party contracts containing material consent, anti-assignment, transfer or other provisions that may be related to the CoreCard acquisition which are not waived or otherwise satisfactorily resolved; the risk of rating agency actions and the Company’s ability to access short- and long-term debt markets on a timely and affordable basis; conditions in world financial markets and general economic conditions, including impacts from</w:t>
      </w:r>
      <w:r>
        <w:rPr>
          <w:rFonts w:ascii="Times New Roman" w:hAnsi="Times New Roman"/>
          <w:sz w:val="24"/>
        </w:rPr>
        <w:t> </w:t>
      </w:r>
      <w:r>
        <w:rPr>
          <w:rFonts w:ascii="Times New Roman" w:hAnsi="Times New Roman"/>
          <w:sz w:val="20"/>
        </w:rPr>
        <w:t>pandemics; inflation; tariffs; the war in the Ukraine and the related economic sanctions; military conflicts in the Middle East; our ability to successfully integrate any acquired operations;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consumer and data protection and privacy; changes in laws and regulations affecting our business, including tax and immigration laws (including the OBBBA) and any laws regulating payments, including dynamic currency conversion transactions; changes in our relationships with, or in fees charged by, our business partners; competition; the outcome of claims and other loss contingencies affecting Euronet; the cost of borrowing (including fluctuations in interest rates), availability of credit and terms of and compliance with debt covenants; and renewal of sources of funding as they expire and the availability of replacement funding. These risks and other risks are described in the Company's filings with the Securities and Exchange Commission, including our Annual Report on Form 10-K, Quarterly Reports on Form 10-Q and Current Reports on Form 8-K. Copies of these filings may be obtained via the SEC's Edgar website or by contacting the Company.</w:t>
      </w:r>
      <w:r>
        <w:rPr>
          <w:rFonts w:ascii="Times New Roman" w:hAnsi="Times New Roman"/>
          <w:sz w:val="24"/>
        </w:rPr>
        <w:t> </w:t>
      </w:r>
      <w:r>
        <w:rPr>
          <w:rFonts w:ascii="Times New Roman" w:hAnsi="Times New Roman"/>
          <w:sz w:val="20"/>
        </w:rPr>
        <w:t>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r>
        <w:br w:type="page"/>
      </w:r>
    </w:p>
    <w:p>
      <w:pPr>
        <w:pStyle w:val="TextBody"/>
        <w:bidi w:val="0"/>
        <w:spacing w:lineRule="atLeast" w:line="240" w:before="0" w:after="0"/>
        <w:jc w:val="center"/>
        <w:rPr>
          <w:rFonts w:ascii="Times New Roman" w:hAnsi="Times New Roman"/>
          <w:b/>
          <w:sz w:val="20"/>
        </w:rPr>
      </w:pPr>
      <w:r>
        <w:rPr>
          <w:rFonts w:ascii="Times New Roman" w:hAnsi="Times New Roman"/>
          <w:b/>
          <w:sz w:val="20"/>
        </w:rPr>
        <w:t>OVERVIEW</w:t>
      </w:r>
    </w:p>
    <w:p>
      <w:pPr>
        <w:pStyle w:val="TextBody"/>
        <w:bidi w:val="0"/>
        <w:spacing w:before="0" w:after="0"/>
        <w:jc w:val="left"/>
        <w:rPr/>
      </w:pPr>
      <w:r>
        <w:rPr/>
        <w:t> </w:t>
      </w:r>
    </w:p>
    <w:p>
      <w:pPr>
        <w:pStyle w:val="TextBody"/>
        <w:bidi w:val="0"/>
        <w:spacing w:lineRule="atLeast" w:line="240" w:before="0" w:after="0"/>
        <w:jc w:val="left"/>
        <w:rPr>
          <w:rFonts w:ascii="Times New Roman" w:hAnsi="Times New Roman"/>
          <w:sz w:val="24"/>
        </w:rPr>
      </w:pPr>
      <w:r>
        <w:rPr>
          <w:rFonts w:ascii="Times New Roman" w:hAnsi="Times New Roman"/>
          <w:b/>
          <w:sz w:val="20"/>
        </w:rPr>
        <w:t>COMPANY OVERVIEW, GEOGRAPHIC LOCATIONS AND PRINCIPAL PRODUCTS AND SERVICES</w:t>
      </w:r>
      <w:r>
        <w:rPr>
          <w:rFonts w:ascii="Times New Roman" w:hAnsi="Times New Roman"/>
          <w:sz w:val="24"/>
        </w:rPr>
        <w:br/>
        <w:t> </w:t>
      </w:r>
    </w:p>
    <w:p>
      <w:pPr>
        <w:pStyle w:val="TextBody"/>
        <w:shd w:fill="FFFFFF" w:val="clear"/>
        <w:bidi w:val="0"/>
        <w:spacing w:lineRule="atLeast" w:line="240" w:before="0" w:after="0"/>
        <w:jc w:val="both"/>
        <w:rPr>
          <w:rFonts w:ascii="Times New Roman" w:hAnsi="Times New Roman"/>
          <w:sz w:val="24"/>
        </w:rPr>
      </w:pPr>
      <w:r>
        <w:rPr>
          <w:rFonts w:ascii="Times New Roman" w:hAnsi="Times New Roman"/>
          <w:sz w:val="20"/>
        </w:rPr>
        <w:t>Euronet is a leading global financial technology solutions and payments provider. We offer payment and transaction processing</w:t>
      </w:r>
      <w:r>
        <w:rPr>
          <w:rFonts w:ascii="Times New Roman" w:hAnsi="Times New Roman"/>
          <w:sz w:val="24"/>
        </w:rPr>
        <w:t> </w:t>
      </w:r>
      <w:r>
        <w:rPr>
          <w:rFonts w:ascii="Times New Roman" w:hAnsi="Times New Roman"/>
          <w:sz w:val="20"/>
        </w:rPr>
        <w:t>and distribution solutions to financial institutions, retailers, service providers and individual consumers. Our primary product offerings include comprehensive ATM, point-of-sale ("POS"), card outsourcing, card issuing and merchant acquiring services, software solutions, electronic distribution of prepaid mobile airtime, managed services and other electronic payment products, foreign currency exchange services and global money transfer services. We operate in the following three segments:</w:t>
      </w:r>
    </w:p>
    <w:p>
      <w:pPr>
        <w:pStyle w:val="TextBody"/>
        <w:bidi w:val="0"/>
        <w:spacing w:lineRule="atLeast" w:line="240" w:before="0" w:after="240"/>
        <w:jc w:val="both"/>
        <w:rPr>
          <w:rFonts w:ascii="Times New Roman" w:hAnsi="Times New Roman"/>
          <w:sz w:val="24"/>
        </w:rPr>
      </w:pPr>
      <w:r>
        <w:rPr>
          <w:rFonts w:ascii="Times New Roman" w:hAnsi="Times New Roman"/>
          <w:sz w:val="24"/>
        </w:rPr>
        <w:br/>
      </w:r>
      <w:r>
        <w:rPr>
          <w:rFonts w:ascii="Times New Roman" w:hAnsi="Times New Roman"/>
          <w:sz w:val="20"/>
        </w:rPr>
        <w:t>1)</w:t>
      </w:r>
      <w:r>
        <w:rPr>
          <w:rFonts w:ascii="Times New Roman" w:hAnsi="Times New Roman"/>
          <w:sz w:val="24"/>
        </w:rPr>
        <w:t xml:space="preserve">  </w:t>
      </w:r>
      <w:r>
        <w:rPr>
          <w:rFonts w:ascii="Times New Roman" w:hAnsi="Times New Roman"/>
          <w:sz w:val="20"/>
        </w:rPr>
        <w:t>The EFT Processing Segment meets the needs of financial institutions and consumers through Euronet-owned and outsourced ATMs and POS terminals combined with value added and transaction processing services. We deploy and operate our own ATMs, providing ATM services for financial institutions and providing electronic payment processing solutions. EFT offers a suite of integrated electronic financial transaction software solutions for electronic payment and transaction delivery systems. Transactions processed span a network of 56,760</w:t>
      </w:r>
      <w:r>
        <w:rPr>
          <w:rFonts w:ascii="Times New Roman" w:hAnsi="Times New Roman"/>
          <w:sz w:val="24"/>
        </w:rPr>
        <w:t> </w:t>
      </w:r>
      <w:r>
        <w:rPr>
          <w:rFonts w:ascii="Times New Roman" w:hAnsi="Times New Roman"/>
          <w:sz w:val="20"/>
        </w:rPr>
        <w:t>installed</w:t>
      </w:r>
      <w:r>
        <w:rPr>
          <w:rFonts w:ascii="Times New Roman" w:hAnsi="Times New Roman"/>
          <w:sz w:val="24"/>
        </w:rPr>
        <w:t> </w:t>
      </w:r>
      <w:r>
        <w:rPr>
          <w:rFonts w:ascii="Times New Roman" w:hAnsi="Times New Roman"/>
          <w:sz w:val="20"/>
        </w:rPr>
        <w:t>ATMs</w:t>
      </w:r>
      <w:r>
        <w:rPr>
          <w:rFonts w:ascii="Times New Roman" w:hAnsi="Times New Roman"/>
          <w:sz w:val="24"/>
        </w:rPr>
        <w:t> </w:t>
      </w:r>
      <w:r>
        <w:rPr>
          <w:rFonts w:ascii="Times New Roman" w:hAnsi="Times New Roman"/>
          <w:sz w:val="20"/>
        </w:rPr>
        <w:t>and approximately 1,265,000</w:t>
      </w:r>
      <w:r>
        <w:rPr>
          <w:rFonts w:ascii="Times New Roman" w:hAnsi="Times New Roman"/>
          <w:sz w:val="24"/>
        </w:rPr>
        <w:t xml:space="preserve"> </w:t>
      </w:r>
      <w:r>
        <w:rPr>
          <w:rFonts w:ascii="Times New Roman" w:hAnsi="Times New Roman"/>
          <w:sz w:val="20"/>
        </w:rPr>
        <w:t xml:space="preserve">POS terminals. </w:t>
      </w:r>
    </w:p>
    <w:p>
      <w:pPr>
        <w:pStyle w:val="TextBody"/>
        <w:bidi w:val="0"/>
        <w:spacing w:lineRule="atLeast" w:line="240" w:before="0" w:after="240"/>
        <w:jc w:val="both"/>
        <w:rPr>
          <w:rFonts w:ascii="Times New Roman" w:hAnsi="Times New Roman"/>
          <w:sz w:val="24"/>
        </w:rPr>
      </w:pPr>
      <w:r>
        <w:rPr>
          <w:rFonts w:ascii="Times New Roman" w:hAnsi="Times New Roman"/>
          <w:sz w:val="20"/>
          <w:shd w:fill="FFFFFF" w:val="clear"/>
        </w:rPr>
        <w:t>2)</w:t>
      </w:r>
      <w:r>
        <w:rPr>
          <w:rFonts w:ascii="Times New Roman" w:hAnsi="Times New Roman"/>
          <w:sz w:val="24"/>
          <w:shd w:fill="FFFFFF" w:val="clear"/>
        </w:rPr>
        <w:t xml:space="preserve">  </w:t>
      </w:r>
      <w:r>
        <w:rPr>
          <w:rFonts w:ascii="Times New Roman" w:hAnsi="Times New Roman"/>
          <w:sz w:val="20"/>
          <w:shd w:fill="FFFFFF" w:val="clear"/>
        </w:rPr>
        <w:t>The</w:t>
      </w:r>
      <w:r>
        <w:rPr>
          <w:rFonts w:ascii="Times New Roman" w:hAnsi="Times New Roman"/>
          <w:sz w:val="24"/>
          <w:shd w:fill="FFFFFF" w:val="clear"/>
        </w:rPr>
        <w:t> </w:t>
      </w:r>
      <w:r>
        <w:rPr>
          <w:rFonts w:ascii="Times New Roman" w:hAnsi="Times New Roman"/>
          <w:sz w:val="20"/>
          <w:shd w:fill="FFFFFF" w:val="clear"/>
        </w:rPr>
        <w:t>epay</w:t>
      </w:r>
      <w:r>
        <w:rPr>
          <w:rFonts w:ascii="Times New Roman" w:hAnsi="Times New Roman"/>
          <w:sz w:val="24"/>
          <w:shd w:fill="FFFFFF" w:val="clear"/>
        </w:rPr>
        <w:t> </w:t>
      </w:r>
      <w:r>
        <w:rPr>
          <w:rFonts w:ascii="Times New Roman" w:hAnsi="Times New Roman"/>
          <w:sz w:val="20"/>
          <w:shd w:fill="FFFFFF" w:val="clear"/>
        </w:rPr>
        <w:t>Segment provides retail payment solutions and delivers innovative connections between the digital content of the world’s leading brands and consumers. epay has one of the largest retail networks across Europe and Asia for the distribution of physical and digital third-party content, including branded payments, mobile, and alternative payments, partnering with 1,000+ of the world’s leading brands. In addition, through our own products, we have leveraged our technology to solve business challenges, delivering scalable solutions to drive efficiency and effectiveness. Our comprehensive range of consumer products simplifies transactions and provides financial convenience across a wide range of branded payments. epay operates in 64 countries. We operate a network that includes approximately 721,000</w:t>
      </w:r>
      <w:r>
        <w:rPr>
          <w:rFonts w:ascii="Times New Roman" w:hAnsi="Times New Roman"/>
          <w:sz w:val="24"/>
          <w:shd w:fill="FFFFFF" w:val="clear"/>
        </w:rPr>
        <w:t xml:space="preserve"> </w:t>
      </w:r>
      <w:r>
        <w:rPr>
          <w:rFonts w:ascii="Times New Roman" w:hAnsi="Times New Roman"/>
          <w:sz w:val="20"/>
          <w:shd w:fill="FFFFFF" w:val="clear"/>
        </w:rPr>
        <w:t xml:space="preserve">POS terminals that enable electronic processing of prepaid mobile airtime "top-up" services and other digital media content. </w:t>
      </w:r>
    </w:p>
    <w:p>
      <w:pPr>
        <w:pStyle w:val="TextBody"/>
        <w:bidi w:val="0"/>
        <w:spacing w:lineRule="atLeast" w:line="240" w:before="0" w:after="240"/>
        <w:jc w:val="both"/>
        <w:rPr>
          <w:rFonts w:ascii="Times New Roman" w:hAnsi="Times New Roman"/>
          <w:sz w:val="24"/>
        </w:rPr>
      </w:pPr>
      <w:r>
        <w:rPr>
          <w:rFonts w:ascii="Times New Roman" w:hAnsi="Times New Roman"/>
          <w:sz w:val="20"/>
          <w:shd w:fill="FFFFFF" w:val="clear"/>
        </w:rPr>
        <w:t>3)</w:t>
      </w:r>
      <w:r>
        <w:rPr>
          <w:rFonts w:ascii="Times New Roman" w:hAnsi="Times New Roman"/>
          <w:sz w:val="24"/>
          <w:shd w:fill="FFFFFF" w:val="clear"/>
        </w:rPr>
        <w:t xml:space="preserve">  </w:t>
      </w:r>
      <w:r>
        <w:rPr>
          <w:rFonts w:ascii="Times New Roman" w:hAnsi="Times New Roman"/>
          <w:sz w:val="20"/>
          <w:shd w:fill="FFFFFF" w:val="clear"/>
        </w:rPr>
        <w:t>The Money Transfer Segment provides global money transfers and currency exchange information in retail stores, apps, and websites through Ria Money Transfer, Xe and the Dandelion cross-border real-time payments network. Euronet’s Money Transfer segment offers real-time, cross-border payments to consumers and businesses across 199 countries and territories, enabling banks, fintechs and big tech platforms to integrate an international payments solution into their own platforms. Ria Money Transfer offers real-time international money transfers with a special focus on emerging markets. In addition, Ria offers safe and affordable money transfers through a global network of cash locations and online, serving over 20 million customers annually. Xe offers web and app-based currency information and industry-leading consumer and business cross-border money transfer services. Customers can send money, buy property overseas, and execute other international payments via the Xe website or app. Dandelion offers consumer and business transaction processing and fulfillment with alternative payout channels like bank accounts, cash pick-up and mobile wallets. Dandelion powers cross-border payments for Xe and Ria, as well as third party banks, fintechs, and big tech platforms.</w:t>
      </w:r>
    </w:p>
    <w:p>
      <w:pPr>
        <w:pStyle w:val="TextBody"/>
        <w:bidi w:val="0"/>
        <w:spacing w:lineRule="atLeast" w:line="240" w:before="0" w:after="0"/>
        <w:jc w:val="both"/>
        <w:rPr>
          <w:rFonts w:ascii="Times New Roman" w:hAnsi="Times New Roman"/>
          <w:sz w:val="24"/>
        </w:rPr>
      </w:pPr>
      <w:r>
        <w:rPr>
          <w:rFonts w:ascii="Times New Roman" w:hAnsi="Times New Roman"/>
          <w:sz w:val="20"/>
        </w:rPr>
        <w:t>We have</w:t>
      </w:r>
      <w:r>
        <w:rPr>
          <w:rFonts w:ascii="Times New Roman" w:hAnsi="Times New Roman"/>
          <w:sz w:val="24"/>
        </w:rPr>
        <w:t> </w:t>
      </w:r>
      <w:r>
        <w:rPr>
          <w:rFonts w:ascii="Times New Roman" w:hAnsi="Times New Roman"/>
          <w:sz w:val="20"/>
        </w:rPr>
        <w:t>six</w:t>
      </w:r>
      <w:r>
        <w:rPr>
          <w:rFonts w:ascii="Times New Roman" w:hAnsi="Times New Roman"/>
          <w:sz w:val="24"/>
        </w:rPr>
        <w:t> </w:t>
      </w:r>
      <w:r>
        <w:rPr>
          <w:rFonts w:ascii="Times New Roman" w:hAnsi="Times New Roman"/>
          <w:sz w:val="20"/>
        </w:rPr>
        <w:t>processing centers in Europe,</w:t>
      </w:r>
      <w:r>
        <w:rPr>
          <w:rFonts w:ascii="Times New Roman" w:hAnsi="Times New Roman"/>
          <w:sz w:val="24"/>
        </w:rPr>
        <w:t> </w:t>
      </w:r>
      <w:r>
        <w:rPr>
          <w:rFonts w:ascii="Times New Roman" w:hAnsi="Times New Roman"/>
          <w:sz w:val="20"/>
        </w:rPr>
        <w:t>five</w:t>
      </w:r>
      <w:r>
        <w:rPr>
          <w:rFonts w:ascii="Times New Roman" w:hAnsi="Times New Roman"/>
          <w:sz w:val="24"/>
        </w:rPr>
        <w:t> </w:t>
      </w:r>
      <w:r>
        <w:rPr>
          <w:rFonts w:ascii="Times New Roman" w:hAnsi="Times New Roman"/>
          <w:sz w:val="20"/>
        </w:rPr>
        <w:t>in Asia Pacific and</w:t>
      </w:r>
      <w:r>
        <w:rPr>
          <w:rFonts w:ascii="Times New Roman" w:hAnsi="Times New Roman"/>
          <w:sz w:val="24"/>
        </w:rPr>
        <w:t> </w:t>
      </w:r>
      <w:r>
        <w:rPr>
          <w:rFonts w:ascii="Times New Roman" w:hAnsi="Times New Roman"/>
          <w:sz w:val="20"/>
        </w:rPr>
        <w:t>two</w:t>
      </w:r>
      <w:r>
        <w:rPr>
          <w:rFonts w:ascii="Times New Roman" w:hAnsi="Times New Roman"/>
          <w:sz w:val="24"/>
        </w:rPr>
        <w:t> </w:t>
      </w:r>
      <w:r>
        <w:rPr>
          <w:rFonts w:ascii="Times New Roman" w:hAnsi="Times New Roman"/>
          <w:sz w:val="20"/>
        </w:rPr>
        <w:t>in North America. We have</w:t>
      </w:r>
      <w:r>
        <w:rPr>
          <w:rFonts w:ascii="Times New Roman" w:hAnsi="Times New Roman"/>
          <w:sz w:val="24"/>
        </w:rPr>
        <w:t> </w:t>
      </w:r>
      <w:r>
        <w:rPr>
          <w:rFonts w:ascii="Times New Roman" w:hAnsi="Times New Roman"/>
          <w:sz w:val="20"/>
        </w:rPr>
        <w:t>35</w:t>
      </w:r>
      <w:r>
        <w:rPr>
          <w:rFonts w:ascii="Times New Roman" w:hAnsi="Times New Roman"/>
          <w:sz w:val="24"/>
        </w:rPr>
        <w:t> </w:t>
      </w:r>
      <w:r>
        <w:rPr>
          <w:rFonts w:ascii="Times New Roman" w:hAnsi="Times New Roman"/>
          <w:sz w:val="20"/>
        </w:rPr>
        <w:t>principal offices in Europe,</w:t>
      </w:r>
      <w:r>
        <w:rPr>
          <w:rFonts w:ascii="Times New Roman" w:hAnsi="Times New Roman"/>
          <w:sz w:val="24"/>
        </w:rPr>
        <w:t> </w:t>
      </w:r>
      <w:r>
        <w:rPr>
          <w:rFonts w:ascii="Times New Roman" w:hAnsi="Times New Roman"/>
          <w:sz w:val="20"/>
        </w:rPr>
        <w:t>14</w:t>
      </w:r>
      <w:r>
        <w:rPr>
          <w:rFonts w:ascii="Times New Roman" w:hAnsi="Times New Roman"/>
          <w:sz w:val="24"/>
        </w:rPr>
        <w:t> </w:t>
      </w:r>
      <w:r>
        <w:rPr>
          <w:rFonts w:ascii="Times New Roman" w:hAnsi="Times New Roman"/>
          <w:sz w:val="20"/>
        </w:rPr>
        <w:t>in Asia Pacific,</w:t>
      </w:r>
      <w:r>
        <w:rPr>
          <w:rFonts w:ascii="Times New Roman" w:hAnsi="Times New Roman"/>
          <w:sz w:val="24"/>
        </w:rPr>
        <w:t> </w:t>
      </w:r>
      <w:r>
        <w:rPr>
          <w:rFonts w:ascii="Times New Roman" w:hAnsi="Times New Roman"/>
          <w:sz w:val="20"/>
        </w:rPr>
        <w:t>10</w:t>
      </w:r>
      <w:r>
        <w:rPr>
          <w:rFonts w:ascii="Times New Roman" w:hAnsi="Times New Roman"/>
          <w:sz w:val="24"/>
        </w:rPr>
        <w:t> </w:t>
      </w:r>
      <w:r>
        <w:rPr>
          <w:rFonts w:ascii="Times New Roman" w:hAnsi="Times New Roman"/>
          <w:sz w:val="20"/>
        </w:rPr>
        <w:t>in North America,</w:t>
      </w:r>
      <w:r>
        <w:rPr>
          <w:rFonts w:ascii="Times New Roman" w:hAnsi="Times New Roman"/>
          <w:sz w:val="24"/>
        </w:rPr>
        <w:t> </w:t>
      </w:r>
      <w:r>
        <w:rPr>
          <w:rFonts w:ascii="Times New Roman" w:hAnsi="Times New Roman"/>
          <w:sz w:val="20"/>
        </w:rPr>
        <w:t>three</w:t>
      </w:r>
      <w:r>
        <w:rPr>
          <w:rFonts w:ascii="Times New Roman" w:hAnsi="Times New Roman"/>
          <w:sz w:val="24"/>
        </w:rPr>
        <w:t> </w:t>
      </w:r>
      <w:r>
        <w:rPr>
          <w:rFonts w:ascii="Times New Roman" w:hAnsi="Times New Roman"/>
          <w:sz w:val="20"/>
        </w:rPr>
        <w:t>in the Middle East,</w:t>
      </w:r>
      <w:r>
        <w:rPr>
          <w:rFonts w:ascii="Times New Roman" w:hAnsi="Times New Roman"/>
          <w:sz w:val="24"/>
        </w:rPr>
        <w:t> </w:t>
      </w:r>
      <w:r>
        <w:rPr>
          <w:rFonts w:ascii="Times New Roman" w:hAnsi="Times New Roman"/>
          <w:sz w:val="20"/>
        </w:rPr>
        <w:t>two</w:t>
      </w:r>
      <w:r>
        <w:rPr>
          <w:rFonts w:ascii="Times New Roman" w:hAnsi="Times New Roman"/>
          <w:sz w:val="24"/>
        </w:rPr>
        <w:t> </w:t>
      </w:r>
      <w:r>
        <w:rPr>
          <w:rFonts w:ascii="Times New Roman" w:hAnsi="Times New Roman"/>
          <w:sz w:val="20"/>
        </w:rPr>
        <w:t>in South America and</w:t>
      </w:r>
      <w:r>
        <w:rPr>
          <w:rFonts w:ascii="Times New Roman" w:hAnsi="Times New Roman"/>
          <w:sz w:val="24"/>
        </w:rPr>
        <w:t> </w:t>
      </w:r>
      <w:r>
        <w:rPr>
          <w:rFonts w:ascii="Times New Roman" w:hAnsi="Times New Roman"/>
          <w:sz w:val="20"/>
        </w:rPr>
        <w:t>three</w:t>
      </w:r>
      <w:r>
        <w:rPr>
          <w:rFonts w:ascii="Times New Roman" w:hAnsi="Times New Roman"/>
          <w:sz w:val="24"/>
        </w:rPr>
        <w:t> </w:t>
      </w:r>
      <w:r>
        <w:rPr>
          <w:rFonts w:ascii="Times New Roman" w:hAnsi="Times New Roman"/>
          <w:sz w:val="20"/>
        </w:rPr>
        <w:t>in Africa.</w:t>
      </w:r>
      <w:r>
        <w:rPr>
          <w:rFonts w:ascii="Times New Roman" w:hAnsi="Times New Roman"/>
          <w:sz w:val="24"/>
        </w:rPr>
        <w:t> </w:t>
      </w:r>
      <w:r>
        <w:rPr>
          <w:rFonts w:ascii="Times New Roman" w:hAnsi="Times New Roman"/>
          <w:sz w:val="20"/>
        </w:rPr>
        <w:t>Our executive offices are located in Leawood, Kansas, USA. With approximately 75.6%</w:t>
      </w:r>
      <w:r>
        <w:rPr>
          <w:rFonts w:ascii="Times New Roman" w:hAnsi="Times New Roman"/>
          <w:sz w:val="24"/>
        </w:rPr>
        <w:t> </w:t>
      </w:r>
      <w:r>
        <w:rPr>
          <w:rFonts w:ascii="Times New Roman" w:hAnsi="Times New Roman"/>
          <w:sz w:val="20"/>
        </w:rPr>
        <w:t>of our revenues denominated in currencies other than the U.S. dollar, any significant changes in foreign currency exchange rates will</w:t>
      </w:r>
      <w:r>
        <w:rPr>
          <w:rFonts w:ascii="Times New Roman" w:hAnsi="Times New Roman"/>
          <w:sz w:val="24"/>
        </w:rPr>
        <w:t> </w:t>
      </w:r>
      <w:r>
        <w:rPr>
          <w:rFonts w:ascii="Times New Roman" w:hAnsi="Times New Roman"/>
          <w:sz w:val="20"/>
        </w:rPr>
        <w:t>likely have a significant impact on our results of operations</w:t>
      </w:r>
      <w:r>
        <w:rPr>
          <w:rFonts w:ascii="Times New Roman" w:hAnsi="Times New Roman"/>
          <w:sz w:val="24"/>
        </w:rPr>
        <w:t> </w:t>
      </w:r>
      <w:r>
        <w:rPr>
          <w:rFonts w:ascii="Times New Roman" w:hAnsi="Times New Roman"/>
          <w:sz w:val="20"/>
        </w:rPr>
        <w:t xml:space="preserve">(for a further discussion, see Item </w:t>
      </w:r>
      <w:r>
        <w:rPr>
          <w:rFonts w:ascii="Times New Roman" w:hAnsi="Times New Roman"/>
          <w:sz w:val="20"/>
          <w:shd w:fill="FFFFFF" w:val="clear"/>
        </w:rPr>
        <w:t>1</w:t>
      </w:r>
      <w:r>
        <w:rPr>
          <w:rFonts w:ascii="Times New Roman" w:hAnsi="Times New Roman"/>
          <w:sz w:val="20"/>
        </w:rPr>
        <w:t>A - Risk Factors in our Annual Report on Form 10-K for the year ended December 31, 2024).</w:t>
      </w:r>
    </w:p>
    <w:p>
      <w:pPr>
        <w:pStyle w:val="TextBody"/>
        <w:bidi w:val="0"/>
        <w:spacing w:lineRule="atLeast" w:line="240" w:before="200" w:after="0"/>
        <w:jc w:val="both"/>
        <w:rPr>
          <w:rFonts w:ascii="Times New Roman" w:hAnsi="Times New Roman"/>
          <w:b/>
          <w:sz w:val="20"/>
          <w:shd w:fill="FFFFFF" w:val="clear"/>
        </w:rPr>
      </w:pPr>
      <w:r>
        <w:rPr>
          <w:rFonts w:ascii="Times New Roman" w:hAnsi="Times New Roman"/>
          <w:b/>
          <w:sz w:val="20"/>
          <w:shd w:fill="FFFFFF" w:val="clear"/>
        </w:rPr>
        <w:t>SOURCES OF REVENUES AND CASH FLOW</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shd w:fill="FFFFFF" w:val="clear"/>
        </w:rPr>
        <w:t>Euronet earns revenues and income primarily from ATM management fees, transaction fees, commissions and foreign currency exchange margin. Each operating segment’s sources of revenues are described below.</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i/>
          <w:sz w:val="20"/>
          <w:shd w:fill="FFFFFF" w:val="clear"/>
        </w:rPr>
        <w:t>EFT Processing Segment</w:t>
      </w:r>
      <w:r>
        <w:rPr>
          <w:rFonts w:ascii="Times New Roman" w:hAnsi="Times New Roman"/>
          <w:sz w:val="24"/>
          <w:shd w:fill="FFFFFF" w:val="clear"/>
        </w:rPr>
        <w:t xml:space="preserve"> — </w:t>
      </w:r>
      <w:r>
        <w:rPr>
          <w:rFonts w:ascii="Times New Roman" w:hAnsi="Times New Roman"/>
          <w:sz w:val="20"/>
          <w:shd w:fill="FFFFFF" w:val="clear"/>
        </w:rPr>
        <w:t>Revenues in the EFT Processing Segment, which represented approximately 31% and 29%</w:t>
      </w:r>
      <w:r>
        <w:rPr>
          <w:rFonts w:ascii="Times New Roman" w:hAnsi="Times New Roman"/>
          <w:sz w:val="24"/>
          <w:shd w:fill="FFFFFF" w:val="clear"/>
        </w:rPr>
        <w:t> </w:t>
      </w:r>
      <w:r>
        <w:rPr>
          <w:rFonts w:ascii="Times New Roman" w:hAnsi="Times New Roman"/>
          <w:sz w:val="20"/>
          <w:shd w:fill="FFFFFF" w:val="clear"/>
        </w:rPr>
        <w:t>of total consolidated revenues for the three and six months ended June 30, 2025</w:t>
      </w:r>
      <w:r>
        <w:rPr>
          <w:rFonts w:ascii="Times New Roman" w:hAnsi="Times New Roman"/>
          <w:sz w:val="24"/>
          <w:shd w:fill="FFFFFF" w:val="clear"/>
        </w:rPr>
        <w:t> </w:t>
      </w:r>
      <w:r>
        <w:rPr>
          <w:rFonts w:ascii="Times New Roman" w:hAnsi="Times New Roman"/>
          <w:sz w:val="20"/>
          <w:shd w:fill="FFFFFF" w:val="clear"/>
        </w:rPr>
        <w:t>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w:t>
      </w:r>
      <w:r>
        <w:rPr>
          <w:rFonts w:ascii="Times New Roman" w:hAnsi="Times New Roman"/>
          <w:sz w:val="24"/>
          <w:shd w:fill="FFFFFF" w:val="clear"/>
        </w:rPr>
        <w:t> </w:t>
      </w:r>
      <w:r>
        <w:rPr>
          <w:rFonts w:ascii="Times New Roman" w:hAnsi="Times New Roman"/>
          <w:sz w:val="20"/>
          <w:shd w:fill="FFFFFF" w:val="clear"/>
        </w:rPr>
        <w:t>over ATMs. Revenues in this segment are also derived from cardless payment, banknote recycling, tax refund services, license fees, professional services and maintenance fees for proprietary application software and sales of related hardware.</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sz w:val="24"/>
        </w:rPr>
      </w:pPr>
      <w:r>
        <w:rPr>
          <w:rFonts w:ascii="Times New Roman" w:hAnsi="Times New Roman"/>
          <w:i/>
          <w:sz w:val="20"/>
        </w:rPr>
        <w:t>epay Segment</w:t>
      </w:r>
      <w:r>
        <w:rPr>
          <w:rFonts w:ascii="Times New Roman" w:hAnsi="Times New Roman"/>
          <w:sz w:val="24"/>
        </w:rPr>
        <w:t xml:space="preserve"> —  </w:t>
      </w:r>
      <w:r>
        <w:rPr>
          <w:rFonts w:ascii="Times New Roman" w:hAnsi="Times New Roman"/>
          <w:sz w:val="20"/>
        </w:rPr>
        <w:t>Revenues in the epay Segment, which represented approximately 26% and 27%</w:t>
      </w:r>
      <w:r>
        <w:rPr>
          <w:rFonts w:ascii="Times New Roman" w:hAnsi="Times New Roman"/>
          <w:sz w:val="24"/>
        </w:rPr>
        <w:t> </w:t>
      </w:r>
      <w:r>
        <w:rPr>
          <w:rFonts w:ascii="Times New Roman" w:hAnsi="Times New Roman"/>
          <w:sz w:val="20"/>
        </w:rPr>
        <w:t>of total consolidated revenues for the three and six months ended June 30, 2025</w:t>
      </w:r>
      <w:r>
        <w:rPr>
          <w:rFonts w:ascii="Times New Roman" w:hAnsi="Times New Roman"/>
          <w:sz w:val="24"/>
        </w:rPr>
        <w:t> </w:t>
      </w:r>
      <w:r>
        <w:rPr>
          <w:rFonts w:ascii="Times New Roman" w:hAnsi="Times New Roman"/>
          <w:sz w:val="20"/>
        </w:rPr>
        <w:t>are 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has decreased over time, and digital media content now produces approximately 70%</w:t>
      </w:r>
      <w:r>
        <w:rPr>
          <w:rFonts w:ascii="Times New Roman" w:hAnsi="Times New Roman"/>
          <w:sz w:val="24"/>
        </w:rPr>
        <w:t> </w:t>
      </w:r>
      <w:r>
        <w:rPr>
          <w:rFonts w:ascii="Times New Roman" w:hAnsi="Times New Roman"/>
          <w:sz w:val="20"/>
        </w:rPr>
        <w:t>of epay Segment revenues. Digital media content offered by this segment includes digital content such as music, games, and software, as well as other products including prepaid long distance calling card plans, prepaid Internet plans, prepaid debit cards, gift cards, vouchers, transport payments, lottery payments, bill payment, and money transfer.</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i/>
          <w:sz w:val="20"/>
        </w:rPr>
        <w:t>Money Transfer Segment</w:t>
      </w:r>
      <w:r>
        <w:rPr>
          <w:rFonts w:ascii="Times New Roman" w:hAnsi="Times New Roman"/>
          <w:sz w:val="24"/>
        </w:rPr>
        <w:t xml:space="preserve"> — </w:t>
      </w:r>
      <w:r>
        <w:rPr>
          <w:rFonts w:ascii="Times New Roman" w:hAnsi="Times New Roman"/>
          <w:sz w:val="20"/>
        </w:rPr>
        <w:t>Revenues in the Money Transfer Segment, which represented approximately 43% and 44%</w:t>
      </w:r>
      <w:r>
        <w:rPr>
          <w:rFonts w:ascii="Times New Roman" w:hAnsi="Times New Roman"/>
          <w:sz w:val="24"/>
        </w:rPr>
        <w:t> </w:t>
      </w:r>
      <w:r>
        <w:rPr>
          <w:rFonts w:ascii="Times New Roman" w:hAnsi="Times New Roman"/>
          <w:sz w:val="20"/>
        </w:rPr>
        <w:t>of total consolidated revenues for the three and six months ended June 30, 2025,</w:t>
      </w:r>
      <w:r>
        <w:rPr>
          <w:rFonts w:ascii="Times New Roman" w:hAnsi="Times New Roman"/>
          <w:sz w:val="24"/>
        </w:rPr>
        <w:t> </w:t>
      </w:r>
      <w:r>
        <w:rPr>
          <w:rFonts w:ascii="Times New Roman" w:hAnsi="Times New Roman"/>
          <w:sz w:val="20"/>
        </w:rPr>
        <w:t>are primarily derived from transaction fees, as well as the margin earned from purchasing foreign currency</w:t>
      </w:r>
      <w:r>
        <w:rPr>
          <w:rFonts w:ascii="Times New Roman" w:hAnsi="Times New Roman"/>
          <w:sz w:val="24"/>
        </w:rPr>
        <w:t> </w:t>
      </w:r>
      <w:r>
        <w:rPr>
          <w:rFonts w:ascii="Times New Roman" w:hAnsi="Times New Roman"/>
          <w:sz w:val="20"/>
        </w:rPr>
        <w:t>at wholesale exchange rates and selling the foreign currency to customers at retail exchange rates. We have a sending agent network in place comprised of agents, customer service representatives, Company-owned stores, primarily in North America, Europe and Malaysia, Ria, and xe branded websites, along with a worldwide network of correspondent agents, consisting primarily of financial institutions in the transfer destination countries. Under the brand "Dandelion", Ria offers payment processing services to third party partners. The Dandelion cross-border payments platform provides financial institutions, fintechs such as digital wallets and banks, and enterprise software companies access to Euronet's money transfer network through an API connection. Sending and correspondent agents each earn fees for cash collection and distribution services, which are recognized as direct operating costs at the time of sale.</w:t>
      </w:r>
    </w:p>
    <w:p>
      <w:pPr>
        <w:pStyle w:val="TextBody"/>
        <w:bidi w:val="0"/>
        <w:spacing w:lineRule="atLeast" w:line="240" w:before="0" w:after="0"/>
        <w:jc w:val="both"/>
        <w:rPr/>
      </w:pPr>
      <w:r>
        <w:rPr/>
        <w:t> </w:t>
      </w:r>
    </w:p>
    <w:p>
      <w:pPr>
        <w:pStyle w:val="TextBody"/>
        <w:bidi w:val="0"/>
        <w:spacing w:lineRule="atLeast" w:line="240" w:before="0" w:after="200"/>
        <w:jc w:val="both"/>
        <w:rPr>
          <w:rFonts w:ascii="Times New Roman" w:hAnsi="Times New Roman"/>
          <w:sz w:val="24"/>
        </w:rPr>
      </w:pPr>
      <w:r>
        <w:rPr>
          <w:rFonts w:ascii="Times New Roman" w:hAnsi="Times New Roman"/>
          <w:i/>
          <w:sz w:val="20"/>
        </w:rPr>
        <w:t>Corporate Services, Eliminations and Other</w:t>
      </w:r>
      <w:r>
        <w:rPr>
          <w:rFonts w:ascii="Times New Roman" w:hAnsi="Times New Roman"/>
          <w:sz w:val="24"/>
        </w:rPr>
        <w:t xml:space="preserve"> — </w:t>
      </w:r>
      <w:r>
        <w:rPr>
          <w:rFonts w:ascii="Times New Roman" w:hAnsi="Times New Roman"/>
          <w:sz w:val="20"/>
        </w:rPr>
        <w:t>In addition to operating in our principal operating segments described above, our “Corporate Services, 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pStyle w:val="TextBody"/>
        <w:bidi w:val="0"/>
        <w:spacing w:lineRule="atLeast" w:line="240" w:before="0" w:after="200"/>
        <w:jc w:val="both"/>
        <w:rPr>
          <w:rFonts w:ascii="Times New Roman" w:hAnsi="Times New Roman"/>
          <w:b/>
          <w:sz w:val="20"/>
        </w:rPr>
      </w:pPr>
      <w:r>
        <w:rPr>
          <w:rFonts w:ascii="Times New Roman" w:hAnsi="Times New Roman"/>
          <w:b/>
          <w:sz w:val="20"/>
        </w:rPr>
        <w:t>Opportunities and Challenges</w:t>
      </w:r>
    </w:p>
    <w:p>
      <w:pPr>
        <w:pStyle w:val="TextBody"/>
        <w:bidi w:val="0"/>
        <w:spacing w:lineRule="atLeast" w:line="240" w:before="0" w:after="200"/>
        <w:jc w:val="both"/>
        <w:rPr>
          <w:rFonts w:ascii="Times New Roman" w:hAnsi="Times New Roman"/>
          <w:sz w:val="24"/>
        </w:rPr>
      </w:pPr>
      <w:r>
        <w:rPr>
          <w:rFonts w:ascii="Times New Roman" w:hAnsi="Times New Roman"/>
          <w:sz w:val="20"/>
        </w:rPr>
        <w:t>The global</w:t>
      </w:r>
      <w:r>
        <w:rPr>
          <w:rFonts w:ascii="Times New Roman" w:hAnsi="Times New Roman"/>
          <w:sz w:val="24"/>
        </w:rPr>
        <w:t> </w:t>
      </w:r>
      <w:r>
        <w:rPr>
          <w:rFonts w:ascii="Times New Roman" w:hAnsi="Times New Roman"/>
          <w:sz w:val="20"/>
        </w:rPr>
        <w:t>product markets</w:t>
      </w:r>
      <w:r>
        <w:rPr>
          <w:rFonts w:ascii="Times New Roman" w:hAnsi="Times New Roman"/>
          <w:sz w:val="24"/>
        </w:rPr>
        <w:t> </w:t>
      </w:r>
      <w:r>
        <w:rPr>
          <w:rFonts w:ascii="Times New Roman" w:hAnsi="Times New Roman"/>
          <w:sz w:val="20"/>
        </w:rPr>
        <w:t>in which we operate are large and fragmented, which poses both opportunities and challenges for our technology to disrupt new and existing competition. As an organization, our focus is on increasing our market presence through both physical (ATMs, POS terminals, Company stores and agent correspondents) and digital assets and providing new and improved products and services for customers through all of our channels, which may in turn drive an increase in the number of transactions on our networks. Each of these opportunities also presents us with challenges, including differentiating our portfolio of products and services in highly competitive markets, the successful development and implementation of our software products and access to financing for expansion.</w:t>
      </w:r>
      <w:r>
        <w:rPr>
          <w:rFonts w:ascii="Times New Roman" w:hAnsi="Times New Roman"/>
          <w:sz w:val="24"/>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1) The EFT Processing Segment opportunities include physical expansion into target markets, developing value-added products or services, increasing high value DCC and surcharge transactions and efficiently leveraging our portfolio of software solutions. Our opportunities are dependent on renewing and expanding our card acceptance, ATM, POS and merchant acquiring services, cash supply and other commercial agreements with customers and financial institutions. Operational challenges in the EFT Processing Segment include obtaining and maintaining the required licenses and sponsorship agreements in markets in which we operate and navigating frequently changing rules imposed by international card organizations, such as Visa</w:t>
      </w:r>
      <w:r>
        <w:rPr>
          <w:rFonts w:ascii="Times New Roman" w:hAnsi="Times New Roman"/>
          <w:sz w:val="11"/>
        </w:rPr>
        <w:t>®</w:t>
      </w:r>
      <w:r>
        <w:rPr>
          <w:rFonts w:ascii="Times New Roman" w:hAnsi="Times New Roman"/>
          <w:sz w:val="24"/>
        </w:rPr>
        <w:t> </w:t>
      </w:r>
      <w:r>
        <w:rPr>
          <w:rFonts w:ascii="Times New Roman" w:hAnsi="Times New Roman"/>
          <w:sz w:val="20"/>
        </w:rPr>
        <w:t>and Mastercard</w:t>
      </w:r>
      <w:r>
        <w:rPr>
          <w:rFonts w:ascii="Times New Roman" w:hAnsi="Times New Roman"/>
          <w:sz w:val="11"/>
        </w:rPr>
        <w:t>®</w:t>
      </w:r>
      <w:r>
        <w:rPr>
          <w:rFonts w:ascii="Times New Roman" w:hAnsi="Times New Roman"/>
          <w:sz w:val="20"/>
        </w:rPr>
        <w:t>, that govern ATM interchange fees, direct access fees and other restrictions. Our profitability is dependent on the laws and regulations that govern DCC transactions, specifically in the E.U., as well as the laws and regulations of each country in which we operate. These laws and regulations may impact our cross-border and cross-currency transactions. The timing and amount of revenues in the EFT Processing Segment is uncertain and unpredictable due to inherent limitations in managing our estate of ATMs. Our ATM estate is dependent on contracts that cover large numbers of ATMs, and management is complicated by legal and regulatory considerations of local countries, as well as customers' decisions whether to outsource ATMs.</w:t>
      </w:r>
      <w:r>
        <w:rPr>
          <w:rFonts w:ascii="Times New Roman" w:hAnsi="Times New Roman"/>
          <w:sz w:val="24"/>
        </w:rPr>
        <w:t> </w:t>
      </w:r>
      <w:r>
        <w:rPr>
          <w:rFonts w:ascii="Times New Roman" w:hAnsi="Times New Roman"/>
          <w:sz w:val="20"/>
        </w:rPr>
        <w:t>Inflationary</w:t>
      </w:r>
      <w:r>
        <w:rPr>
          <w:rFonts w:ascii="Times New Roman" w:hAnsi="Times New Roman"/>
          <w:sz w:val="24"/>
        </w:rPr>
        <w:t> </w:t>
      </w:r>
      <w:r>
        <w:rPr>
          <w:rFonts w:ascii="Times New Roman" w:hAnsi="Times New Roman"/>
          <w:sz w:val="20"/>
        </w:rPr>
        <w:t>pressure may impact our business as travelers have less cash available to spend on vacations.</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2)</w:t>
      </w:r>
      <w:r>
        <w:rPr>
          <w:rFonts w:ascii="Times New Roman" w:hAnsi="Times New Roman"/>
          <w:sz w:val="24"/>
        </w:rPr>
        <w:t> </w:t>
      </w:r>
      <w:r>
        <w:rPr>
          <w:rFonts w:ascii="Times New Roman" w:hAnsi="Times New Roman"/>
          <w:sz w:val="20"/>
        </w:rPr>
        <w:t>The epay Segment opportunities include renewing existing and negotiating new agreements in target markets in which we operate, primarily with digital content providers,</w:t>
      </w:r>
      <w:r>
        <w:rPr>
          <w:rFonts w:ascii="Times New Roman" w:hAnsi="Times New Roman"/>
          <w:sz w:val="24"/>
        </w:rPr>
        <w:t> </w:t>
      </w:r>
      <w:r>
        <w:rPr>
          <w:rFonts w:ascii="Times New Roman" w:hAnsi="Times New Roman"/>
          <w:sz w:val="20"/>
        </w:rPr>
        <w:t>mobile operators,</w:t>
      </w:r>
      <w:r>
        <w:rPr>
          <w:rFonts w:ascii="Times New Roman" w:hAnsi="Times New Roman"/>
          <w:sz w:val="24"/>
        </w:rPr>
        <w:t> </w:t>
      </w:r>
      <w:r>
        <w:rPr>
          <w:rFonts w:ascii="Times New Roman" w:hAnsi="Times New Roman"/>
          <w:sz w:val="20"/>
        </w:rPr>
        <w:t>financial institutions and retailers. The overall growth rate in the</w:t>
      </w:r>
      <w:r>
        <w:rPr>
          <w:rFonts w:ascii="Times New Roman" w:hAnsi="Times New Roman"/>
          <w:sz w:val="24"/>
        </w:rPr>
        <w:t> </w:t>
      </w:r>
      <w:r>
        <w:rPr>
          <w:rFonts w:ascii="Times New Roman" w:hAnsi="Times New Roman"/>
          <w:sz w:val="20"/>
        </w:rPr>
        <w:t>digital media content and</w:t>
      </w:r>
      <w:r>
        <w:rPr>
          <w:rFonts w:ascii="Times New Roman" w:hAnsi="Times New Roman"/>
          <w:sz w:val="24"/>
        </w:rPr>
        <w:t> </w:t>
      </w:r>
      <w:r>
        <w:rPr>
          <w:rFonts w:ascii="Times New Roman" w:hAnsi="Times New Roman"/>
          <w:sz w:val="20"/>
        </w:rPr>
        <w:t>prepaid mobile phone markets, shifts between prepaid and postpaid services, and our market share in those respective markets will have a significant impact on our ability to maintain and grow the epay Segment revenues. There is significant competition in these markets that may impact our ability to grow organically and increase the margin we earn and the margin that we pay to retailers. The profitability of the epay Segment is dependent on our ability to adapt to new technologies that may compete with POS distribution of digital content and prepaid mobile airtime, as well as our ability to leverage cross-selling opportunities with our EFT and Money Transfer Segments. The epay Segment opportunities may be impacted by government-imposed restrictions on retailers and/or content providers</w:t>
      </w:r>
      <w:r>
        <w:rPr>
          <w:rFonts w:ascii="Times New Roman" w:hAnsi="Times New Roman"/>
          <w:sz w:val="24"/>
        </w:rPr>
        <w:t> </w:t>
      </w:r>
      <w:r>
        <w:rPr>
          <w:rFonts w:ascii="Times New Roman" w:hAnsi="Times New Roman"/>
          <w:sz w:val="20"/>
        </w:rPr>
        <w:t>with whom we partner in countries in which we have a presence, and corresponding licensure requirements mandated upon such parties to legally operate in such countries.</w:t>
      </w:r>
      <w:r>
        <w:rPr>
          <w:rFonts w:ascii="Times New Roman" w:hAnsi="Times New Roman"/>
          <w:sz w:val="24"/>
        </w:rPr>
        <w:t> </w:t>
      </w:r>
    </w:p>
    <w:p>
      <w:pPr>
        <w:pStyle w:val="TextBody"/>
        <w:bidi w:val="0"/>
        <w:spacing w:lineRule="atLeast" w:line="288" w:before="0" w:after="0"/>
        <w:jc w:val="both"/>
        <w:rPr/>
      </w:pPr>
      <w:r>
        <w:rPr/>
        <w:t> </w:t>
      </w:r>
    </w:p>
    <w:p>
      <w:pPr>
        <w:pStyle w:val="TextBody"/>
        <w:bidi w:val="0"/>
        <w:spacing w:lineRule="atLeast" w:line="240" w:before="0" w:after="200"/>
        <w:jc w:val="both"/>
        <w:rPr>
          <w:rFonts w:ascii="Times New Roman" w:hAnsi="Times New Roman"/>
          <w:sz w:val="24"/>
        </w:rPr>
      </w:pPr>
      <w:r>
        <w:rPr>
          <w:rFonts w:ascii="Times New Roman" w:hAnsi="Times New Roman"/>
          <w:sz w:val="20"/>
        </w:rPr>
        <w:t>3) The Money Transfer Segment opportunities include expanding our portfolio of products and services to new and existing customers around the globe, which in turn may lead to an increase in transaction volumes. The opportunities to expand are contingent on our ability to effectively leverage our network of bank accounts for digital money transfer delivery, maintaining our physical agent network, cross selling opportunities with our EFT and epay</w:t>
      </w:r>
      <w:r>
        <w:rPr>
          <w:rFonts w:ascii="Times New Roman" w:hAnsi="Times New Roman"/>
          <w:sz w:val="24"/>
        </w:rPr>
        <w:t> </w:t>
      </w:r>
      <w:r>
        <w:rPr>
          <w:rFonts w:ascii="Times New Roman" w:hAnsi="Times New Roman"/>
          <w:sz w:val="20"/>
        </w:rPr>
        <w:t>Segments and our penetration into high growth money transfer corridors. The challenges inherent</w:t>
      </w:r>
      <w:r>
        <w:rPr>
          <w:rFonts w:ascii="Times New Roman" w:hAnsi="Times New Roman"/>
          <w:sz w:val="24"/>
        </w:rPr>
        <w:t> </w:t>
      </w:r>
      <w:r>
        <w:rPr>
          <w:rFonts w:ascii="Times New Roman" w:hAnsi="Times New Roman"/>
          <w:sz w:val="20"/>
        </w:rPr>
        <w:t>in these opportunities include maintaining compliance with all regulatory requirements, maintaining all required</w:t>
      </w:r>
      <w:r>
        <w:rPr>
          <w:rFonts w:ascii="Times New Roman" w:hAnsi="Times New Roman"/>
          <w:sz w:val="24"/>
        </w:rPr>
        <w:t> </w:t>
      </w:r>
      <w:r>
        <w:rPr>
          <w:rFonts w:ascii="Times New Roman" w:hAnsi="Times New Roman"/>
          <w:sz w:val="20"/>
        </w:rPr>
        <w:t>licenses, ensuring the recoverability of funds advanced to agents and the continued reliance on the technologies required to operate our business. The volume of transactions processed on our network is impacted by shifts in our customer base, which can change rapidly with worker migration patterns and changes in unbanked populations across the globe. Foreign regulations that impact cross-border migration patterns</w:t>
      </w:r>
      <w:r>
        <w:rPr>
          <w:rFonts w:ascii="Times New Roman" w:hAnsi="Times New Roman"/>
          <w:sz w:val="24"/>
        </w:rPr>
        <w:t> </w:t>
      </w:r>
      <w:r>
        <w:rPr>
          <w:rFonts w:ascii="Times New Roman" w:hAnsi="Times New Roman"/>
          <w:sz w:val="20"/>
        </w:rPr>
        <w:t>and the money transfer markets can significantly impact our ability to grow the number of transactions on our network.</w:t>
      </w:r>
    </w:p>
    <w:p>
      <w:pPr>
        <w:pStyle w:val="TextBody"/>
        <w:bidi w:val="0"/>
        <w:spacing w:lineRule="atLeast" w:line="240" w:before="0" w:after="200"/>
        <w:jc w:val="both"/>
        <w:rPr>
          <w:rFonts w:ascii="Times New Roman" w:hAnsi="Times New Roman"/>
          <w:sz w:val="20"/>
        </w:rPr>
      </w:pPr>
      <w:r>
        <w:rPr>
          <w:rFonts w:ascii="Times New Roman" w:hAnsi="Times New Roman"/>
          <w:sz w:val="20"/>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 Recently, inflation has been increasing our cost structure in many parts of the world in which we operate.</w:t>
      </w:r>
    </w:p>
    <w:p>
      <w:pPr>
        <w:pStyle w:val="TextBody"/>
        <w:bidi w:val="0"/>
        <w:spacing w:before="0" w:after="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spacing w:lineRule="atLeast" w:line="240" w:before="0" w:after="200"/>
        <w:jc w:val="both"/>
        <w:rPr>
          <w:rFonts w:ascii="Times New Roman" w:hAnsi="Times New Roman"/>
          <w:b/>
          <w:sz w:val="20"/>
        </w:rPr>
      </w:pPr>
      <w:r>
        <w:rPr>
          <w:rFonts w:ascii="Times New Roman" w:hAnsi="Times New Roman"/>
          <w:b/>
          <w:sz w:val="20"/>
        </w:rPr>
        <w:t>SEGMENT SUMMARY RESULTS OF OPERATIONS</w:t>
      </w:r>
    </w:p>
    <w:p>
      <w:pPr>
        <w:pStyle w:val="TextBody"/>
        <w:bidi w:val="0"/>
        <w:spacing w:lineRule="atLeast" w:line="240" w:before="0" w:after="0"/>
        <w:jc w:val="both"/>
        <w:rPr>
          <w:rFonts w:ascii="Times New Roman" w:hAnsi="Times New Roman"/>
          <w:sz w:val="24"/>
        </w:rPr>
      </w:pPr>
      <w:r>
        <w:rPr>
          <w:rFonts w:ascii="Times New Roman" w:hAnsi="Times New Roman"/>
          <w:sz w:val="20"/>
        </w:rPr>
        <w:t>Revenues and operating income by segment for the</w:t>
      </w:r>
      <w:r>
        <w:rPr>
          <w:rFonts w:ascii="Times New Roman" w:hAnsi="Times New Roman"/>
          <w:sz w:val="24"/>
        </w:rPr>
        <w:t> </w:t>
      </w:r>
      <w:r>
        <w:rPr>
          <w:rFonts w:ascii="Times New Roman" w:hAnsi="Times New Roman"/>
          <w:sz w:val="20"/>
        </w:rPr>
        <w:t>three and six months ended June 30, 2025</w:t>
      </w:r>
      <w:r>
        <w:rPr>
          <w:rFonts w:ascii="Times New Roman" w:hAnsi="Times New Roman"/>
          <w:sz w:val="24"/>
        </w:rPr>
        <w:t> </w:t>
      </w:r>
      <w:r>
        <w:rPr>
          <w:rFonts w:ascii="Times New Roman" w:hAnsi="Times New Roman"/>
          <w:sz w:val="20"/>
        </w:rPr>
        <w:t>and</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are summarized in the tables below:</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32"/>
        <w:gridCol w:w="60"/>
        <w:gridCol w:w="125"/>
        <w:gridCol w:w="883"/>
        <w:gridCol w:w="83"/>
        <w:gridCol w:w="173"/>
        <w:gridCol w:w="674"/>
        <w:gridCol w:w="60"/>
        <w:gridCol w:w="125"/>
        <w:gridCol w:w="1068"/>
        <w:gridCol w:w="60"/>
        <w:gridCol w:w="767"/>
        <w:gridCol w:w="185"/>
        <w:gridCol w:w="60"/>
        <w:gridCol w:w="60"/>
        <w:gridCol w:w="125"/>
        <w:gridCol w:w="820"/>
        <w:gridCol w:w="77"/>
        <w:gridCol w:w="161"/>
        <w:gridCol w:w="820"/>
        <w:gridCol w:w="60"/>
        <w:gridCol w:w="125"/>
        <w:gridCol w:w="1068"/>
        <w:gridCol w:w="60"/>
        <w:gridCol w:w="767"/>
        <w:gridCol w:w="207"/>
      </w:tblGrid>
      <w:tr>
        <w:trPr/>
        <w:tc>
          <w:tcPr>
            <w:tcW w:w="153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81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Revenue for the Three Months Ended June 30,</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1895"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878"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Revenue for the Six Months Ended June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895"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20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32"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8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83" w:type="dxa"/>
            <w:tcBorders>
              <w:top w:val="single" w:sz="8" w:space="0" w:color="000000"/>
            </w:tcBorders>
            <w:tcMar>
              <w:top w:w="28" w:type="dxa"/>
            </w:tcMar>
            <w:vAlign w:val="center"/>
          </w:tcPr>
          <w:p>
            <w:pPr>
              <w:pStyle w:val="TableContents"/>
              <w:bidi w:val="0"/>
              <w:spacing w:before="0" w:after="0"/>
              <w:jc w:val="left"/>
              <w:rPr/>
            </w:pPr>
            <w:r>
              <w:rPr/>
              <w:t> </w:t>
            </w:r>
          </w:p>
        </w:tc>
        <w:tc>
          <w:tcPr>
            <w:tcW w:w="17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7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06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76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Percent</w:t>
            </w:r>
          </w:p>
        </w:tc>
        <w:tc>
          <w:tcPr>
            <w:tcW w:w="1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2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77" w:type="dxa"/>
            <w:tcBorders>
              <w:top w:val="single" w:sz="8" w:space="0" w:color="000000"/>
            </w:tcBorders>
            <w:tcMar>
              <w:top w:w="28" w:type="dxa"/>
            </w:tcMar>
            <w:vAlign w:val="center"/>
          </w:tcPr>
          <w:p>
            <w:pPr>
              <w:pStyle w:val="TableContents"/>
              <w:bidi w:val="0"/>
              <w:spacing w:before="0" w:after="0"/>
              <w:jc w:val="left"/>
              <w:rPr/>
            </w:pPr>
            <w:r>
              <w:rPr/>
              <w:t> </w:t>
            </w:r>
          </w:p>
        </w:tc>
        <w:tc>
          <w:tcPr>
            <w:tcW w:w="16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2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6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76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Percent</w:t>
            </w:r>
          </w:p>
        </w:tc>
        <w:tc>
          <w:tcPr>
            <w:tcW w:w="20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r>
      <w:tr>
        <w:trPr/>
        <w:tc>
          <w:tcPr>
            <w:tcW w:w="1532"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EFT Processing</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338.5</w:t>
            </w:r>
          </w:p>
        </w:tc>
        <w:tc>
          <w:tcPr>
            <w:tcW w:w="83" w:type="dxa"/>
            <w:tcBorders/>
            <w:shd w:fill="CCEEFF" w:val="clear"/>
            <w:vAlign w:val="center"/>
          </w:tcPr>
          <w:p>
            <w:pPr>
              <w:pStyle w:val="TableContents"/>
              <w:bidi w:val="0"/>
              <w:spacing w:before="0" w:after="0"/>
              <w:jc w:val="left"/>
              <w:rPr/>
            </w:pPr>
            <w:r>
              <w:rPr/>
              <w:t> </w:t>
            </w:r>
          </w:p>
        </w:tc>
        <w:tc>
          <w:tcPr>
            <w:tcW w:w="173"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4"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305.4</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6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33.1</w:t>
            </w:r>
          </w:p>
        </w:tc>
        <w:tc>
          <w:tcPr>
            <w:tcW w:w="60" w:type="dxa"/>
            <w:tcBorders/>
            <w:shd w:fill="CCEEFF" w:val="clear"/>
            <w:vAlign w:val="center"/>
          </w:tcPr>
          <w:p>
            <w:pPr>
              <w:pStyle w:val="TableContents"/>
              <w:bidi w:val="0"/>
              <w:spacing w:before="0" w:after="0"/>
              <w:jc w:val="right"/>
              <w:rPr/>
            </w:pPr>
            <w:r>
              <w:rPr/>
              <w:t> </w:t>
            </w:r>
          </w:p>
        </w:tc>
        <w:tc>
          <w:tcPr>
            <w:tcW w:w="76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2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571.0</w:t>
            </w:r>
          </w:p>
        </w:tc>
        <w:tc>
          <w:tcPr>
            <w:tcW w:w="77" w:type="dxa"/>
            <w:tcBorders/>
            <w:shd w:fill="CCEEFF" w:val="clear"/>
            <w:vAlign w:val="center"/>
          </w:tcPr>
          <w:p>
            <w:pPr>
              <w:pStyle w:val="TableContents"/>
              <w:bidi w:val="0"/>
              <w:spacing w:before="0" w:after="0"/>
              <w:jc w:val="right"/>
              <w:rPr/>
            </w:pPr>
            <w:r>
              <w:rPr/>
              <w:t> </w:t>
            </w:r>
          </w:p>
        </w:tc>
        <w:tc>
          <w:tcPr>
            <w:tcW w:w="16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2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522.6</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6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48.4</w:t>
            </w:r>
          </w:p>
        </w:tc>
        <w:tc>
          <w:tcPr>
            <w:tcW w:w="60" w:type="dxa"/>
            <w:tcBorders/>
            <w:shd w:fill="CCEEFF" w:val="clear"/>
            <w:vAlign w:val="center"/>
          </w:tcPr>
          <w:p>
            <w:pPr>
              <w:pStyle w:val="TableContents"/>
              <w:bidi w:val="0"/>
              <w:spacing w:before="0" w:after="0"/>
              <w:jc w:val="right"/>
              <w:rPr/>
            </w:pPr>
            <w:r>
              <w:rPr/>
              <w:t> </w:t>
            </w:r>
          </w:p>
        </w:tc>
        <w:tc>
          <w:tcPr>
            <w:tcW w:w="76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207"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3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epay</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8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280.1</w:t>
            </w:r>
          </w:p>
        </w:tc>
        <w:tc>
          <w:tcPr>
            <w:tcW w:w="83" w:type="dxa"/>
            <w:tcBorders/>
            <w:shd w:fill="FFFFFF" w:val="clear"/>
            <w:vAlign w:val="center"/>
          </w:tcPr>
          <w:p>
            <w:pPr>
              <w:pStyle w:val="TableContents"/>
              <w:bidi w:val="0"/>
              <w:spacing w:before="0" w:after="0"/>
              <w:jc w:val="left"/>
              <w:rPr/>
            </w:pPr>
            <w:r>
              <w:rPr/>
              <w:t> </w:t>
            </w:r>
          </w:p>
        </w:tc>
        <w:tc>
          <w:tcPr>
            <w:tcW w:w="173" w:type="dxa"/>
            <w:tcBorders/>
            <w:shd w:fill="FFFFFF" w:val="clear"/>
            <w:vAlign w:val="center"/>
          </w:tcPr>
          <w:p>
            <w:pPr>
              <w:pStyle w:val="TableContents"/>
              <w:bidi w:val="0"/>
              <w:spacing w:before="0" w:after="0"/>
              <w:jc w:val="left"/>
              <w:rPr/>
            </w:pPr>
            <w:r>
              <w:rPr/>
              <w:t> </w:t>
            </w:r>
          </w:p>
        </w:tc>
        <w:tc>
          <w:tcPr>
            <w:tcW w:w="67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260.9</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06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19.2</w:t>
            </w:r>
          </w:p>
        </w:tc>
        <w:tc>
          <w:tcPr>
            <w:tcW w:w="60" w:type="dxa"/>
            <w:tcBorders/>
            <w:shd w:fill="FFFFFF" w:val="clear"/>
            <w:vAlign w:val="center"/>
          </w:tcPr>
          <w:p>
            <w:pPr>
              <w:pStyle w:val="TableContents"/>
              <w:bidi w:val="0"/>
              <w:spacing w:before="0" w:after="0"/>
              <w:jc w:val="right"/>
              <w:rPr/>
            </w:pPr>
            <w:r>
              <w:rPr/>
              <w:t> </w:t>
            </w:r>
          </w:p>
        </w:tc>
        <w:tc>
          <w:tcPr>
            <w:tcW w:w="76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82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547.5</w:t>
            </w:r>
          </w:p>
        </w:tc>
        <w:tc>
          <w:tcPr>
            <w:tcW w:w="77" w:type="dxa"/>
            <w:tcBorders/>
            <w:shd w:fill="FFFFFF" w:val="clear"/>
            <w:vAlign w:val="center"/>
          </w:tcPr>
          <w:p>
            <w:pPr>
              <w:pStyle w:val="TableContents"/>
              <w:bidi w:val="0"/>
              <w:spacing w:before="0" w:after="0"/>
              <w:jc w:val="right"/>
              <w:rPr/>
            </w:pPr>
            <w:r>
              <w:rPr/>
              <w:t> </w:t>
            </w:r>
          </w:p>
        </w:tc>
        <w:tc>
          <w:tcPr>
            <w:tcW w:w="161" w:type="dxa"/>
            <w:tcBorders/>
            <w:shd w:fill="FFFFFF" w:val="clear"/>
            <w:vAlign w:val="center"/>
          </w:tcPr>
          <w:p>
            <w:pPr>
              <w:pStyle w:val="TableContents"/>
              <w:bidi w:val="0"/>
              <w:spacing w:before="0" w:after="0"/>
              <w:jc w:val="right"/>
              <w:rPr/>
            </w:pPr>
            <w:r>
              <w:rPr/>
              <w:t> </w:t>
            </w:r>
          </w:p>
        </w:tc>
        <w:tc>
          <w:tcPr>
            <w:tcW w:w="82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518.0</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06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29.5</w:t>
            </w:r>
          </w:p>
        </w:tc>
        <w:tc>
          <w:tcPr>
            <w:tcW w:w="60" w:type="dxa"/>
            <w:tcBorders/>
            <w:shd w:fill="FFFFFF" w:val="clear"/>
            <w:vAlign w:val="center"/>
          </w:tcPr>
          <w:p>
            <w:pPr>
              <w:pStyle w:val="TableContents"/>
              <w:bidi w:val="0"/>
              <w:spacing w:before="0" w:after="0"/>
              <w:jc w:val="right"/>
              <w:rPr/>
            </w:pPr>
            <w:r>
              <w:rPr/>
              <w:t> </w:t>
            </w:r>
          </w:p>
        </w:tc>
        <w:tc>
          <w:tcPr>
            <w:tcW w:w="76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20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3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Money Transfer</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8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457.9</w:t>
            </w:r>
          </w:p>
        </w:tc>
        <w:tc>
          <w:tcPr>
            <w:tcW w:w="83" w:type="dxa"/>
            <w:tcBorders/>
            <w:shd w:fill="CCEEFF" w:val="clear"/>
            <w:vAlign w:val="center"/>
          </w:tcPr>
          <w:p>
            <w:pPr>
              <w:pStyle w:val="TableContents"/>
              <w:bidi w:val="0"/>
              <w:spacing w:before="0" w:after="0"/>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74"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421.8</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36.1</w:t>
            </w:r>
          </w:p>
        </w:tc>
        <w:tc>
          <w:tcPr>
            <w:tcW w:w="60" w:type="dxa"/>
            <w:tcBorders/>
            <w:shd w:fill="CCEEFF" w:val="clear"/>
            <w:vAlign w:val="center"/>
          </w:tcPr>
          <w:p>
            <w:pPr>
              <w:pStyle w:val="TableContents"/>
              <w:bidi w:val="0"/>
              <w:spacing w:before="0" w:after="0"/>
              <w:jc w:val="right"/>
              <w:rPr/>
            </w:pPr>
            <w:r>
              <w:rPr/>
              <w:t> </w:t>
            </w:r>
          </w:p>
        </w:tc>
        <w:tc>
          <w:tcPr>
            <w:tcW w:w="76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875.6</w:t>
            </w:r>
          </w:p>
        </w:tc>
        <w:tc>
          <w:tcPr>
            <w:tcW w:w="77" w:type="dxa"/>
            <w:tcBorders/>
            <w:shd w:fill="CCEEFF" w:val="clear"/>
            <w:vAlign w:val="center"/>
          </w:tcPr>
          <w:p>
            <w:pPr>
              <w:pStyle w:val="TableContents"/>
              <w:bidi w:val="0"/>
              <w:spacing w:before="0" w:after="0"/>
              <w:jc w:val="righ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806.4</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69.2</w:t>
            </w:r>
          </w:p>
        </w:tc>
        <w:tc>
          <w:tcPr>
            <w:tcW w:w="60" w:type="dxa"/>
            <w:tcBorders/>
            <w:shd w:fill="CCEEFF" w:val="clear"/>
            <w:vAlign w:val="center"/>
          </w:tcPr>
          <w:p>
            <w:pPr>
              <w:pStyle w:val="TableContents"/>
              <w:bidi w:val="0"/>
              <w:spacing w:before="0" w:after="0"/>
              <w:jc w:val="right"/>
              <w:rPr/>
            </w:pPr>
            <w:r>
              <w:rPr/>
              <w:t> </w:t>
            </w:r>
          </w:p>
        </w:tc>
        <w:tc>
          <w:tcPr>
            <w:tcW w:w="76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20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32"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883"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1,076.5</w:t>
            </w:r>
          </w:p>
        </w:tc>
        <w:tc>
          <w:tcPr>
            <w:tcW w:w="83" w:type="dxa"/>
            <w:tcBorders/>
            <w:shd w:fill="FFFFFF" w:val="clear"/>
            <w:vAlign w:val="center"/>
          </w:tcPr>
          <w:p>
            <w:pPr>
              <w:pStyle w:val="TableContents"/>
              <w:bidi w:val="0"/>
              <w:spacing w:before="0" w:after="0"/>
              <w:jc w:val="left"/>
              <w:rPr/>
            </w:pPr>
            <w:r>
              <w:rPr/>
              <w:t> </w:t>
            </w:r>
          </w:p>
        </w:tc>
        <w:tc>
          <w:tcPr>
            <w:tcW w:w="173"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74"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988.1</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1068"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88.4</w:t>
            </w:r>
          </w:p>
        </w:tc>
        <w:tc>
          <w:tcPr>
            <w:tcW w:w="60" w:type="dxa"/>
            <w:tcBorders/>
            <w:shd w:fill="FFFFFF" w:val="clear"/>
            <w:vAlign w:val="center"/>
          </w:tcPr>
          <w:p>
            <w:pPr>
              <w:pStyle w:val="TableContents"/>
              <w:bidi w:val="0"/>
              <w:spacing w:before="0" w:after="0"/>
              <w:jc w:val="right"/>
              <w:rPr/>
            </w:pPr>
            <w:r>
              <w:rPr/>
              <w:t> </w:t>
            </w:r>
          </w:p>
        </w:tc>
        <w:tc>
          <w:tcPr>
            <w:tcW w:w="76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82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1,994.1</w:t>
            </w:r>
          </w:p>
        </w:tc>
        <w:tc>
          <w:tcPr>
            <w:tcW w:w="77" w:type="dxa"/>
            <w:tcBorders/>
            <w:shd w:fill="FFFFFF" w:val="clear"/>
            <w:vAlign w:val="center"/>
          </w:tcPr>
          <w:p>
            <w:pPr>
              <w:pStyle w:val="TableContents"/>
              <w:bidi w:val="0"/>
              <w:spacing w:before="0" w:after="0"/>
              <w:jc w:val="right"/>
              <w:rPr/>
            </w:pPr>
            <w:r>
              <w:rPr/>
              <w:t> </w:t>
            </w:r>
          </w:p>
        </w:tc>
        <w:tc>
          <w:tcPr>
            <w:tcW w:w="161"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82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1,847.0</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1068"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147.1</w:t>
            </w:r>
          </w:p>
        </w:tc>
        <w:tc>
          <w:tcPr>
            <w:tcW w:w="60" w:type="dxa"/>
            <w:tcBorders/>
            <w:shd w:fill="FFFFFF" w:val="clear"/>
            <w:vAlign w:val="center"/>
          </w:tcPr>
          <w:p>
            <w:pPr>
              <w:pStyle w:val="TableContents"/>
              <w:bidi w:val="0"/>
              <w:spacing w:before="0" w:after="0"/>
              <w:jc w:val="right"/>
              <w:rPr/>
            </w:pPr>
            <w:r>
              <w:rPr/>
              <w:t> </w:t>
            </w:r>
          </w:p>
        </w:tc>
        <w:tc>
          <w:tcPr>
            <w:tcW w:w="76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20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3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Corporate services, eliminations and other</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83"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2.2</w:t>
            </w:r>
            <w:r>
              <w:rPr>
                <w:rFonts w:ascii="Times New Roman" w:hAnsi="Times New Roman"/>
                <w:sz w:val="20"/>
              </w:rPr>
              <w:t>)</w:t>
            </w:r>
          </w:p>
        </w:tc>
        <w:tc>
          <w:tcPr>
            <w:tcW w:w="83" w:type="dxa"/>
            <w:tcBorders/>
            <w:shd w:fill="CCEEFF" w:val="clear"/>
            <w:vAlign w:val="center"/>
          </w:tcPr>
          <w:p>
            <w:pPr>
              <w:pStyle w:val="TableContents"/>
              <w:bidi w:val="0"/>
              <w:spacing w:before="0" w:after="0"/>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74"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1.9</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0.3</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76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4.3</w:t>
            </w:r>
            <w:r>
              <w:rPr>
                <w:rFonts w:ascii="Times New Roman" w:hAnsi="Times New Roman"/>
                <w:sz w:val="20"/>
              </w:rPr>
              <w:t>)</w:t>
            </w:r>
          </w:p>
        </w:tc>
        <w:tc>
          <w:tcPr>
            <w:tcW w:w="77" w:type="dxa"/>
            <w:tcBorders/>
            <w:shd w:fill="CCEEFF" w:val="clear"/>
            <w:vAlign w:val="center"/>
          </w:tcPr>
          <w:p>
            <w:pPr>
              <w:pStyle w:val="TableContents"/>
              <w:bidi w:val="0"/>
              <w:spacing w:before="0" w:after="0"/>
              <w:jc w:val="righ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3.8</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0.5</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76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20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32"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1,074.3</w:t>
            </w:r>
          </w:p>
        </w:tc>
        <w:tc>
          <w:tcPr>
            <w:tcW w:w="83" w:type="dxa"/>
            <w:tcBorders/>
            <w:shd w:fill="FFFFFF" w:val="clear"/>
            <w:vAlign w:val="center"/>
          </w:tcPr>
          <w:p>
            <w:pPr>
              <w:pStyle w:val="TableContents"/>
              <w:bidi w:val="0"/>
              <w:spacing w:before="0" w:after="0"/>
              <w:jc w:val="left"/>
              <w:rPr/>
            </w:pPr>
            <w:r>
              <w:rPr/>
              <w:t> </w:t>
            </w:r>
          </w:p>
        </w:tc>
        <w:tc>
          <w:tcPr>
            <w:tcW w:w="17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986.2</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6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88.1</w:t>
            </w:r>
          </w:p>
        </w:tc>
        <w:tc>
          <w:tcPr>
            <w:tcW w:w="60" w:type="dxa"/>
            <w:tcBorders/>
            <w:shd w:fill="FFFFFF" w:val="clear"/>
            <w:vAlign w:val="center"/>
          </w:tcPr>
          <w:p>
            <w:pPr>
              <w:pStyle w:val="TableContents"/>
              <w:bidi w:val="0"/>
              <w:spacing w:before="0" w:after="0"/>
              <w:jc w:val="right"/>
              <w:rPr/>
            </w:pPr>
            <w:r>
              <w:rPr/>
              <w:t> </w:t>
            </w:r>
          </w:p>
        </w:tc>
        <w:tc>
          <w:tcPr>
            <w:tcW w:w="76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2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1,989.8</w:t>
            </w:r>
          </w:p>
        </w:tc>
        <w:tc>
          <w:tcPr>
            <w:tcW w:w="77" w:type="dxa"/>
            <w:tcBorders/>
            <w:shd w:fill="FFFFFF" w:val="clear"/>
            <w:vAlign w:val="center"/>
          </w:tcPr>
          <w:p>
            <w:pPr>
              <w:pStyle w:val="TableContents"/>
              <w:bidi w:val="0"/>
              <w:spacing w:before="0" w:after="0"/>
              <w:jc w:val="right"/>
              <w:rPr/>
            </w:pPr>
            <w:r>
              <w:rPr/>
              <w:t> </w:t>
            </w:r>
          </w:p>
        </w:tc>
        <w:tc>
          <w:tcPr>
            <w:tcW w:w="16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2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1,843.2</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6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146.6</w:t>
            </w:r>
          </w:p>
        </w:tc>
        <w:tc>
          <w:tcPr>
            <w:tcW w:w="60" w:type="dxa"/>
            <w:tcBorders/>
            <w:shd w:fill="FFFFFF" w:val="clear"/>
            <w:vAlign w:val="center"/>
          </w:tcPr>
          <w:p>
            <w:pPr>
              <w:pStyle w:val="TableContents"/>
              <w:bidi w:val="0"/>
              <w:spacing w:before="0" w:after="0"/>
              <w:jc w:val="right"/>
              <w:rPr/>
            </w:pPr>
            <w:r>
              <w:rPr/>
              <w:t> </w:t>
            </w:r>
          </w:p>
        </w:tc>
        <w:tc>
          <w:tcPr>
            <w:tcW w:w="76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20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44"/>
        <w:gridCol w:w="60"/>
        <w:gridCol w:w="125"/>
        <w:gridCol w:w="753"/>
        <w:gridCol w:w="91"/>
        <w:gridCol w:w="191"/>
        <w:gridCol w:w="753"/>
        <w:gridCol w:w="60"/>
        <w:gridCol w:w="125"/>
        <w:gridCol w:w="1004"/>
        <w:gridCol w:w="60"/>
        <w:gridCol w:w="999"/>
        <w:gridCol w:w="185"/>
        <w:gridCol w:w="60"/>
        <w:gridCol w:w="60"/>
        <w:gridCol w:w="125"/>
        <w:gridCol w:w="738"/>
        <w:gridCol w:w="90"/>
        <w:gridCol w:w="187"/>
        <w:gridCol w:w="738"/>
        <w:gridCol w:w="60"/>
        <w:gridCol w:w="125"/>
        <w:gridCol w:w="1004"/>
        <w:gridCol w:w="60"/>
        <w:gridCol w:w="999"/>
        <w:gridCol w:w="209"/>
      </w:tblGrid>
      <w:tr>
        <w:trPr/>
        <w:tc>
          <w:tcPr>
            <w:tcW w:w="134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788"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Operating Income (Expense) for the Three Months Ended June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063"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75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Operating Income (Expense) for the Six Months Ended June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063"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209"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344"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5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91" w:type="dxa"/>
            <w:tcBorders>
              <w:top w:val="single" w:sz="8" w:space="0" w:color="000000"/>
            </w:tcBorders>
            <w:tcMar>
              <w:top w:w="28" w:type="dxa"/>
            </w:tcMar>
            <w:vAlign w:val="center"/>
          </w:tcPr>
          <w:p>
            <w:pPr>
              <w:pStyle w:val="TableContents"/>
              <w:bidi w:val="0"/>
              <w:spacing w:before="0" w:after="0"/>
              <w:jc w:val="left"/>
              <w:rPr/>
            </w:pPr>
            <w:r>
              <w:rPr/>
              <w:t> </w:t>
            </w:r>
          </w:p>
        </w:tc>
        <w:tc>
          <w:tcPr>
            <w:tcW w:w="19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5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0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99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1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3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90" w:type="dxa"/>
            <w:tcBorders>
              <w:top w:val="single" w:sz="8" w:space="0" w:color="000000"/>
            </w:tcBorders>
            <w:tcMar>
              <w:top w:w="28" w:type="dxa"/>
            </w:tcMar>
            <w:vAlign w:val="center"/>
          </w:tcPr>
          <w:p>
            <w:pPr>
              <w:pStyle w:val="TableContents"/>
              <w:bidi w:val="0"/>
              <w:spacing w:before="0" w:after="0"/>
              <w:jc w:val="left"/>
              <w:rPr/>
            </w:pPr>
            <w:r>
              <w:rPr/>
              <w:t> </w:t>
            </w:r>
          </w:p>
        </w:tc>
        <w:tc>
          <w:tcPr>
            <w:tcW w:w="18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3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0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99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20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r>
      <w:tr>
        <w:trPr/>
        <w:tc>
          <w:tcPr>
            <w:tcW w:w="1344"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EFT Processing</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84.6</w:t>
            </w:r>
          </w:p>
        </w:tc>
        <w:tc>
          <w:tcPr>
            <w:tcW w:w="91" w:type="dxa"/>
            <w:tcBorders/>
            <w:shd w:fill="CCEEFF" w:val="clear"/>
            <w:vAlign w:val="center"/>
          </w:tcPr>
          <w:p>
            <w:pPr>
              <w:pStyle w:val="TableContents"/>
              <w:bidi w:val="0"/>
              <w:spacing w:before="0" w:after="0"/>
              <w:jc w:val="left"/>
              <w:rPr/>
            </w:pPr>
            <w:r>
              <w:rPr/>
              <w:t> </w:t>
            </w:r>
          </w:p>
        </w:tc>
        <w:tc>
          <w:tcPr>
            <w:tcW w:w="191"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79.9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4"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9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107.9</w:t>
            </w:r>
          </w:p>
        </w:tc>
        <w:tc>
          <w:tcPr>
            <w:tcW w:w="90" w:type="dxa"/>
            <w:tcBorders/>
            <w:shd w:fill="CCEEFF" w:val="clear"/>
            <w:vAlign w:val="center"/>
          </w:tcPr>
          <w:p>
            <w:pPr>
              <w:pStyle w:val="TableContents"/>
              <w:bidi w:val="0"/>
              <w:spacing w:before="0" w:after="0"/>
              <w:jc w:val="left"/>
              <w:rPr/>
            </w:pPr>
            <w:r>
              <w:rPr/>
              <w:t> </w:t>
            </w:r>
          </w:p>
        </w:tc>
        <w:tc>
          <w:tcPr>
            <w:tcW w:w="187"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101.4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4"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w:t>
            </w:r>
          </w:p>
        </w:tc>
        <w:tc>
          <w:tcPr>
            <w:tcW w:w="60" w:type="dxa"/>
            <w:tcBorders/>
            <w:shd w:fill="CCEEFF" w:val="clear"/>
            <w:vAlign w:val="center"/>
          </w:tcPr>
          <w:p>
            <w:pPr>
              <w:pStyle w:val="TableContents"/>
              <w:bidi w:val="0"/>
              <w:spacing w:before="0" w:after="0"/>
              <w:jc w:val="left"/>
              <w:rPr/>
            </w:pPr>
            <w:r>
              <w:rPr/>
              <w:t> </w:t>
            </w:r>
          </w:p>
        </w:tc>
        <w:tc>
          <w:tcPr>
            <w:tcW w:w="999"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209"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4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epay</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5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31.1</w:t>
            </w:r>
          </w:p>
        </w:tc>
        <w:tc>
          <w:tcPr>
            <w:tcW w:w="91" w:type="dxa"/>
            <w:tcBorders/>
            <w:shd w:fill="FFFFFF" w:val="clear"/>
            <w:vAlign w:val="center"/>
          </w:tcPr>
          <w:p>
            <w:pPr>
              <w:pStyle w:val="TableContents"/>
              <w:bidi w:val="0"/>
              <w:spacing w:before="0" w:after="0"/>
              <w:jc w:val="left"/>
              <w:rPr/>
            </w:pPr>
            <w:r>
              <w:rPr/>
              <w:t> </w:t>
            </w:r>
          </w:p>
        </w:tc>
        <w:tc>
          <w:tcPr>
            <w:tcW w:w="191" w:type="dxa"/>
            <w:tcBorders/>
            <w:shd w:fill="FFFFFF" w:val="clear"/>
            <w:vAlign w:val="center"/>
          </w:tcPr>
          <w:p>
            <w:pPr>
              <w:pStyle w:val="TableContents"/>
              <w:bidi w:val="0"/>
              <w:spacing w:before="0" w:after="0"/>
              <w:jc w:val="left"/>
              <w:rPr/>
            </w:pPr>
            <w:r>
              <w:rPr/>
              <w:t> </w:t>
            </w:r>
          </w:p>
        </w:tc>
        <w:tc>
          <w:tcPr>
            <w:tcW w:w="75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0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4.9</w:t>
            </w:r>
          </w:p>
        </w:tc>
        <w:tc>
          <w:tcPr>
            <w:tcW w:w="60" w:type="dxa"/>
            <w:tcBorders/>
            <w:shd w:fill="FFFFFF" w:val="clear"/>
            <w:vAlign w:val="center"/>
          </w:tcPr>
          <w:p>
            <w:pPr>
              <w:pStyle w:val="TableContents"/>
              <w:bidi w:val="0"/>
              <w:spacing w:before="0" w:after="0"/>
              <w:jc w:val="left"/>
              <w:rPr/>
            </w:pPr>
            <w:r>
              <w:rPr/>
              <w:t> </w:t>
            </w:r>
          </w:p>
        </w:tc>
        <w:tc>
          <w:tcPr>
            <w:tcW w:w="99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3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57.9</w:t>
            </w:r>
          </w:p>
        </w:tc>
        <w:tc>
          <w:tcPr>
            <w:tcW w:w="9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0"/>
              <w:jc w:val="left"/>
              <w:rPr/>
            </w:pPr>
            <w:r>
              <w:rPr/>
              <w:t> </w:t>
            </w:r>
          </w:p>
        </w:tc>
        <w:tc>
          <w:tcPr>
            <w:tcW w:w="73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0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5.1</w:t>
            </w:r>
          </w:p>
        </w:tc>
        <w:tc>
          <w:tcPr>
            <w:tcW w:w="60" w:type="dxa"/>
            <w:tcBorders/>
            <w:shd w:fill="FFFFFF" w:val="clear"/>
            <w:vAlign w:val="center"/>
          </w:tcPr>
          <w:p>
            <w:pPr>
              <w:pStyle w:val="TableContents"/>
              <w:bidi w:val="0"/>
              <w:spacing w:before="0" w:after="0"/>
              <w:jc w:val="left"/>
              <w:rPr/>
            </w:pPr>
            <w:r>
              <w:rPr/>
              <w:t> </w:t>
            </w:r>
          </w:p>
        </w:tc>
        <w:tc>
          <w:tcPr>
            <w:tcW w:w="99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20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4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Money Transfer</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5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65.6</w:t>
            </w:r>
          </w:p>
        </w:tc>
        <w:tc>
          <w:tcPr>
            <w:tcW w:w="91" w:type="dxa"/>
            <w:tcBorders/>
            <w:shd w:fill="CCEEFF" w:val="clear"/>
            <w:vAlign w:val="center"/>
          </w:tcPr>
          <w:p>
            <w:pPr>
              <w:pStyle w:val="TableContents"/>
              <w:bidi w:val="0"/>
              <w:spacing w:before="0" w:after="0"/>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5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47.3</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04"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18.3</w:t>
            </w:r>
          </w:p>
        </w:tc>
        <w:tc>
          <w:tcPr>
            <w:tcW w:w="60" w:type="dxa"/>
            <w:tcBorders/>
            <w:shd w:fill="CCEEFF" w:val="clear"/>
            <w:vAlign w:val="center"/>
          </w:tcPr>
          <w:p>
            <w:pPr>
              <w:pStyle w:val="TableContents"/>
              <w:bidi w:val="0"/>
              <w:spacing w:before="0" w:after="0"/>
              <w:jc w:val="left"/>
              <w:rPr/>
            </w:pPr>
            <w:r>
              <w:rPr/>
              <w:t> </w:t>
            </w:r>
          </w:p>
        </w:tc>
        <w:tc>
          <w:tcPr>
            <w:tcW w:w="99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110.7</w:t>
            </w:r>
          </w:p>
        </w:tc>
        <w:tc>
          <w:tcPr>
            <w:tcW w:w="90" w:type="dxa"/>
            <w:tcBorders/>
            <w:shd w:fill="CCEEFF" w:val="clear"/>
            <w:vAlign w:val="center"/>
          </w:tcPr>
          <w:p>
            <w:pPr>
              <w:pStyle w:val="TableContents"/>
              <w:bidi w:val="0"/>
              <w:spacing w:before="0" w:after="0"/>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84.5</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04"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26.2</w:t>
            </w:r>
          </w:p>
        </w:tc>
        <w:tc>
          <w:tcPr>
            <w:tcW w:w="60" w:type="dxa"/>
            <w:tcBorders/>
            <w:shd w:fill="CCEEFF" w:val="clear"/>
            <w:vAlign w:val="center"/>
          </w:tcPr>
          <w:p>
            <w:pPr>
              <w:pStyle w:val="TableContents"/>
              <w:bidi w:val="0"/>
              <w:spacing w:before="0" w:after="0"/>
              <w:jc w:val="left"/>
              <w:rPr/>
            </w:pPr>
            <w:r>
              <w:rPr/>
              <w:t> </w:t>
            </w:r>
          </w:p>
        </w:tc>
        <w:tc>
          <w:tcPr>
            <w:tcW w:w="99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w:t>
            </w:r>
          </w:p>
        </w:tc>
        <w:tc>
          <w:tcPr>
            <w:tcW w:w="2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44"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753"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181.3</w:t>
            </w:r>
          </w:p>
        </w:tc>
        <w:tc>
          <w:tcPr>
            <w:tcW w:w="91" w:type="dxa"/>
            <w:tcBorders/>
            <w:shd w:fill="FFFFFF" w:val="clear"/>
            <w:vAlign w:val="center"/>
          </w:tcPr>
          <w:p>
            <w:pPr>
              <w:pStyle w:val="TableContents"/>
              <w:bidi w:val="0"/>
              <w:spacing w:before="0" w:after="0"/>
              <w:jc w:val="left"/>
              <w:rPr/>
            </w:pPr>
            <w:r>
              <w:rPr/>
              <w:t> </w:t>
            </w:r>
          </w:p>
        </w:tc>
        <w:tc>
          <w:tcPr>
            <w:tcW w:w="191"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753"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153.4</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04"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27.9</w:t>
            </w:r>
          </w:p>
        </w:tc>
        <w:tc>
          <w:tcPr>
            <w:tcW w:w="60" w:type="dxa"/>
            <w:tcBorders/>
            <w:shd w:fill="FFFFFF" w:val="clear"/>
            <w:vAlign w:val="center"/>
          </w:tcPr>
          <w:p>
            <w:pPr>
              <w:pStyle w:val="TableContents"/>
              <w:bidi w:val="0"/>
              <w:spacing w:before="0" w:after="0"/>
              <w:jc w:val="left"/>
              <w:rPr/>
            </w:pPr>
            <w:r>
              <w:rPr/>
              <w:t> </w:t>
            </w:r>
          </w:p>
        </w:tc>
        <w:tc>
          <w:tcPr>
            <w:tcW w:w="99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738"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276.5</w:t>
            </w:r>
          </w:p>
        </w:tc>
        <w:tc>
          <w:tcPr>
            <w:tcW w:w="90" w:type="dxa"/>
            <w:tcBorders/>
            <w:shd w:fill="FFFFFF" w:val="clear"/>
            <w:vAlign w:val="center"/>
          </w:tcPr>
          <w:p>
            <w:pPr>
              <w:pStyle w:val="TableContents"/>
              <w:bidi w:val="0"/>
              <w:spacing w:before="0" w:after="0"/>
              <w:jc w:val="left"/>
              <w:rPr/>
            </w:pPr>
            <w:r>
              <w:rPr/>
              <w:t> </w:t>
            </w:r>
          </w:p>
        </w:tc>
        <w:tc>
          <w:tcPr>
            <w:tcW w:w="187"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738"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238.7</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04"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37.8</w:t>
            </w:r>
          </w:p>
        </w:tc>
        <w:tc>
          <w:tcPr>
            <w:tcW w:w="60" w:type="dxa"/>
            <w:tcBorders/>
            <w:shd w:fill="FFFFFF" w:val="clear"/>
            <w:vAlign w:val="center"/>
          </w:tcPr>
          <w:p>
            <w:pPr>
              <w:pStyle w:val="TableContents"/>
              <w:bidi w:val="0"/>
              <w:spacing w:before="0" w:after="0"/>
              <w:jc w:val="left"/>
              <w:rPr/>
            </w:pPr>
            <w:r>
              <w:rPr/>
              <w:t> </w:t>
            </w:r>
          </w:p>
        </w:tc>
        <w:tc>
          <w:tcPr>
            <w:tcW w:w="99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20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4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Corporate services, eliminations and other</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53"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22.7</w:t>
            </w:r>
            <w:r>
              <w:rPr>
                <w:rFonts w:ascii="Times New Roman" w:hAnsi="Times New Roman"/>
                <w:sz w:val="20"/>
              </w:rPr>
              <w:t>)</w:t>
            </w:r>
          </w:p>
        </w:tc>
        <w:tc>
          <w:tcPr>
            <w:tcW w:w="91" w:type="dxa"/>
            <w:tcBorders/>
            <w:shd w:fill="CCEEFF" w:val="clear"/>
            <w:vAlign w:val="center"/>
          </w:tcPr>
          <w:p>
            <w:pPr>
              <w:pStyle w:val="TableContents"/>
              <w:bidi w:val="0"/>
              <w:spacing w:before="0" w:after="0"/>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53"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19.1</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04"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3.6</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99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42.7</w:t>
            </w:r>
            <w:r>
              <w:rPr>
                <w:rFonts w:ascii="Times New Roman" w:hAnsi="Times New Roman"/>
                <w:sz w:val="20"/>
              </w:rPr>
              <w:t>)</w:t>
            </w:r>
          </w:p>
        </w:tc>
        <w:tc>
          <w:tcPr>
            <w:tcW w:w="90" w:type="dxa"/>
            <w:tcBorders/>
            <w:shd w:fill="CCEEFF" w:val="clear"/>
            <w:vAlign w:val="center"/>
          </w:tcPr>
          <w:p>
            <w:pPr>
              <w:pStyle w:val="TableContents"/>
              <w:bidi w:val="0"/>
              <w:spacing w:before="0" w:after="0"/>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40.4</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04"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2.3</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99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2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44"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158.6</w:t>
            </w:r>
          </w:p>
        </w:tc>
        <w:tc>
          <w:tcPr>
            <w:tcW w:w="91" w:type="dxa"/>
            <w:tcBorders/>
            <w:shd w:fill="FFFFFF" w:val="clear"/>
            <w:vAlign w:val="center"/>
          </w:tcPr>
          <w:p>
            <w:pPr>
              <w:pStyle w:val="TableContents"/>
              <w:bidi w:val="0"/>
              <w:spacing w:before="0" w:after="0"/>
              <w:jc w:val="left"/>
              <w:rPr/>
            </w:pPr>
            <w:r>
              <w:rPr/>
              <w:t> </w:t>
            </w:r>
          </w:p>
        </w:tc>
        <w:tc>
          <w:tcPr>
            <w:tcW w:w="19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134.3</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24.3</w:t>
            </w:r>
          </w:p>
        </w:tc>
        <w:tc>
          <w:tcPr>
            <w:tcW w:w="60" w:type="dxa"/>
            <w:tcBorders/>
            <w:shd w:fill="FFFFFF" w:val="clear"/>
            <w:vAlign w:val="center"/>
          </w:tcPr>
          <w:p>
            <w:pPr>
              <w:pStyle w:val="TableContents"/>
              <w:bidi w:val="0"/>
              <w:spacing w:before="0" w:after="0"/>
              <w:jc w:val="left"/>
              <w:rPr/>
            </w:pPr>
            <w:r>
              <w:rPr/>
              <w:t> </w:t>
            </w:r>
          </w:p>
        </w:tc>
        <w:tc>
          <w:tcPr>
            <w:tcW w:w="99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233.8</w:t>
            </w:r>
          </w:p>
        </w:tc>
        <w:tc>
          <w:tcPr>
            <w:tcW w:w="90" w:type="dxa"/>
            <w:tcBorders/>
            <w:shd w:fill="FFFFFF" w:val="clear"/>
            <w:vAlign w:val="center"/>
          </w:tcPr>
          <w:p>
            <w:pPr>
              <w:pStyle w:val="TableContents"/>
              <w:bidi w:val="0"/>
              <w:spacing w:before="0" w:after="0"/>
              <w:jc w:val="left"/>
              <w:rPr/>
            </w:pPr>
            <w:r>
              <w:rPr/>
              <w:t> </w:t>
            </w:r>
          </w:p>
        </w:tc>
        <w:tc>
          <w:tcPr>
            <w:tcW w:w="18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198.3</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35.5</w:t>
            </w:r>
          </w:p>
        </w:tc>
        <w:tc>
          <w:tcPr>
            <w:tcW w:w="60" w:type="dxa"/>
            <w:tcBorders/>
            <w:shd w:fill="FFFFFF" w:val="clear"/>
            <w:vAlign w:val="center"/>
          </w:tcPr>
          <w:p>
            <w:pPr>
              <w:pStyle w:val="TableContents"/>
              <w:bidi w:val="0"/>
              <w:spacing w:before="0" w:after="0"/>
              <w:jc w:val="left"/>
              <w:rPr/>
            </w:pPr>
            <w:r>
              <w:rPr/>
              <w:t> </w:t>
            </w:r>
          </w:p>
        </w:tc>
        <w:tc>
          <w:tcPr>
            <w:tcW w:w="99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20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200" w:after="0"/>
        <w:jc w:val="both"/>
        <w:rPr>
          <w:rFonts w:ascii="Times New Roman" w:hAnsi="Times New Roman"/>
          <w:i/>
          <w:sz w:val="20"/>
        </w:rPr>
      </w:pPr>
      <w:r>
        <w:rPr>
          <w:rFonts w:ascii="Times New Roman" w:hAnsi="Times New Roman"/>
          <w:i/>
          <w:sz w:val="20"/>
        </w:rPr>
        <w:t>Impact of changes in foreign currency exchange rates</w:t>
      </w:r>
    </w:p>
    <w:p>
      <w:pPr>
        <w:pStyle w:val="TextBody"/>
        <w:bidi w:val="0"/>
        <w:spacing w:lineRule="atLeast" w:line="240" w:before="200" w:after="0"/>
        <w:jc w:val="both"/>
        <w:rPr>
          <w:rFonts w:ascii="Times New Roman" w:hAnsi="Times New Roman"/>
          <w:sz w:val="20"/>
        </w:rPr>
      </w:pPr>
      <w:r>
        <w:rPr>
          <w:rFonts w:ascii="Times New Roman" w:hAnsi="Times New Roman"/>
          <w:sz w:val="20"/>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If significant, in our discussion we will refer to the impact of fluctuations in foreign currency exchange rates in our comparison of operating segment results.</w:t>
      </w:r>
    </w:p>
    <w:p>
      <w:pPr>
        <w:pStyle w:val="TextBody"/>
        <w:bidi w:val="0"/>
        <w:spacing w:lineRule="atLeast" w:line="240" w:before="200" w:after="0"/>
        <w:jc w:val="both"/>
        <w:rPr>
          <w:rFonts w:ascii="Times New Roman" w:hAnsi="Times New Roman"/>
          <w:sz w:val="24"/>
        </w:rPr>
      </w:pPr>
      <w:r>
        <w:rPr>
          <w:rFonts w:ascii="Times New Roman" w:hAnsi="Times New Roman"/>
          <w:sz w:val="20"/>
        </w:rPr>
        <w:t>To provide further perspective on the impact of foreign currency exchange rates, the following table shows the changes in values relative to the U.S. dollar of the currencies of the countries in which we have our most significant operations:</w:t>
      </w:r>
      <w:r>
        <w:rPr>
          <w:rFonts w:ascii="Times New Roman" w:hAnsi="Times New Roman"/>
          <w:sz w:val="24"/>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87"/>
        <w:gridCol w:w="60"/>
        <w:gridCol w:w="125"/>
        <w:gridCol w:w="1087"/>
        <w:gridCol w:w="110"/>
        <w:gridCol w:w="230"/>
        <w:gridCol w:w="1087"/>
        <w:gridCol w:w="60"/>
        <w:gridCol w:w="60"/>
        <w:gridCol w:w="1306"/>
        <w:gridCol w:w="185"/>
        <w:gridCol w:w="60"/>
        <w:gridCol w:w="125"/>
        <w:gridCol w:w="1087"/>
        <w:gridCol w:w="110"/>
        <w:gridCol w:w="110"/>
        <w:gridCol w:w="1087"/>
        <w:gridCol w:w="60"/>
        <w:gridCol w:w="60"/>
        <w:gridCol w:w="1306"/>
        <w:gridCol w:w="203"/>
      </w:tblGrid>
      <w:tr>
        <w:trPr/>
        <w:tc>
          <w:tcPr>
            <w:tcW w:w="168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514"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 Translation Rate Three Months Ended June 30,</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06"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394"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 Translation Rate Six Months Ended June 30,</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06" w:type="dxa"/>
            <w:tcBorders/>
            <w:vAlign w:val="center"/>
          </w:tcPr>
          <w:p>
            <w:pPr>
              <w:pStyle w:val="TableContents"/>
              <w:bidi w:val="0"/>
              <w:spacing w:before="0" w:after="0"/>
              <w:jc w:val="left"/>
              <w:rPr/>
            </w:pPr>
            <w:r>
              <w:rPr/>
              <w:t> </w:t>
            </w:r>
          </w:p>
        </w:tc>
        <w:tc>
          <w:tcPr>
            <w:tcW w:w="203" w:type="dxa"/>
            <w:tcBorders/>
            <w:vAlign w:val="center"/>
          </w:tcPr>
          <w:p>
            <w:pPr>
              <w:pStyle w:val="TableContents"/>
              <w:bidi w:val="0"/>
              <w:spacing w:before="0" w:after="0"/>
              <w:jc w:val="left"/>
              <w:rPr/>
            </w:pPr>
            <w:r>
              <w:rPr/>
              <w:t> </w:t>
            </w:r>
          </w:p>
        </w:tc>
      </w:tr>
      <w:tr>
        <w:trPr/>
        <w:tc>
          <w:tcPr>
            <w:tcW w:w="1687"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Currency (dollars per foreign currency)</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8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110" w:type="dxa"/>
            <w:tcBorders>
              <w:top w:val="single" w:sz="8" w:space="0" w:color="000000"/>
            </w:tcBorders>
            <w:tcMar>
              <w:top w:w="28" w:type="dxa"/>
            </w:tcMar>
            <w:vAlign w:val="center"/>
          </w:tcPr>
          <w:p>
            <w:pPr>
              <w:pStyle w:val="TableContents"/>
              <w:bidi w:val="0"/>
              <w:spacing w:before="0" w:after="0"/>
              <w:jc w:val="left"/>
              <w:rPr/>
            </w:pPr>
            <w:r>
              <w:rPr/>
              <w:t> </w:t>
            </w:r>
          </w:p>
        </w:tc>
        <w:tc>
          <w:tcPr>
            <w:tcW w:w="23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8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06"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8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110" w:type="dxa"/>
            <w:tcBorders>
              <w:top w:val="single" w:sz="8" w:space="0" w:color="000000"/>
            </w:tcBorders>
            <w:tcMar>
              <w:top w:w="28" w:type="dxa"/>
            </w:tcMar>
            <w:vAlign w:val="center"/>
          </w:tcPr>
          <w:p>
            <w:pPr>
              <w:pStyle w:val="TableContents"/>
              <w:bidi w:val="0"/>
              <w:spacing w:before="0" w:after="0"/>
              <w:jc w:val="left"/>
              <w:rPr/>
            </w:pPr>
            <w:r>
              <w:rPr/>
              <w:t> </w:t>
            </w:r>
          </w:p>
        </w:tc>
        <w:tc>
          <w:tcPr>
            <w:tcW w:w="110" w:type="dxa"/>
            <w:tcBorders>
              <w:top w:val="single" w:sz="8" w:space="0" w:color="000000"/>
            </w:tcBorders>
            <w:tcMar>
              <w:top w:w="28" w:type="dxa"/>
            </w:tcMar>
            <w:vAlign w:val="center"/>
          </w:tcPr>
          <w:p>
            <w:pPr>
              <w:pStyle w:val="TableContents"/>
              <w:bidi w:val="0"/>
              <w:spacing w:before="0" w:after="0"/>
              <w:jc w:val="left"/>
              <w:rPr/>
            </w:pPr>
            <w:r>
              <w:rPr/>
              <w:t> </w:t>
            </w:r>
          </w:p>
        </w:tc>
        <w:tc>
          <w:tcPr>
            <w:tcW w:w="108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06"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203"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687"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Australian dollar (AUD)</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0.6400</w:t>
            </w:r>
          </w:p>
        </w:tc>
        <w:tc>
          <w:tcPr>
            <w:tcW w:w="110" w:type="dxa"/>
            <w:tcBorders/>
            <w:shd w:fill="CCEEFF" w:val="clear"/>
            <w:vAlign w:val="center"/>
          </w:tcPr>
          <w:p>
            <w:pPr>
              <w:pStyle w:val="TableContents"/>
              <w:bidi w:val="0"/>
              <w:spacing w:before="0" w:after="0"/>
              <w:jc w:val="right"/>
              <w:rPr/>
            </w:pPr>
            <w:r>
              <w:rPr/>
              <w:t> </w:t>
            </w:r>
          </w:p>
        </w:tc>
        <w:tc>
          <w:tcPr>
            <w:tcW w:w="23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0.6596</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306"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3</w:t>
            </w:r>
            <w:r>
              <w:rPr>
                <w:rFonts w:ascii="Times New Roman" w:hAnsi="Times New Roman"/>
                <w:sz w:val="20"/>
              </w:rPr>
              <w:t>)</w:t>
            </w:r>
          </w:p>
        </w:tc>
        <w:tc>
          <w:tcPr>
            <w:tcW w:w="18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0.6336</w:t>
            </w:r>
          </w:p>
        </w:tc>
        <w:tc>
          <w:tcPr>
            <w:tcW w:w="110" w:type="dxa"/>
            <w:tcBorders/>
            <w:shd w:fill="CCEEFF" w:val="clear"/>
            <w:vAlign w:val="center"/>
          </w:tcPr>
          <w:p>
            <w:pPr>
              <w:pStyle w:val="TableContents"/>
              <w:bidi w:val="0"/>
              <w:spacing w:before="0" w:after="0"/>
              <w:jc w:val="right"/>
              <w:rPr/>
            </w:pPr>
            <w:r>
              <w:rPr/>
              <w:t> </w:t>
            </w:r>
          </w:p>
        </w:tc>
        <w:tc>
          <w:tcPr>
            <w:tcW w:w="110" w:type="dxa"/>
            <w:tcBorders/>
            <w:shd w:fill="CCEEFF" w:val="clear"/>
            <w:vAlign w:val="center"/>
          </w:tcPr>
          <w:p>
            <w:pPr>
              <w:pStyle w:val="TableContents"/>
              <w:bidi w:val="0"/>
              <w:spacing w:before="0" w:after="0"/>
              <w:jc w:val="right"/>
              <w:rPr/>
            </w:pPr>
            <w:r>
              <w:rPr/>
              <w:t> </w:t>
            </w:r>
          </w:p>
        </w:tc>
        <w:tc>
          <w:tcPr>
            <w:tcW w:w="108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0.6559</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306"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3</w:t>
            </w:r>
            <w:r>
              <w:rPr>
                <w:rFonts w:ascii="Times New Roman" w:hAnsi="Times New Roman"/>
                <w:sz w:val="20"/>
              </w:rPr>
              <w:t>)</w:t>
            </w:r>
          </w:p>
        </w:tc>
        <w:tc>
          <w:tcPr>
            <w:tcW w:w="203"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8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British pound (GBP)</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1.3347</w:t>
            </w:r>
          </w:p>
        </w:tc>
        <w:tc>
          <w:tcPr>
            <w:tcW w:w="110" w:type="dxa"/>
            <w:tcBorders/>
            <w:shd w:fill="FFFFFF" w:val="clear"/>
            <w:vAlign w:val="center"/>
          </w:tcPr>
          <w:p>
            <w:pPr>
              <w:pStyle w:val="TableContents"/>
              <w:bidi w:val="0"/>
              <w:spacing w:before="0" w:after="0"/>
              <w:jc w:val="right"/>
              <w:rPr/>
            </w:pPr>
            <w:r>
              <w:rPr/>
              <w:t> </w:t>
            </w:r>
          </w:p>
        </w:tc>
        <w:tc>
          <w:tcPr>
            <w:tcW w:w="2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1.2623</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3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1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1.2968</w:t>
            </w:r>
          </w:p>
        </w:tc>
        <w:tc>
          <w:tcPr>
            <w:tcW w:w="110" w:type="dxa"/>
            <w:tcBorders/>
            <w:shd w:fill="FFFFFF" w:val="clear"/>
            <w:vAlign w:val="center"/>
          </w:tcPr>
          <w:p>
            <w:pPr>
              <w:pStyle w:val="TableContents"/>
              <w:bidi w:val="0"/>
              <w:spacing w:before="0" w:after="0"/>
              <w:jc w:val="right"/>
              <w:rPr/>
            </w:pPr>
            <w:r>
              <w:rPr/>
              <w:t> </w:t>
            </w:r>
          </w:p>
        </w:tc>
        <w:tc>
          <w:tcPr>
            <w:tcW w:w="110" w:type="dxa"/>
            <w:tcBorders/>
            <w:shd w:fill="FFFFFF" w:val="clear"/>
            <w:vAlign w:val="center"/>
          </w:tcPr>
          <w:p>
            <w:pPr>
              <w:pStyle w:val="TableContents"/>
              <w:bidi w:val="0"/>
              <w:spacing w:before="0" w:after="0"/>
              <w:jc w:val="right"/>
              <w:rPr/>
            </w:pPr>
            <w:r>
              <w:rPr/>
              <w:t> </w:t>
            </w:r>
          </w:p>
        </w:tc>
        <w:tc>
          <w:tcPr>
            <w:tcW w:w="108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1.2631</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3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20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Canadian dollar (CAD)</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0.7234</w:t>
            </w:r>
          </w:p>
        </w:tc>
        <w:tc>
          <w:tcPr>
            <w:tcW w:w="110" w:type="dxa"/>
            <w:tcBorders/>
            <w:shd w:fill="CCEEFF" w:val="clear"/>
            <w:vAlign w:val="center"/>
          </w:tcPr>
          <w:p>
            <w:pPr>
              <w:pStyle w:val="TableContents"/>
              <w:bidi w:val="0"/>
              <w:spacing w:before="0" w:after="0"/>
              <w:jc w:val="right"/>
              <w:rPr/>
            </w:pPr>
            <w:r>
              <w:rPr/>
              <w:t> </w:t>
            </w:r>
          </w:p>
        </w:tc>
        <w:tc>
          <w:tcPr>
            <w:tcW w:w="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0.7304</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306"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w:t>
            </w:r>
            <w:r>
              <w:rPr>
                <w:rFonts w:ascii="Times New Roman" w:hAnsi="Times New Roman"/>
                <w:sz w:val="20"/>
              </w:rPr>
              <w:t>)</w:t>
            </w:r>
          </w:p>
        </w:tc>
        <w:tc>
          <w:tcPr>
            <w:tcW w:w="1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0.7104</w:t>
            </w:r>
          </w:p>
        </w:tc>
        <w:tc>
          <w:tcPr>
            <w:tcW w:w="110" w:type="dxa"/>
            <w:tcBorders/>
            <w:shd w:fill="CCEEFF" w:val="clear"/>
            <w:vAlign w:val="center"/>
          </w:tcPr>
          <w:p>
            <w:pPr>
              <w:pStyle w:val="TableContents"/>
              <w:bidi w:val="0"/>
              <w:spacing w:before="0" w:after="0"/>
              <w:jc w:val="right"/>
              <w:rPr/>
            </w:pPr>
            <w:r>
              <w:rPr/>
              <w:t> </w:t>
            </w:r>
          </w:p>
        </w:tc>
        <w:tc>
          <w:tcPr>
            <w:tcW w:w="110" w:type="dxa"/>
            <w:tcBorders/>
            <w:shd w:fill="CCEEFF" w:val="clear"/>
            <w:vAlign w:val="center"/>
          </w:tcPr>
          <w:p>
            <w:pPr>
              <w:pStyle w:val="TableContents"/>
              <w:bidi w:val="0"/>
              <w:spacing w:before="0" w:after="0"/>
              <w:jc w:val="right"/>
              <w:rPr/>
            </w:pPr>
            <w:r>
              <w:rPr/>
              <w:t> </w:t>
            </w:r>
          </w:p>
        </w:tc>
        <w:tc>
          <w:tcPr>
            <w:tcW w:w="108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0.7352</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306"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3</w:t>
            </w:r>
            <w:r>
              <w:rPr>
                <w:rFonts w:ascii="Times New Roman" w:hAnsi="Times New Roman"/>
                <w:sz w:val="20"/>
              </w:rPr>
              <w:t>)</w:t>
            </w:r>
          </w:p>
        </w:tc>
        <w:tc>
          <w:tcPr>
            <w:tcW w:w="20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8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euro (EUR)</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1.1340</w:t>
            </w:r>
          </w:p>
        </w:tc>
        <w:tc>
          <w:tcPr>
            <w:tcW w:w="110" w:type="dxa"/>
            <w:tcBorders/>
            <w:shd w:fill="FFFFFF" w:val="clear"/>
            <w:vAlign w:val="center"/>
          </w:tcPr>
          <w:p>
            <w:pPr>
              <w:pStyle w:val="TableContents"/>
              <w:bidi w:val="0"/>
              <w:spacing w:before="0" w:after="0"/>
              <w:jc w:val="right"/>
              <w:rPr/>
            </w:pPr>
            <w:r>
              <w:rPr/>
              <w:t> </w:t>
            </w:r>
          </w:p>
        </w:tc>
        <w:tc>
          <w:tcPr>
            <w:tcW w:w="2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1.0739</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3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1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1.0928</w:t>
            </w:r>
          </w:p>
        </w:tc>
        <w:tc>
          <w:tcPr>
            <w:tcW w:w="110" w:type="dxa"/>
            <w:tcBorders/>
            <w:shd w:fill="FFFFFF" w:val="clear"/>
            <w:vAlign w:val="center"/>
          </w:tcPr>
          <w:p>
            <w:pPr>
              <w:pStyle w:val="TableContents"/>
              <w:bidi w:val="0"/>
              <w:spacing w:before="0" w:after="0"/>
              <w:jc w:val="right"/>
              <w:rPr/>
            </w:pPr>
            <w:r>
              <w:rPr/>
              <w:t> </w:t>
            </w:r>
          </w:p>
        </w:tc>
        <w:tc>
          <w:tcPr>
            <w:tcW w:w="110" w:type="dxa"/>
            <w:tcBorders/>
            <w:shd w:fill="FFFFFF" w:val="clear"/>
            <w:vAlign w:val="center"/>
          </w:tcPr>
          <w:p>
            <w:pPr>
              <w:pStyle w:val="TableContents"/>
              <w:bidi w:val="0"/>
              <w:spacing w:before="0" w:after="0"/>
              <w:jc w:val="right"/>
              <w:rPr/>
            </w:pPr>
            <w:r>
              <w:rPr/>
              <w:t> </w:t>
            </w:r>
          </w:p>
        </w:tc>
        <w:tc>
          <w:tcPr>
            <w:tcW w:w="108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1.0770</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3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20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Hungarian forint (HUF)</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0.0028</w:t>
            </w:r>
          </w:p>
        </w:tc>
        <w:tc>
          <w:tcPr>
            <w:tcW w:w="110" w:type="dxa"/>
            <w:tcBorders/>
            <w:shd w:fill="CCEEFF" w:val="clear"/>
            <w:vAlign w:val="center"/>
          </w:tcPr>
          <w:p>
            <w:pPr>
              <w:pStyle w:val="TableContents"/>
              <w:bidi w:val="0"/>
              <w:spacing w:before="0" w:after="0"/>
              <w:jc w:val="right"/>
              <w:rPr/>
            </w:pPr>
            <w:r>
              <w:rPr/>
              <w:t> </w:t>
            </w:r>
          </w:p>
        </w:tc>
        <w:tc>
          <w:tcPr>
            <w:tcW w:w="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0.0027</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3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1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0.0027</w:t>
            </w:r>
          </w:p>
        </w:tc>
        <w:tc>
          <w:tcPr>
            <w:tcW w:w="110" w:type="dxa"/>
            <w:tcBorders/>
            <w:shd w:fill="CCEEFF" w:val="clear"/>
            <w:vAlign w:val="center"/>
          </w:tcPr>
          <w:p>
            <w:pPr>
              <w:pStyle w:val="TableContents"/>
              <w:bidi w:val="0"/>
              <w:spacing w:before="0" w:after="0"/>
              <w:jc w:val="right"/>
              <w:rPr/>
            </w:pPr>
            <w:r>
              <w:rPr/>
              <w:t> </w:t>
            </w:r>
          </w:p>
        </w:tc>
        <w:tc>
          <w:tcPr>
            <w:tcW w:w="110" w:type="dxa"/>
            <w:tcBorders/>
            <w:shd w:fill="CCEEFF" w:val="clear"/>
            <w:vAlign w:val="center"/>
          </w:tcPr>
          <w:p>
            <w:pPr>
              <w:pStyle w:val="TableContents"/>
              <w:bidi w:val="0"/>
              <w:spacing w:before="0" w:after="0"/>
              <w:jc w:val="right"/>
              <w:rPr/>
            </w:pPr>
            <w:r>
              <w:rPr/>
              <w:t> </w:t>
            </w:r>
          </w:p>
        </w:tc>
        <w:tc>
          <w:tcPr>
            <w:tcW w:w="108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0.0028</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306"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2</w:t>
            </w:r>
            <w:r>
              <w:rPr>
                <w:rFonts w:ascii="Times New Roman" w:hAnsi="Times New Roman"/>
                <w:sz w:val="20"/>
              </w:rPr>
              <w:t>)</w:t>
            </w:r>
          </w:p>
        </w:tc>
        <w:tc>
          <w:tcPr>
            <w:tcW w:w="20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8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Indian rupee (INR)</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0.0117</w:t>
            </w:r>
          </w:p>
        </w:tc>
        <w:tc>
          <w:tcPr>
            <w:tcW w:w="110" w:type="dxa"/>
            <w:tcBorders/>
            <w:shd w:fill="FFFFFF" w:val="clear"/>
            <w:vAlign w:val="center"/>
          </w:tcPr>
          <w:p>
            <w:pPr>
              <w:pStyle w:val="TableContents"/>
              <w:bidi w:val="0"/>
              <w:spacing w:before="0" w:after="0"/>
              <w:jc w:val="right"/>
              <w:rPr/>
            </w:pPr>
            <w:r>
              <w:rPr/>
              <w:t> </w:t>
            </w:r>
          </w:p>
        </w:tc>
        <w:tc>
          <w:tcPr>
            <w:tcW w:w="2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0.0120</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306"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2</w:t>
            </w:r>
            <w:r>
              <w:rPr>
                <w:rFonts w:ascii="Times New Roman" w:hAnsi="Times New Roman"/>
                <w:sz w:val="20"/>
              </w:rPr>
              <w:t>)</w:t>
            </w:r>
          </w:p>
        </w:tc>
        <w:tc>
          <w:tcPr>
            <w:tcW w:w="1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0.0116</w:t>
            </w:r>
          </w:p>
        </w:tc>
        <w:tc>
          <w:tcPr>
            <w:tcW w:w="110" w:type="dxa"/>
            <w:tcBorders/>
            <w:shd w:fill="FFFFFF" w:val="clear"/>
            <w:vAlign w:val="center"/>
          </w:tcPr>
          <w:p>
            <w:pPr>
              <w:pStyle w:val="TableContents"/>
              <w:bidi w:val="0"/>
              <w:spacing w:before="0" w:after="0"/>
              <w:jc w:val="right"/>
              <w:rPr/>
            </w:pPr>
            <w:r>
              <w:rPr/>
              <w:t> </w:t>
            </w:r>
          </w:p>
        </w:tc>
        <w:tc>
          <w:tcPr>
            <w:tcW w:w="110" w:type="dxa"/>
            <w:tcBorders/>
            <w:shd w:fill="FFFFFF" w:val="clear"/>
            <w:vAlign w:val="center"/>
          </w:tcPr>
          <w:p>
            <w:pPr>
              <w:pStyle w:val="TableContents"/>
              <w:bidi w:val="0"/>
              <w:spacing w:before="0" w:after="0"/>
              <w:jc w:val="right"/>
              <w:rPr/>
            </w:pPr>
            <w:r>
              <w:rPr/>
              <w:t> </w:t>
            </w:r>
          </w:p>
        </w:tc>
        <w:tc>
          <w:tcPr>
            <w:tcW w:w="108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0.0120</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306"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3</w:t>
            </w:r>
            <w:r>
              <w:rPr>
                <w:rFonts w:ascii="Times New Roman" w:hAnsi="Times New Roman"/>
                <w:sz w:val="20"/>
              </w:rPr>
              <w:t>)</w:t>
            </w:r>
          </w:p>
        </w:tc>
        <w:tc>
          <w:tcPr>
            <w:tcW w:w="20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Malaysian ringgit (MYR)</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0.2324</w:t>
            </w:r>
          </w:p>
        </w:tc>
        <w:tc>
          <w:tcPr>
            <w:tcW w:w="110" w:type="dxa"/>
            <w:tcBorders/>
            <w:shd w:fill="CCEEFF" w:val="clear"/>
            <w:vAlign w:val="center"/>
          </w:tcPr>
          <w:p>
            <w:pPr>
              <w:pStyle w:val="TableContents"/>
              <w:bidi w:val="0"/>
              <w:spacing w:before="0" w:after="0"/>
              <w:jc w:val="right"/>
              <w:rPr/>
            </w:pPr>
            <w:r>
              <w:rPr/>
              <w:t> </w:t>
            </w:r>
          </w:p>
        </w:tc>
        <w:tc>
          <w:tcPr>
            <w:tcW w:w="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0.2114</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3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1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0.2287</w:t>
            </w:r>
          </w:p>
        </w:tc>
        <w:tc>
          <w:tcPr>
            <w:tcW w:w="110" w:type="dxa"/>
            <w:tcBorders/>
            <w:shd w:fill="CCEEFF" w:val="clear"/>
            <w:vAlign w:val="center"/>
          </w:tcPr>
          <w:p>
            <w:pPr>
              <w:pStyle w:val="TableContents"/>
              <w:bidi w:val="0"/>
              <w:spacing w:before="0" w:after="0"/>
              <w:jc w:val="right"/>
              <w:rPr/>
            </w:pPr>
            <w:r>
              <w:rPr/>
              <w:t> </w:t>
            </w:r>
          </w:p>
        </w:tc>
        <w:tc>
          <w:tcPr>
            <w:tcW w:w="110" w:type="dxa"/>
            <w:tcBorders/>
            <w:shd w:fill="CCEEFF" w:val="clear"/>
            <w:vAlign w:val="center"/>
          </w:tcPr>
          <w:p>
            <w:pPr>
              <w:pStyle w:val="TableContents"/>
              <w:bidi w:val="0"/>
              <w:spacing w:before="0" w:after="0"/>
              <w:jc w:val="right"/>
              <w:rPr/>
            </w:pPr>
            <w:r>
              <w:rPr/>
              <w:t> </w:t>
            </w:r>
          </w:p>
        </w:tc>
        <w:tc>
          <w:tcPr>
            <w:tcW w:w="108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0.2114</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3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20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8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New Zealand dollar (NZD)</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0.5924</w:t>
            </w:r>
          </w:p>
        </w:tc>
        <w:tc>
          <w:tcPr>
            <w:tcW w:w="110" w:type="dxa"/>
            <w:tcBorders/>
            <w:shd w:fill="FFFFFF" w:val="clear"/>
            <w:vAlign w:val="center"/>
          </w:tcPr>
          <w:p>
            <w:pPr>
              <w:pStyle w:val="TableContents"/>
              <w:bidi w:val="0"/>
              <w:spacing w:before="0" w:after="0"/>
              <w:jc w:val="right"/>
              <w:rPr/>
            </w:pPr>
            <w:r>
              <w:rPr/>
              <w:t> </w:t>
            </w:r>
          </w:p>
        </w:tc>
        <w:tc>
          <w:tcPr>
            <w:tcW w:w="2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0.6039</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306"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2</w:t>
            </w:r>
            <w:r>
              <w:rPr>
                <w:rFonts w:ascii="Times New Roman" w:hAnsi="Times New Roman"/>
                <w:sz w:val="20"/>
              </w:rPr>
              <w:t>)</w:t>
            </w:r>
          </w:p>
        </w:tc>
        <w:tc>
          <w:tcPr>
            <w:tcW w:w="1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0.5798</w:t>
            </w:r>
          </w:p>
        </w:tc>
        <w:tc>
          <w:tcPr>
            <w:tcW w:w="110" w:type="dxa"/>
            <w:tcBorders/>
            <w:shd w:fill="FFFFFF" w:val="clear"/>
            <w:vAlign w:val="center"/>
          </w:tcPr>
          <w:p>
            <w:pPr>
              <w:pStyle w:val="TableContents"/>
              <w:bidi w:val="0"/>
              <w:spacing w:before="0" w:after="0"/>
              <w:jc w:val="right"/>
              <w:rPr/>
            </w:pPr>
            <w:r>
              <w:rPr/>
              <w:t> </w:t>
            </w:r>
          </w:p>
        </w:tc>
        <w:tc>
          <w:tcPr>
            <w:tcW w:w="110" w:type="dxa"/>
            <w:tcBorders/>
            <w:shd w:fill="FFFFFF" w:val="clear"/>
            <w:vAlign w:val="center"/>
          </w:tcPr>
          <w:p>
            <w:pPr>
              <w:pStyle w:val="TableContents"/>
              <w:bidi w:val="0"/>
              <w:spacing w:before="0" w:after="0"/>
              <w:jc w:val="right"/>
              <w:rPr/>
            </w:pPr>
            <w:r>
              <w:rPr/>
              <w:t> </w:t>
            </w:r>
          </w:p>
        </w:tc>
        <w:tc>
          <w:tcPr>
            <w:tcW w:w="108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0.6047</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306"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4</w:t>
            </w:r>
            <w:r>
              <w:rPr>
                <w:rFonts w:ascii="Times New Roman" w:hAnsi="Times New Roman"/>
                <w:sz w:val="20"/>
              </w:rPr>
              <w:t>)</w:t>
            </w:r>
          </w:p>
        </w:tc>
        <w:tc>
          <w:tcPr>
            <w:tcW w:w="20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Polish zloty (PLN)</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0.2668</w:t>
            </w:r>
          </w:p>
        </w:tc>
        <w:tc>
          <w:tcPr>
            <w:tcW w:w="110" w:type="dxa"/>
            <w:tcBorders/>
            <w:shd w:fill="CCEEFF" w:val="clear"/>
            <w:vAlign w:val="center"/>
          </w:tcPr>
          <w:p>
            <w:pPr>
              <w:pStyle w:val="TableContents"/>
              <w:bidi w:val="0"/>
              <w:spacing w:before="0" w:after="0"/>
              <w:jc w:val="right"/>
              <w:rPr/>
            </w:pPr>
            <w:r>
              <w:rPr/>
              <w:t> </w:t>
            </w:r>
          </w:p>
        </w:tc>
        <w:tc>
          <w:tcPr>
            <w:tcW w:w="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0.2497</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3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1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0.2588</w:t>
            </w:r>
          </w:p>
        </w:tc>
        <w:tc>
          <w:tcPr>
            <w:tcW w:w="110" w:type="dxa"/>
            <w:tcBorders/>
            <w:shd w:fill="CCEEFF" w:val="clear"/>
            <w:vAlign w:val="center"/>
          </w:tcPr>
          <w:p>
            <w:pPr>
              <w:pStyle w:val="TableContents"/>
              <w:bidi w:val="0"/>
              <w:spacing w:before="0" w:after="0"/>
              <w:jc w:val="right"/>
              <w:rPr/>
            </w:pPr>
            <w:r>
              <w:rPr/>
              <w:t> </w:t>
            </w:r>
          </w:p>
        </w:tc>
        <w:tc>
          <w:tcPr>
            <w:tcW w:w="110" w:type="dxa"/>
            <w:tcBorders/>
            <w:shd w:fill="CCEEFF" w:val="clear"/>
            <w:vAlign w:val="center"/>
          </w:tcPr>
          <w:p>
            <w:pPr>
              <w:pStyle w:val="TableContents"/>
              <w:bidi w:val="0"/>
              <w:spacing w:before="0" w:after="0"/>
              <w:jc w:val="right"/>
              <w:rPr/>
            </w:pPr>
            <w:r>
              <w:rPr/>
              <w:t> </w:t>
            </w:r>
          </w:p>
        </w:tc>
        <w:tc>
          <w:tcPr>
            <w:tcW w:w="108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0.2503</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3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20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b/>
          <w:sz w:val="20"/>
        </w:rPr>
      </w:pPr>
      <w:r>
        <w:rPr>
          <w:rFonts w:ascii="Times New Roman" w:hAnsi="Times New Roman"/>
          <w:b/>
          <w:sz w:val="20"/>
        </w:rPr>
        <w:t>COMPARISON OF OPERATING RESULTS FOR THE THREE AND SIX MONTHS ENDED JUNE 30, 2025 AND 2024</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sz w:val="20"/>
        </w:rPr>
      </w:pPr>
      <w:r>
        <w:rPr>
          <w:rFonts w:ascii="Times New Roman" w:hAnsi="Times New Roman"/>
          <w:b/>
          <w:sz w:val="20"/>
        </w:rPr>
        <w:t>EFT PROCESSING SEGMENT</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following table summarizes the results of operations for our EFT Processing Segment for the</w:t>
      </w:r>
      <w:r>
        <w:rPr>
          <w:rFonts w:ascii="Times New Roman" w:hAnsi="Times New Roman"/>
          <w:sz w:val="24"/>
        </w:rPr>
        <w:t> </w:t>
      </w:r>
      <w:r>
        <w:rPr>
          <w:rFonts w:ascii="Times New Roman" w:hAnsi="Times New Roman"/>
          <w:sz w:val="20"/>
        </w:rPr>
        <w:t>three and six months ended June 30, 2025</w:t>
      </w:r>
      <w:r>
        <w:rPr>
          <w:rFonts w:ascii="Times New Roman" w:hAnsi="Times New Roman"/>
          <w:sz w:val="24"/>
        </w:rPr>
        <w:t> </w:t>
      </w:r>
      <w:r>
        <w:rPr>
          <w:rFonts w:ascii="Times New Roman" w:hAnsi="Times New Roman"/>
          <w:sz w:val="20"/>
        </w:rPr>
        <w:t>and</w:t>
      </w:r>
      <w:r>
        <w:rPr>
          <w:rFonts w:ascii="Times New Roman" w:hAnsi="Times New Roman"/>
          <w:sz w:val="24"/>
        </w:rPr>
        <w:t> </w:t>
      </w:r>
      <w:r>
        <w:rPr>
          <w:rFonts w:ascii="Times New Roman" w:hAnsi="Times New Roman"/>
          <w:sz w:val="20"/>
        </w:rPr>
        <w:t>2024:</w:t>
      </w:r>
      <w:r>
        <w:rPr>
          <w:rFonts w:ascii="Times New Roman" w:hAnsi="Times New Roman"/>
          <w:sz w:val="24"/>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41"/>
        <w:gridCol w:w="60"/>
        <w:gridCol w:w="125"/>
        <w:gridCol w:w="745"/>
        <w:gridCol w:w="75"/>
        <w:gridCol w:w="157"/>
        <w:gridCol w:w="745"/>
        <w:gridCol w:w="60"/>
        <w:gridCol w:w="125"/>
        <w:gridCol w:w="898"/>
        <w:gridCol w:w="60"/>
        <w:gridCol w:w="898"/>
        <w:gridCol w:w="185"/>
        <w:gridCol w:w="60"/>
        <w:gridCol w:w="60"/>
        <w:gridCol w:w="125"/>
        <w:gridCol w:w="708"/>
        <w:gridCol w:w="71"/>
        <w:gridCol w:w="149"/>
        <w:gridCol w:w="708"/>
        <w:gridCol w:w="60"/>
        <w:gridCol w:w="125"/>
        <w:gridCol w:w="898"/>
        <w:gridCol w:w="60"/>
        <w:gridCol w:w="898"/>
        <w:gridCol w:w="209"/>
      </w:tblGrid>
      <w:tr>
        <w:trPr/>
        <w:tc>
          <w:tcPr>
            <w:tcW w:w="194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722"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856"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636"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856"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209"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941"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75" w:type="dxa"/>
            <w:tcBorders>
              <w:top w:val="single" w:sz="8" w:space="0" w:color="000000"/>
            </w:tcBorders>
            <w:tcMar>
              <w:top w:w="28" w:type="dxa"/>
            </w:tcMar>
            <w:vAlign w:val="center"/>
          </w:tcPr>
          <w:p>
            <w:pPr>
              <w:pStyle w:val="TableContents"/>
              <w:bidi w:val="0"/>
              <w:spacing w:before="0" w:after="0"/>
              <w:jc w:val="left"/>
              <w:rPr/>
            </w:pPr>
            <w:r>
              <w:rPr/>
              <w:t> </w:t>
            </w:r>
          </w:p>
        </w:tc>
        <w:tc>
          <w:tcPr>
            <w:tcW w:w="15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9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Amount</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89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Amount</w:t>
            </w:r>
          </w:p>
        </w:tc>
        <w:tc>
          <w:tcPr>
            <w:tcW w:w="1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0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71" w:type="dxa"/>
            <w:tcBorders>
              <w:top w:val="single" w:sz="8" w:space="0" w:color="000000"/>
            </w:tcBorders>
            <w:tcMar>
              <w:top w:w="28" w:type="dxa"/>
            </w:tcM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0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9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Amount</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89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Amount</w:t>
            </w:r>
          </w:p>
        </w:tc>
        <w:tc>
          <w:tcPr>
            <w:tcW w:w="20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r>
      <w:tr>
        <w:trPr/>
        <w:tc>
          <w:tcPr>
            <w:tcW w:w="1941"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338.5</w:t>
            </w:r>
          </w:p>
        </w:tc>
        <w:tc>
          <w:tcPr>
            <w:tcW w:w="75" w:type="dxa"/>
            <w:tcBorders/>
            <w:shd w:fill="CCEEFF" w:val="clear"/>
            <w:vAlign w:val="center"/>
          </w:tcPr>
          <w:p>
            <w:pPr>
              <w:pStyle w:val="TableContents"/>
              <w:bidi w:val="0"/>
              <w:spacing w:before="0" w:after="0"/>
              <w:jc w:val="left"/>
              <w:rPr/>
            </w:pPr>
            <w:r>
              <w:rPr/>
              <w:t> </w:t>
            </w:r>
          </w:p>
        </w:tc>
        <w:tc>
          <w:tcPr>
            <w:tcW w:w="157"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305.4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33.1</w:t>
            </w:r>
          </w:p>
        </w:tc>
        <w:tc>
          <w:tcPr>
            <w:tcW w:w="60" w:type="dxa"/>
            <w:tcBorders/>
            <w:shd w:fill="CCEEFF" w:val="clear"/>
            <w:vAlign w:val="center"/>
          </w:tcPr>
          <w:p>
            <w:pPr>
              <w:pStyle w:val="TableContents"/>
              <w:bidi w:val="0"/>
              <w:spacing w:before="0" w:after="0"/>
              <w:jc w:val="left"/>
              <w:rPr/>
            </w:pPr>
            <w:r>
              <w:rPr/>
              <w:t> </w:t>
            </w:r>
          </w:p>
        </w:tc>
        <w:tc>
          <w:tcPr>
            <w:tcW w:w="89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18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571.0</w:t>
            </w:r>
          </w:p>
        </w:tc>
        <w:tc>
          <w:tcPr>
            <w:tcW w:w="71" w:type="dxa"/>
            <w:tcBorders/>
            <w:shd w:fill="CCEEFF" w:val="cle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522.6</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48.4</w:t>
            </w:r>
          </w:p>
        </w:tc>
        <w:tc>
          <w:tcPr>
            <w:tcW w:w="60" w:type="dxa"/>
            <w:tcBorders/>
            <w:shd w:fill="CCEEFF" w:val="clear"/>
            <w:vAlign w:val="center"/>
          </w:tcPr>
          <w:p>
            <w:pPr>
              <w:pStyle w:val="TableContents"/>
              <w:bidi w:val="0"/>
              <w:spacing w:before="0" w:after="0"/>
              <w:jc w:val="left"/>
              <w:rPr/>
            </w:pPr>
            <w:r>
              <w:rPr/>
              <w:t> </w:t>
            </w:r>
          </w:p>
        </w:tc>
        <w:tc>
          <w:tcPr>
            <w:tcW w:w="89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209"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94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45" w:type="dxa"/>
            <w:tcBorders/>
            <w:shd w:fill="FFFFFF" w:val="clear"/>
            <w:vAlign w:val="center"/>
          </w:tcPr>
          <w:p>
            <w:pPr>
              <w:pStyle w:val="TableContents"/>
              <w:bidi w:val="0"/>
              <w:spacing w:before="0" w:after="0"/>
              <w:jc w:val="right"/>
              <w:rPr/>
            </w:pPr>
            <w:r>
              <w:rPr/>
              <w:t> </w:t>
            </w:r>
          </w:p>
        </w:tc>
        <w:tc>
          <w:tcPr>
            <w:tcW w:w="75" w:type="dxa"/>
            <w:tcBorders/>
            <w:shd w:fill="FFFFFF" w:val="clear"/>
            <w:vAlign w:val="center"/>
          </w:tcPr>
          <w:p>
            <w:pPr>
              <w:pStyle w:val="TableContents"/>
              <w:bidi w:val="0"/>
              <w:spacing w:before="0" w:after="0"/>
              <w:jc w:val="left"/>
              <w:rPr/>
            </w:pPr>
            <w:r>
              <w:rPr/>
              <w:t> </w:t>
            </w:r>
          </w:p>
        </w:tc>
        <w:tc>
          <w:tcPr>
            <w:tcW w:w="157" w:type="dxa"/>
            <w:tcBorders/>
            <w:shd w:fill="FFFFFF" w:val="clear"/>
            <w:vAlign w:val="center"/>
          </w:tcPr>
          <w:p>
            <w:pPr>
              <w:pStyle w:val="TableContents"/>
              <w:bidi w:val="0"/>
              <w:spacing w:before="0" w:after="0"/>
              <w:jc w:val="left"/>
              <w:rPr/>
            </w:pPr>
            <w:r>
              <w:rPr/>
              <w:t> </w:t>
            </w:r>
          </w:p>
        </w:tc>
        <w:tc>
          <w:tcPr>
            <w:tcW w:w="7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98"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898" w:type="dxa"/>
            <w:tcBorders/>
            <w:shd w:fill="FFFFFF" w:val="clear"/>
            <w:vAlign w:val="center"/>
          </w:tcPr>
          <w:p>
            <w:pPr>
              <w:pStyle w:val="TableContents"/>
              <w:bidi w:val="0"/>
              <w:spacing w:before="0" w:after="0"/>
              <w:jc w:val="right"/>
              <w:rPr/>
            </w:pPr>
            <w:r>
              <w:rPr/>
              <w:t> </w:t>
            </w:r>
          </w:p>
        </w:tc>
        <w:tc>
          <w:tcPr>
            <w:tcW w:w="18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08" w:type="dxa"/>
            <w:tcBorders/>
            <w:shd w:fill="FFFFFF" w:val="clear"/>
            <w:vAlign w:val="center"/>
          </w:tcPr>
          <w:p>
            <w:pPr>
              <w:pStyle w:val="TableContents"/>
              <w:bidi w:val="0"/>
              <w:spacing w:before="0" w:after="0"/>
              <w:jc w:val="right"/>
              <w:rPr/>
            </w:pPr>
            <w:r>
              <w:rPr/>
              <w:t> </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708"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98"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898" w:type="dxa"/>
            <w:tcBorders/>
            <w:shd w:fill="FFFFFF" w:val="clear"/>
            <w:vAlign w:val="center"/>
          </w:tcPr>
          <w:p>
            <w:pPr>
              <w:pStyle w:val="TableContents"/>
              <w:bidi w:val="0"/>
              <w:spacing w:before="0" w:after="0"/>
              <w:jc w:val="right"/>
              <w:rPr/>
            </w:pPr>
            <w:r>
              <w:rPr/>
              <w:t> </w:t>
            </w:r>
          </w:p>
        </w:tc>
        <w:tc>
          <w:tcPr>
            <w:tcW w:w="209" w:type="dxa"/>
            <w:tcBorders/>
            <w:shd w:fill="FFFFFF" w:val="clear"/>
            <w:vAlign w:val="center"/>
          </w:tcPr>
          <w:p>
            <w:pPr>
              <w:pStyle w:val="TableContents"/>
              <w:bidi w:val="0"/>
              <w:spacing w:before="0" w:after="0"/>
              <w:jc w:val="left"/>
              <w:rPr/>
            </w:pPr>
            <w:r>
              <w:rPr/>
              <w:t> </w:t>
            </w:r>
          </w:p>
        </w:tc>
      </w:tr>
      <w:tr>
        <w:trPr/>
        <w:tc>
          <w:tcPr>
            <w:tcW w:w="1941"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Direct operating costs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173.9</w:t>
            </w:r>
          </w:p>
        </w:tc>
        <w:tc>
          <w:tcPr>
            <w:tcW w:w="75" w:type="dxa"/>
            <w:tcBorders/>
            <w:shd w:fill="CCEEFF" w:val="clear"/>
            <w:vAlign w:val="center"/>
          </w:tcPr>
          <w:p>
            <w:pPr>
              <w:pStyle w:val="TableContents"/>
              <w:bidi w:val="0"/>
              <w:spacing w:before="0" w:after="0"/>
              <w:jc w:val="left"/>
              <w:rPr/>
            </w:pPr>
            <w:r>
              <w:rPr/>
              <w:t> </w:t>
            </w:r>
          </w:p>
        </w:tc>
        <w:tc>
          <w:tcPr>
            <w:tcW w:w="157" w:type="dxa"/>
            <w:tcBorders/>
            <w:shd w:fill="CCEEFF" w:val="clear"/>
            <w:vAlign w:val="center"/>
          </w:tcPr>
          <w:p>
            <w:pPr>
              <w:pStyle w:val="TableContents"/>
              <w:bidi w:val="0"/>
              <w:spacing w:before="0" w:after="0"/>
              <w:jc w:val="left"/>
              <w:rPr/>
            </w:pPr>
            <w:r>
              <w:rPr/>
              <w:t> </w:t>
            </w:r>
          </w:p>
        </w:tc>
        <w:tc>
          <w:tcPr>
            <w:tcW w:w="7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152.5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21.4</w:t>
            </w:r>
          </w:p>
        </w:tc>
        <w:tc>
          <w:tcPr>
            <w:tcW w:w="6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310.4</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7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283.6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26.8</w:t>
            </w:r>
          </w:p>
        </w:tc>
        <w:tc>
          <w:tcPr>
            <w:tcW w:w="6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2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941"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39.7</w:t>
            </w:r>
          </w:p>
        </w:tc>
        <w:tc>
          <w:tcPr>
            <w:tcW w:w="75" w:type="dxa"/>
            <w:tcBorders/>
            <w:shd w:fill="FFFFFF" w:val="clear"/>
            <w:vAlign w:val="center"/>
          </w:tcPr>
          <w:p>
            <w:pPr>
              <w:pStyle w:val="TableContents"/>
              <w:bidi w:val="0"/>
              <w:spacing w:before="0" w:after="0"/>
              <w:jc w:val="left"/>
              <w:rPr/>
            </w:pPr>
            <w:r>
              <w:rPr/>
              <w:t> </w:t>
            </w:r>
          </w:p>
        </w:tc>
        <w:tc>
          <w:tcPr>
            <w:tcW w:w="157" w:type="dxa"/>
            <w:tcBorders/>
            <w:shd w:fill="FFFFFF" w:val="clear"/>
            <w:vAlign w:val="center"/>
          </w:tcPr>
          <w:p>
            <w:pPr>
              <w:pStyle w:val="TableContents"/>
              <w:bidi w:val="0"/>
              <w:spacing w:before="0" w:after="0"/>
              <w:jc w:val="left"/>
              <w:rPr/>
            </w:pPr>
            <w:r>
              <w:rPr/>
              <w:t> </w:t>
            </w:r>
          </w:p>
        </w:tc>
        <w:tc>
          <w:tcPr>
            <w:tcW w:w="7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9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w:t>
            </w:r>
          </w:p>
        </w:tc>
        <w:tc>
          <w:tcPr>
            <w:tcW w:w="60" w:type="dxa"/>
            <w:tcBorders/>
            <w:shd w:fill="FFFFFF" w:val="clear"/>
            <w:vAlign w:val="center"/>
          </w:tcPr>
          <w:p>
            <w:pPr>
              <w:pStyle w:val="TableContents"/>
              <w:bidi w:val="0"/>
              <w:spacing w:before="0" w:after="0"/>
              <w:jc w:val="left"/>
              <w:rPr/>
            </w:pPr>
            <w:r>
              <w:rPr/>
              <w:t> </w:t>
            </w:r>
          </w:p>
        </w:tc>
        <w:tc>
          <w:tcPr>
            <w:tcW w:w="89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75.2</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7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66.2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9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9.0</w:t>
            </w:r>
          </w:p>
        </w:tc>
        <w:tc>
          <w:tcPr>
            <w:tcW w:w="60" w:type="dxa"/>
            <w:tcBorders/>
            <w:shd w:fill="FFFFFF" w:val="clear"/>
            <w:vAlign w:val="center"/>
          </w:tcPr>
          <w:p>
            <w:pPr>
              <w:pStyle w:val="TableContents"/>
              <w:bidi w:val="0"/>
              <w:spacing w:before="0" w:after="0"/>
              <w:jc w:val="left"/>
              <w:rPr/>
            </w:pPr>
            <w:r>
              <w:rPr/>
              <w:t> </w:t>
            </w:r>
          </w:p>
        </w:tc>
        <w:tc>
          <w:tcPr>
            <w:tcW w:w="89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20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941"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14.3</w:t>
            </w:r>
          </w:p>
        </w:tc>
        <w:tc>
          <w:tcPr>
            <w:tcW w:w="75" w:type="dxa"/>
            <w:tcBorders/>
            <w:shd w:fill="CCEEFF" w:val="clear"/>
            <w:vAlign w:val="center"/>
          </w:tcPr>
          <w:p>
            <w:pPr>
              <w:pStyle w:val="TableContents"/>
              <w:bidi w:val="0"/>
              <w:spacing w:before="0" w:after="0"/>
              <w:jc w:val="left"/>
              <w:rPr/>
            </w:pPr>
            <w:r>
              <w:rPr/>
              <w:t> </w:t>
            </w:r>
          </w:p>
        </w:tc>
        <w:tc>
          <w:tcPr>
            <w:tcW w:w="157" w:type="dxa"/>
            <w:tcBorders/>
            <w:shd w:fill="CCEEFF" w:val="clear"/>
            <w:vAlign w:val="center"/>
          </w:tcPr>
          <w:p>
            <w:pPr>
              <w:pStyle w:val="TableContents"/>
              <w:bidi w:val="0"/>
              <w:spacing w:before="0" w:after="0"/>
              <w:jc w:val="left"/>
              <w:rPr/>
            </w:pPr>
            <w:r>
              <w:rPr/>
              <w:t> </w:t>
            </w:r>
          </w:p>
        </w:tc>
        <w:tc>
          <w:tcPr>
            <w:tcW w:w="7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0.8</w:t>
            </w:r>
          </w:p>
        </w:tc>
        <w:tc>
          <w:tcPr>
            <w:tcW w:w="6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27.2</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7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22.7</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w:t>
            </w:r>
          </w:p>
        </w:tc>
        <w:tc>
          <w:tcPr>
            <w:tcW w:w="6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w:t>
            </w:r>
          </w:p>
        </w:tc>
        <w:tc>
          <w:tcPr>
            <w:tcW w:w="2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941"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4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26.0</w:t>
            </w:r>
          </w:p>
        </w:tc>
        <w:tc>
          <w:tcPr>
            <w:tcW w:w="75" w:type="dxa"/>
            <w:tcBorders/>
            <w:shd w:fill="FFFFFF" w:val="clear"/>
            <w:vAlign w:val="center"/>
          </w:tcPr>
          <w:p>
            <w:pPr>
              <w:pStyle w:val="TableContents"/>
              <w:bidi w:val="0"/>
              <w:spacing w:before="0" w:after="0"/>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4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25.1</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898"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0.9</w:t>
            </w:r>
          </w:p>
        </w:tc>
        <w:tc>
          <w:tcPr>
            <w:tcW w:w="60" w:type="dxa"/>
            <w:tcBorders/>
            <w:shd w:fill="FFFFFF" w:val="clear"/>
            <w:vAlign w:val="center"/>
          </w:tcPr>
          <w:p>
            <w:pPr>
              <w:pStyle w:val="TableContents"/>
              <w:bidi w:val="0"/>
              <w:spacing w:before="0" w:after="0"/>
              <w:jc w:val="left"/>
              <w:rPr/>
            </w:pPr>
            <w:r>
              <w:rPr/>
              <w:t> </w:t>
            </w:r>
          </w:p>
        </w:tc>
        <w:tc>
          <w:tcPr>
            <w:tcW w:w="89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50.3</w:t>
            </w:r>
          </w:p>
        </w:tc>
        <w:tc>
          <w:tcPr>
            <w:tcW w:w="71" w:type="dxa"/>
            <w:tcBorders/>
            <w:shd w:fill="FFFFFF" w:val="clear"/>
            <w:vAlign w:val="center"/>
          </w:tcPr>
          <w:p>
            <w:pPr>
              <w:pStyle w:val="TableContents"/>
              <w:bidi w:val="0"/>
              <w:spacing w:before="0" w:after="0"/>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48.7</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898"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60" w:type="dxa"/>
            <w:tcBorders/>
            <w:shd w:fill="FFFFFF" w:val="clear"/>
            <w:vAlign w:val="center"/>
          </w:tcPr>
          <w:p>
            <w:pPr>
              <w:pStyle w:val="TableContents"/>
              <w:bidi w:val="0"/>
              <w:spacing w:before="0" w:after="0"/>
              <w:jc w:val="left"/>
              <w:rPr/>
            </w:pPr>
            <w:r>
              <w:rPr/>
              <w:t> </w:t>
            </w:r>
          </w:p>
        </w:tc>
        <w:tc>
          <w:tcPr>
            <w:tcW w:w="89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20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941"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74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253.9</w:t>
            </w:r>
          </w:p>
        </w:tc>
        <w:tc>
          <w:tcPr>
            <w:tcW w:w="75" w:type="dxa"/>
            <w:tcBorders/>
            <w:shd w:fill="CCEEFF" w:val="clear"/>
            <w:vAlign w:val="center"/>
          </w:tcPr>
          <w:p>
            <w:pPr>
              <w:pStyle w:val="TableContents"/>
              <w:bidi w:val="0"/>
              <w:spacing w:before="0" w:after="0"/>
              <w:jc w:val="left"/>
              <w:rPr/>
            </w:pPr>
            <w:r>
              <w:rPr/>
              <w:t> </w:t>
            </w:r>
          </w:p>
        </w:tc>
        <w:tc>
          <w:tcPr>
            <w:tcW w:w="15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74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225.5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89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28.4</w:t>
            </w:r>
          </w:p>
        </w:tc>
        <w:tc>
          <w:tcPr>
            <w:tcW w:w="6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7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463.1</w:t>
            </w:r>
          </w:p>
        </w:tc>
        <w:tc>
          <w:tcPr>
            <w:tcW w:w="71" w:type="dxa"/>
            <w:tcBorders/>
            <w:shd w:fill="CCEEFF" w:val="cle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7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421.2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89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41.9</w:t>
            </w:r>
          </w:p>
        </w:tc>
        <w:tc>
          <w:tcPr>
            <w:tcW w:w="6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2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941" w:type="dxa"/>
            <w:tcBorders/>
            <w:shd w:fill="FFFFFF" w:val="clear"/>
            <w:vAlign w:val="center"/>
          </w:tcPr>
          <w:p>
            <w:pPr>
              <w:pStyle w:val="TableContents"/>
              <w:bidi w:val="0"/>
              <w:spacing w:before="0" w:after="0"/>
              <w:ind w:left="432" w:right="0" w:hanging="0"/>
              <w:jc w:val="left"/>
              <w:rPr>
                <w:rFonts w:ascii="Times New Roman" w:hAnsi="Times New Roman"/>
                <w:sz w:val="20"/>
              </w:rPr>
            </w:pPr>
            <w:r>
              <w:rPr>
                <w:rFonts w:ascii="Times New Roman" w:hAnsi="Times New Roman"/>
                <w:sz w:val="20"/>
              </w:rPr>
              <w:t>Operating income</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84.6</w:t>
            </w:r>
          </w:p>
        </w:tc>
        <w:tc>
          <w:tcPr>
            <w:tcW w:w="75" w:type="dxa"/>
            <w:tcBorders/>
            <w:shd w:fill="FFFFFF" w:val="clear"/>
            <w:vAlign w:val="center"/>
          </w:tcPr>
          <w:p>
            <w:pPr>
              <w:pStyle w:val="TableContents"/>
              <w:bidi w:val="0"/>
              <w:spacing w:before="0" w:after="0"/>
              <w:jc w:val="left"/>
              <w:rPr/>
            </w:pPr>
            <w:r>
              <w:rPr/>
              <w:t> </w:t>
            </w:r>
          </w:p>
        </w:tc>
        <w:tc>
          <w:tcPr>
            <w:tcW w:w="15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79.9</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w:t>
            </w:r>
          </w:p>
        </w:tc>
        <w:tc>
          <w:tcPr>
            <w:tcW w:w="60" w:type="dxa"/>
            <w:tcBorders/>
            <w:shd w:fill="FFFFFF" w:val="clear"/>
            <w:vAlign w:val="center"/>
          </w:tcPr>
          <w:p>
            <w:pPr>
              <w:pStyle w:val="TableContents"/>
              <w:bidi w:val="0"/>
              <w:spacing w:before="0" w:after="0"/>
              <w:jc w:val="left"/>
              <w:rPr/>
            </w:pPr>
            <w:r>
              <w:rPr/>
              <w:t> </w:t>
            </w:r>
          </w:p>
        </w:tc>
        <w:tc>
          <w:tcPr>
            <w:tcW w:w="89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107.9</w:t>
            </w:r>
          </w:p>
        </w:tc>
        <w:tc>
          <w:tcPr>
            <w:tcW w:w="71" w:type="dxa"/>
            <w:tcBorders/>
            <w:shd w:fill="FFFFFF" w:val="clear"/>
            <w:vAlign w:val="center"/>
          </w:tcPr>
          <w:p>
            <w:pPr>
              <w:pStyle w:val="TableContents"/>
              <w:bidi w:val="0"/>
              <w:spacing w:before="0" w:after="0"/>
              <w:jc w:val="left"/>
              <w:rPr/>
            </w:pPr>
            <w:r>
              <w:rPr/>
              <w:t> </w:t>
            </w:r>
          </w:p>
        </w:tc>
        <w:tc>
          <w:tcPr>
            <w:tcW w:w="14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101.4</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w:t>
            </w:r>
          </w:p>
        </w:tc>
        <w:tc>
          <w:tcPr>
            <w:tcW w:w="60" w:type="dxa"/>
            <w:tcBorders/>
            <w:shd w:fill="FFFFFF" w:val="clear"/>
            <w:vAlign w:val="center"/>
          </w:tcPr>
          <w:p>
            <w:pPr>
              <w:pStyle w:val="TableContents"/>
              <w:bidi w:val="0"/>
              <w:spacing w:before="0" w:after="0"/>
              <w:jc w:val="left"/>
              <w:rPr/>
            </w:pPr>
            <w:r>
              <w:rPr/>
              <w:t> </w:t>
            </w:r>
          </w:p>
        </w:tc>
        <w:tc>
          <w:tcPr>
            <w:tcW w:w="89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20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941"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Transactions processed (millions)</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745"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3,723</w:t>
            </w:r>
          </w:p>
        </w:tc>
        <w:tc>
          <w:tcPr>
            <w:tcW w:w="75" w:type="dxa"/>
            <w:tcBorders/>
            <w:shd w:fill="CCEEFF" w:val="clear"/>
            <w:vAlign w:val="center"/>
          </w:tcPr>
          <w:p>
            <w:pPr>
              <w:pStyle w:val="TableContents"/>
              <w:bidi w:val="0"/>
              <w:spacing w:before="0" w:after="0"/>
              <w:jc w:val="left"/>
              <w:rPr/>
            </w:pPr>
            <w:r>
              <w:rPr/>
              <w:t> </w:t>
            </w:r>
          </w:p>
        </w:tc>
        <w:tc>
          <w:tcPr>
            <w:tcW w:w="157"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745"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2,737</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898"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986</w:t>
            </w:r>
          </w:p>
        </w:tc>
        <w:tc>
          <w:tcPr>
            <w:tcW w:w="6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708"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7,187</w:t>
            </w:r>
          </w:p>
        </w:tc>
        <w:tc>
          <w:tcPr>
            <w:tcW w:w="71" w:type="dxa"/>
            <w:tcBorders/>
            <w:shd w:fill="CCEEFF" w:val="clear"/>
            <w:vAlign w:val="center"/>
          </w:tcPr>
          <w:p>
            <w:pPr>
              <w:pStyle w:val="TableContents"/>
              <w:bidi w:val="0"/>
              <w:spacing w:before="0" w:after="0"/>
              <w:jc w:val="left"/>
              <w:rPr/>
            </w:pPr>
            <w:r>
              <w:rPr/>
              <w:t> </w:t>
            </w:r>
          </w:p>
        </w:tc>
        <w:tc>
          <w:tcPr>
            <w:tcW w:w="149"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708"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5,239</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898"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1,948</w:t>
            </w:r>
          </w:p>
        </w:tc>
        <w:tc>
          <w:tcPr>
            <w:tcW w:w="6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w:t>
            </w:r>
          </w:p>
        </w:tc>
        <w:tc>
          <w:tcPr>
            <w:tcW w:w="2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941"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Active ATMs as of June 30,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56,760</w:t>
            </w:r>
          </w:p>
        </w:tc>
        <w:tc>
          <w:tcPr>
            <w:tcW w:w="75" w:type="dxa"/>
            <w:tcBorders/>
            <w:shd w:fill="FFFFFF" w:val="clear"/>
            <w:vAlign w:val="center"/>
          </w:tcPr>
          <w:p>
            <w:pPr>
              <w:pStyle w:val="TableContents"/>
              <w:bidi w:val="0"/>
              <w:spacing w:before="0" w:after="0"/>
              <w:jc w:val="left"/>
              <w:rPr/>
            </w:pPr>
            <w:r>
              <w:rPr/>
              <w:t> </w:t>
            </w:r>
          </w:p>
        </w:tc>
        <w:tc>
          <w:tcPr>
            <w:tcW w:w="157" w:type="dxa"/>
            <w:tcBorders/>
            <w:shd w:fill="FFFFFF" w:val="clear"/>
            <w:vAlign w:val="center"/>
          </w:tcPr>
          <w:p>
            <w:pPr>
              <w:pStyle w:val="TableContents"/>
              <w:bidi w:val="0"/>
              <w:spacing w:before="0" w:after="0"/>
              <w:jc w:val="left"/>
              <w:rPr/>
            </w:pPr>
            <w:r>
              <w:rPr/>
              <w:t> </w:t>
            </w:r>
          </w:p>
        </w:tc>
        <w:tc>
          <w:tcPr>
            <w:tcW w:w="7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54,005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9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2,755</w:t>
            </w:r>
          </w:p>
        </w:tc>
        <w:tc>
          <w:tcPr>
            <w:tcW w:w="60" w:type="dxa"/>
            <w:tcBorders/>
            <w:shd w:fill="FFFFFF" w:val="clear"/>
            <w:vAlign w:val="center"/>
          </w:tcPr>
          <w:p>
            <w:pPr>
              <w:pStyle w:val="TableContents"/>
              <w:bidi w:val="0"/>
              <w:spacing w:before="0" w:after="0"/>
              <w:jc w:val="left"/>
              <w:rPr/>
            </w:pPr>
            <w:r>
              <w:rPr/>
              <w:t> </w:t>
            </w:r>
          </w:p>
        </w:tc>
        <w:tc>
          <w:tcPr>
            <w:tcW w:w="89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56,760</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7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54,005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9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2,755</w:t>
            </w:r>
          </w:p>
        </w:tc>
        <w:tc>
          <w:tcPr>
            <w:tcW w:w="60" w:type="dxa"/>
            <w:tcBorders/>
            <w:shd w:fill="FFFFFF" w:val="clear"/>
            <w:vAlign w:val="center"/>
          </w:tcPr>
          <w:p>
            <w:pPr>
              <w:pStyle w:val="TableContents"/>
              <w:bidi w:val="0"/>
              <w:spacing w:before="0" w:after="0"/>
              <w:jc w:val="left"/>
              <w:rPr/>
            </w:pPr>
            <w:r>
              <w:rPr/>
              <w:t> </w:t>
            </w:r>
          </w:p>
        </w:tc>
        <w:tc>
          <w:tcPr>
            <w:tcW w:w="89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20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941"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Average ATMs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55,595</w:t>
            </w:r>
          </w:p>
        </w:tc>
        <w:tc>
          <w:tcPr>
            <w:tcW w:w="75" w:type="dxa"/>
            <w:tcBorders/>
            <w:shd w:fill="CCEEFF" w:val="clear"/>
            <w:vAlign w:val="center"/>
          </w:tcPr>
          <w:p>
            <w:pPr>
              <w:pStyle w:val="TableContents"/>
              <w:bidi w:val="0"/>
              <w:spacing w:before="0" w:after="0"/>
              <w:jc w:val="left"/>
              <w:rPr/>
            </w:pPr>
            <w:r>
              <w:rPr/>
              <w:t> </w:t>
            </w:r>
          </w:p>
        </w:tc>
        <w:tc>
          <w:tcPr>
            <w:tcW w:w="157" w:type="dxa"/>
            <w:tcBorders/>
            <w:shd w:fill="CCEEFF" w:val="clear"/>
            <w:vAlign w:val="center"/>
          </w:tcPr>
          <w:p>
            <w:pPr>
              <w:pStyle w:val="TableContents"/>
              <w:bidi w:val="0"/>
              <w:spacing w:before="0" w:after="0"/>
              <w:jc w:val="left"/>
              <w:rPr/>
            </w:pPr>
            <w:r>
              <w:rPr/>
              <w:t> </w:t>
            </w:r>
          </w:p>
        </w:tc>
        <w:tc>
          <w:tcPr>
            <w:tcW w:w="7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53,045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2,550</w:t>
            </w:r>
          </w:p>
        </w:tc>
        <w:tc>
          <w:tcPr>
            <w:tcW w:w="6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53,138</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7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50,495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2,643</w:t>
            </w:r>
          </w:p>
        </w:tc>
        <w:tc>
          <w:tcPr>
            <w:tcW w:w="6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2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Revenues</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EFT Processing Segment total revenues were $338.5</w:t>
      </w:r>
      <w:r>
        <w:rPr>
          <w:rFonts w:ascii="Times New Roman" w:hAnsi="Times New Roman"/>
          <w:sz w:val="24"/>
        </w:rPr>
        <w:t xml:space="preserve"> </w:t>
      </w:r>
      <w:r>
        <w:rPr>
          <w:rFonts w:ascii="Times New Roman" w:hAnsi="Times New Roman"/>
          <w:sz w:val="20"/>
        </w:rPr>
        <w:t>million for the three months ended June 30, 2025,</w:t>
      </w:r>
      <w:r>
        <w:rPr>
          <w:rFonts w:ascii="Times New Roman" w:hAnsi="Times New Roman"/>
          <w:sz w:val="24"/>
        </w:rPr>
        <w:t> </w:t>
      </w:r>
      <w:r>
        <w:rPr>
          <w:rFonts w:ascii="Times New Roman" w:hAnsi="Times New Roman"/>
          <w:sz w:val="20"/>
        </w:rPr>
        <w:t>an increase</w:t>
      </w:r>
      <w:r>
        <w:rPr>
          <w:rFonts w:ascii="Times New Roman" w:hAnsi="Times New Roman"/>
          <w:sz w:val="24"/>
        </w:rPr>
        <w:t xml:space="preserve"> </w:t>
      </w:r>
      <w:r>
        <w:rPr>
          <w:rFonts w:ascii="Times New Roman" w:hAnsi="Times New Roman"/>
          <w:sz w:val="20"/>
        </w:rPr>
        <w:t>of $33.1</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or</w:t>
      </w:r>
      <w:r>
        <w:rPr>
          <w:rFonts w:ascii="Times New Roman" w:hAnsi="Times New Roman"/>
          <w:sz w:val="24"/>
        </w:rPr>
        <w:t> </w:t>
      </w:r>
      <w:r>
        <w:rPr>
          <w:rFonts w:ascii="Times New Roman" w:hAnsi="Times New Roman"/>
          <w:sz w:val="20"/>
        </w:rPr>
        <w:t>11% compared to the same period in</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EFT Processing Segment total revenues were $571.0</w:t>
      </w:r>
      <w:r>
        <w:rPr>
          <w:rFonts w:ascii="Times New Roman" w:hAnsi="Times New Roman"/>
          <w:sz w:val="24"/>
        </w:rPr>
        <w:t> </w:t>
      </w:r>
      <w:r>
        <w:rPr>
          <w:rFonts w:ascii="Times New Roman" w:hAnsi="Times New Roman"/>
          <w:sz w:val="20"/>
        </w:rPr>
        <w:t>million for the</w:t>
      </w:r>
      <w:r>
        <w:rPr>
          <w:rFonts w:ascii="Times New Roman" w:hAnsi="Times New Roman"/>
          <w:sz w:val="24"/>
        </w:rPr>
        <w:t> </w:t>
      </w:r>
      <w:r>
        <w:rPr>
          <w:rFonts w:ascii="Times New Roman" w:hAnsi="Times New Roman"/>
          <w:sz w:val="20"/>
        </w:rPr>
        <w:t>six months ended June 30, 2025,</w:t>
      </w:r>
      <w:r>
        <w:rPr>
          <w:rFonts w:ascii="Times New Roman" w:hAnsi="Times New Roman"/>
          <w:sz w:val="24"/>
        </w:rPr>
        <w:t> </w:t>
      </w:r>
      <w:r>
        <w:rPr>
          <w:rFonts w:ascii="Times New Roman" w:hAnsi="Times New Roman"/>
          <w:sz w:val="20"/>
        </w:rPr>
        <w:t>an increase</w:t>
      </w:r>
      <w:r>
        <w:rPr>
          <w:rFonts w:ascii="Times New Roman" w:hAnsi="Times New Roman"/>
          <w:sz w:val="24"/>
        </w:rPr>
        <w:t> </w:t>
      </w:r>
      <w:r>
        <w:rPr>
          <w:rFonts w:ascii="Times New Roman" w:hAnsi="Times New Roman"/>
          <w:sz w:val="20"/>
        </w:rPr>
        <w:t>of $48.4</w:t>
      </w:r>
      <w:r>
        <w:rPr>
          <w:rFonts w:ascii="Times New Roman" w:hAnsi="Times New Roman"/>
          <w:sz w:val="24"/>
        </w:rPr>
        <w:t> </w:t>
      </w:r>
      <w:r>
        <w:rPr>
          <w:rFonts w:ascii="Times New Roman" w:hAnsi="Times New Roman"/>
          <w:sz w:val="20"/>
        </w:rPr>
        <w:t>million or</w:t>
      </w:r>
      <w:r>
        <w:rPr>
          <w:rFonts w:ascii="Times New Roman" w:hAnsi="Times New Roman"/>
          <w:sz w:val="24"/>
        </w:rPr>
        <w:t> </w:t>
      </w:r>
      <w:r>
        <w:rPr>
          <w:rFonts w:ascii="Times New Roman" w:hAnsi="Times New Roman"/>
          <w:sz w:val="20"/>
        </w:rPr>
        <w:t>9% compared to the same period in 2024.</w:t>
      </w:r>
      <w:r>
        <w:rPr>
          <w:rFonts w:ascii="Times New Roman" w:hAnsi="Times New Roman"/>
          <w:sz w:val="24"/>
        </w:rPr>
        <w:t> </w:t>
      </w:r>
      <w:r>
        <w:rPr>
          <w:rFonts w:ascii="Times New Roman" w:hAnsi="Times New Roman"/>
          <w:sz w:val="20"/>
        </w:rPr>
        <w:t>Revenue growth was primarily driven by market expansion, growth across</w:t>
      </w:r>
      <w:r>
        <w:rPr>
          <w:rFonts w:ascii="Times New Roman" w:hAnsi="Times New Roman"/>
          <w:sz w:val="24"/>
        </w:rPr>
        <w:t> </w:t>
      </w:r>
      <w:r>
        <w:rPr>
          <w:rFonts w:ascii="Times New Roman" w:hAnsi="Times New Roman"/>
          <w:sz w:val="20"/>
        </w:rPr>
        <w:t>most existing markets and the addition of access fees and interchange fees in certain markets.</w:t>
      </w:r>
      <w:r>
        <w:rPr>
          <w:rFonts w:ascii="Times New Roman" w:hAnsi="Times New Roman"/>
          <w:sz w:val="24"/>
        </w:rPr>
        <w:t> </w:t>
      </w:r>
      <w:r>
        <w:rPr>
          <w:rFonts w:ascii="Times New Roman" w:hAnsi="Times New Roman"/>
          <w:sz w:val="20"/>
        </w:rPr>
        <w:t>Additionally, this quarter experienced</w:t>
      </w:r>
      <w:r>
        <w:rPr>
          <w:rFonts w:ascii="Times New Roman" w:hAnsi="Times New Roman"/>
          <w:sz w:val="24"/>
        </w:rPr>
        <w:t> </w:t>
      </w:r>
      <w:r>
        <w:rPr>
          <w:rFonts w:ascii="Times New Roman" w:hAnsi="Times New Roman"/>
          <w:sz w:val="20"/>
        </w:rPr>
        <w:t>increased business volumes supported by a rise in tourism and the implementation of proactive pricing and rate adjustment strategies to maintain competitiveness</w:t>
      </w:r>
      <w:r>
        <w:rPr>
          <w:rFonts w:ascii="Times New Roman" w:hAnsi="Times New Roman"/>
          <w:color w:val="993300"/>
          <w:sz w:val="20"/>
        </w:rPr>
        <w:t>.</w:t>
      </w:r>
      <w:r>
        <w:rPr>
          <w:rFonts w:ascii="Times New Roman" w:hAnsi="Times New Roman"/>
          <w:sz w:val="24"/>
        </w:rPr>
        <w:t> </w:t>
      </w:r>
      <w:r>
        <w:rPr>
          <w:rFonts w:ascii="Times New Roman" w:hAnsi="Times New Roman"/>
          <w:sz w:val="20"/>
        </w:rPr>
        <w:t>Fluctuations</w:t>
      </w:r>
      <w:r>
        <w:rPr>
          <w:rFonts w:ascii="Times New Roman" w:hAnsi="Times New Roman"/>
          <w:sz w:val="24"/>
        </w:rPr>
        <w:t> </w:t>
      </w:r>
      <w:r>
        <w:rPr>
          <w:rFonts w:ascii="Times New Roman" w:hAnsi="Times New Roman"/>
          <w:sz w:val="20"/>
        </w:rPr>
        <w:t>in foreign currency exchange rates increased revenues by approximately</w:t>
      </w:r>
      <w:r>
        <w:rPr>
          <w:rFonts w:ascii="Times New Roman" w:hAnsi="Times New Roman"/>
          <w:sz w:val="24"/>
        </w:rPr>
        <w:t> </w:t>
      </w:r>
      <w:r>
        <w:rPr>
          <w:rFonts w:ascii="Times New Roman" w:hAnsi="Times New Roman"/>
          <w:sz w:val="20"/>
        </w:rPr>
        <w:t>$14.0 million for the three months ended June 30, 2025</w:t>
      </w:r>
      <w:r>
        <w:rPr>
          <w:rFonts w:ascii="Times New Roman" w:hAnsi="Times New Roman"/>
          <w:sz w:val="24"/>
        </w:rPr>
        <w:t> </w:t>
      </w:r>
      <w:r>
        <w:rPr>
          <w:rFonts w:ascii="Times New Roman" w:hAnsi="Times New Roman"/>
          <w:sz w:val="20"/>
        </w:rPr>
        <w:t>compared to the same period in 2024.</w:t>
      </w:r>
      <w:r>
        <w:rPr>
          <w:rFonts w:ascii="Times New Roman" w:hAnsi="Times New Roman"/>
          <w:sz w:val="24"/>
        </w:rPr>
        <w:t> </w:t>
      </w:r>
      <w:r>
        <w:rPr>
          <w:rFonts w:ascii="Times New Roman" w:hAnsi="Times New Roman"/>
          <w:sz w:val="20"/>
        </w:rPr>
        <w:t>Fluctuations</w:t>
      </w:r>
      <w:r>
        <w:rPr>
          <w:rFonts w:ascii="Times New Roman" w:hAnsi="Times New Roman"/>
          <w:sz w:val="24"/>
        </w:rPr>
        <w:t> </w:t>
      </w:r>
      <w:r>
        <w:rPr>
          <w:rFonts w:ascii="Times New Roman" w:hAnsi="Times New Roman"/>
          <w:sz w:val="20"/>
        </w:rPr>
        <w:t>in foreign currency exchange rates increased revenues by approximately</w:t>
      </w:r>
      <w:r>
        <w:rPr>
          <w:rFonts w:ascii="Times New Roman" w:hAnsi="Times New Roman"/>
          <w:sz w:val="24"/>
        </w:rPr>
        <w:t> </w:t>
      </w:r>
      <w:r>
        <w:rPr>
          <w:rFonts w:ascii="Times New Roman" w:hAnsi="Times New Roman"/>
          <w:sz w:val="20"/>
        </w:rPr>
        <w:t>$3.8 million for the six months ended June 30, 2025</w:t>
      </w:r>
      <w:r>
        <w:rPr>
          <w:rFonts w:ascii="Times New Roman" w:hAnsi="Times New Roman"/>
          <w:sz w:val="24"/>
        </w:rPr>
        <w:t> </w:t>
      </w:r>
      <w:r>
        <w:rPr>
          <w:rFonts w:ascii="Times New Roman" w:hAnsi="Times New Roman"/>
          <w:sz w:val="20"/>
        </w:rPr>
        <w:t>compared to the same period in 2024.</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Direct operating costs</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EFT Processing Segment direct operating costs were $173.9</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three months ended June 30, 2025, an increase</w:t>
      </w:r>
      <w:r>
        <w:rPr>
          <w:rFonts w:ascii="Times New Roman" w:hAnsi="Times New Roman"/>
          <w:sz w:val="24"/>
        </w:rPr>
        <w:t xml:space="preserve"> </w:t>
      </w:r>
      <w:r>
        <w:rPr>
          <w:rFonts w:ascii="Times New Roman" w:hAnsi="Times New Roman"/>
          <w:sz w:val="20"/>
        </w:rPr>
        <w:t>of $21.4</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or 14% compared to the same period in</w:t>
      </w:r>
      <w:r>
        <w:rPr>
          <w:rFonts w:ascii="Times New Roman" w:hAnsi="Times New Roman"/>
          <w:sz w:val="24"/>
        </w:rPr>
        <w:t> </w:t>
      </w:r>
      <w:r>
        <w:rPr>
          <w:rFonts w:ascii="Times New Roman" w:hAnsi="Times New Roman"/>
          <w:sz w:val="20"/>
        </w:rPr>
        <w:t>2024. EFT Processing Segment direct operating costs were $310.4</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six months ended June 30, 2025,</w:t>
      </w:r>
      <w:r>
        <w:rPr>
          <w:rFonts w:ascii="Times New Roman" w:hAnsi="Times New Roman"/>
          <w:sz w:val="24"/>
        </w:rPr>
        <w:t> </w:t>
      </w:r>
      <w:r>
        <w:rPr>
          <w:rFonts w:ascii="Times New Roman" w:hAnsi="Times New Roman"/>
          <w:sz w:val="20"/>
        </w:rPr>
        <w:t>an increase</w:t>
      </w:r>
      <w:r>
        <w:rPr>
          <w:rFonts w:ascii="Times New Roman" w:hAnsi="Times New Roman"/>
          <w:sz w:val="24"/>
        </w:rPr>
        <w:t> </w:t>
      </w:r>
      <w:r>
        <w:rPr>
          <w:rFonts w:ascii="Times New Roman" w:hAnsi="Times New Roman"/>
          <w:sz w:val="20"/>
        </w:rPr>
        <w:t>of $26.8</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or</w:t>
      </w:r>
      <w:r>
        <w:rPr>
          <w:rFonts w:ascii="Times New Roman" w:hAnsi="Times New Roman"/>
          <w:sz w:val="24"/>
        </w:rPr>
        <w:t> </w:t>
      </w:r>
      <w:r>
        <w:rPr>
          <w:rFonts w:ascii="Times New Roman" w:hAnsi="Times New Roman"/>
          <w:sz w:val="20"/>
        </w:rPr>
        <w:t>9% compared to the same period in</w:t>
      </w:r>
      <w:r>
        <w:rPr>
          <w:rFonts w:ascii="Times New Roman" w:hAnsi="Times New Roman"/>
          <w:sz w:val="24"/>
        </w:rPr>
        <w:t> </w:t>
      </w:r>
      <w:r>
        <w:rPr>
          <w:rFonts w:ascii="Times New Roman" w:hAnsi="Times New Roman"/>
          <w:sz w:val="20"/>
        </w:rPr>
        <w:t>2024. Direct operating costs primarily consist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w:t>
      </w:r>
      <w:r>
        <w:rPr>
          <w:rFonts w:ascii="Times New Roman" w:hAnsi="Times New Roman"/>
          <w:sz w:val="24"/>
        </w:rPr>
        <w:t> </w:t>
      </w:r>
      <w:r>
        <w:rPr>
          <w:rFonts w:ascii="Times New Roman" w:hAnsi="Times New Roman"/>
          <w:sz w:val="20"/>
        </w:rPr>
        <w:t>The primary drivers of the increase in direct costs were additional expenses required to support increased</w:t>
      </w:r>
      <w:r>
        <w:rPr>
          <w:rFonts w:ascii="Times New Roman" w:hAnsi="Times New Roman"/>
          <w:sz w:val="24"/>
        </w:rPr>
        <w:t> </w:t>
      </w:r>
      <w:r>
        <w:rPr>
          <w:rFonts w:ascii="Times New Roman" w:hAnsi="Times New Roman"/>
          <w:sz w:val="20"/>
        </w:rPr>
        <w:t>business volumes from both new and existing operations. Direct costs were also impacted by overall cost inflation in products and services. Fluctuations</w:t>
      </w:r>
      <w:r>
        <w:rPr>
          <w:rFonts w:ascii="Times New Roman" w:hAnsi="Times New Roman"/>
          <w:sz w:val="24"/>
        </w:rPr>
        <w:t> </w:t>
      </w:r>
      <w:r>
        <w:rPr>
          <w:rFonts w:ascii="Times New Roman" w:hAnsi="Times New Roman"/>
          <w:sz w:val="20"/>
        </w:rPr>
        <w:t>in foreign currency exchange rates increased direct operating costs by approximately</w:t>
      </w:r>
      <w:r>
        <w:rPr>
          <w:rFonts w:ascii="Times New Roman" w:hAnsi="Times New Roman"/>
          <w:sz w:val="24"/>
        </w:rPr>
        <w:t> </w:t>
      </w:r>
      <w:r>
        <w:rPr>
          <w:rFonts w:ascii="Times New Roman" w:hAnsi="Times New Roman"/>
          <w:sz w:val="20"/>
        </w:rPr>
        <w:t>$7.2 million for the three months ended June 30, 2025</w:t>
      </w:r>
      <w:r>
        <w:rPr>
          <w:rFonts w:ascii="Times New Roman" w:hAnsi="Times New Roman"/>
          <w:sz w:val="24"/>
        </w:rPr>
        <w:t> </w:t>
      </w:r>
      <w:r>
        <w:rPr>
          <w:rFonts w:ascii="Times New Roman" w:hAnsi="Times New Roman"/>
          <w:sz w:val="20"/>
        </w:rPr>
        <w:t>compared to the same period in 2024.</w:t>
      </w:r>
      <w:r>
        <w:rPr>
          <w:rFonts w:ascii="Times New Roman" w:hAnsi="Times New Roman"/>
          <w:sz w:val="24"/>
        </w:rPr>
        <w:t> </w:t>
      </w:r>
      <w:r>
        <w:rPr>
          <w:rFonts w:ascii="Times New Roman" w:hAnsi="Times New Roman"/>
          <w:sz w:val="20"/>
        </w:rPr>
        <w:t>Fluctuations</w:t>
      </w:r>
      <w:r>
        <w:rPr>
          <w:rFonts w:ascii="Times New Roman" w:hAnsi="Times New Roman"/>
          <w:sz w:val="24"/>
        </w:rPr>
        <w:t> </w:t>
      </w:r>
      <w:r>
        <w:rPr>
          <w:rFonts w:ascii="Times New Roman" w:hAnsi="Times New Roman"/>
          <w:sz w:val="20"/>
        </w:rPr>
        <w:t>in foreign currency exchange rates increased direct operating costs by approximately</w:t>
      </w:r>
      <w:r>
        <w:rPr>
          <w:rFonts w:ascii="Times New Roman" w:hAnsi="Times New Roman"/>
          <w:sz w:val="24"/>
        </w:rPr>
        <w:t> </w:t>
      </w:r>
      <w:r>
        <w:rPr>
          <w:rFonts w:ascii="Times New Roman" w:hAnsi="Times New Roman"/>
          <w:sz w:val="20"/>
        </w:rPr>
        <w:t>$1.1 million for the six months ended June 30, 2025</w:t>
      </w:r>
      <w:r>
        <w:rPr>
          <w:rFonts w:ascii="Times New Roman" w:hAnsi="Times New Roman"/>
          <w:sz w:val="24"/>
        </w:rPr>
        <w:t> </w:t>
      </w:r>
      <w:r>
        <w:rPr>
          <w:rFonts w:ascii="Times New Roman" w:hAnsi="Times New Roman"/>
          <w:sz w:val="20"/>
        </w:rPr>
        <w:t>compared to the same period in 2024.</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i/>
          <w:sz w:val="20"/>
        </w:rPr>
      </w:pPr>
      <w:r>
        <w:rPr>
          <w:rFonts w:ascii="Times New Roman" w:hAnsi="Times New Roman"/>
          <w:i/>
          <w:sz w:val="20"/>
        </w:rPr>
        <w:t>Gross profit</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Gross profit, which is calculated as revenues less direct operating costs, was $164.6</w:t>
      </w:r>
      <w:r>
        <w:rPr>
          <w:rFonts w:ascii="Times New Roman" w:hAnsi="Times New Roman"/>
          <w:sz w:val="24"/>
        </w:rPr>
        <w:t xml:space="preserve"> </w:t>
      </w:r>
      <w:r>
        <w:rPr>
          <w:rFonts w:ascii="Times New Roman" w:hAnsi="Times New Roman"/>
          <w:sz w:val="20"/>
        </w:rPr>
        <w:t>million for the</w:t>
      </w:r>
      <w:r>
        <w:rPr>
          <w:rFonts w:ascii="Times New Roman" w:hAnsi="Times New Roman"/>
          <w:sz w:val="24"/>
        </w:rPr>
        <w:t> </w:t>
      </w:r>
      <w:r>
        <w:rPr>
          <w:rFonts w:ascii="Times New Roman" w:hAnsi="Times New Roman"/>
          <w:sz w:val="20"/>
        </w:rPr>
        <w:t>three months ended June 30, 2025,</w:t>
      </w:r>
      <w:r>
        <w:rPr>
          <w:rFonts w:ascii="Times New Roman" w:hAnsi="Times New Roman"/>
          <w:sz w:val="24"/>
        </w:rPr>
        <w:t> </w:t>
      </w:r>
      <w:r>
        <w:rPr>
          <w:rFonts w:ascii="Times New Roman" w:hAnsi="Times New Roman"/>
          <w:sz w:val="20"/>
        </w:rPr>
        <w:t>an increase</w:t>
      </w:r>
      <w:r>
        <w:rPr>
          <w:rFonts w:ascii="Times New Roman" w:hAnsi="Times New Roman"/>
          <w:sz w:val="24"/>
        </w:rPr>
        <w:t xml:space="preserve"> </w:t>
      </w:r>
      <w:r>
        <w:rPr>
          <w:rFonts w:ascii="Times New Roman" w:hAnsi="Times New Roman"/>
          <w:sz w:val="20"/>
        </w:rPr>
        <w:t>of $11.7</w:t>
      </w:r>
      <w:r>
        <w:rPr>
          <w:rFonts w:ascii="Times New Roman" w:hAnsi="Times New Roman"/>
          <w:sz w:val="24"/>
        </w:rPr>
        <w:t xml:space="preserve"> </w:t>
      </w:r>
      <w:r>
        <w:rPr>
          <w:rFonts w:ascii="Times New Roman" w:hAnsi="Times New Roman"/>
          <w:sz w:val="20"/>
        </w:rPr>
        <w:t>million or 8% compared to $152.9</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for the same period in 2024. Gross profit was $260.6</w:t>
      </w:r>
      <w:r>
        <w:rPr>
          <w:rFonts w:ascii="Times New Roman" w:hAnsi="Times New Roman"/>
          <w:sz w:val="24"/>
        </w:rPr>
        <w:t> </w:t>
      </w:r>
      <w:r>
        <w:rPr>
          <w:rFonts w:ascii="Times New Roman" w:hAnsi="Times New Roman"/>
          <w:sz w:val="20"/>
        </w:rPr>
        <w:t>million for the</w:t>
      </w:r>
      <w:r>
        <w:rPr>
          <w:rFonts w:ascii="Times New Roman" w:hAnsi="Times New Roman"/>
          <w:sz w:val="24"/>
        </w:rPr>
        <w:t> </w:t>
      </w:r>
      <w:r>
        <w:rPr>
          <w:rFonts w:ascii="Times New Roman" w:hAnsi="Times New Roman"/>
          <w:sz w:val="20"/>
        </w:rPr>
        <w:t>six months ended June 30, 2025,</w:t>
      </w:r>
      <w:r>
        <w:rPr>
          <w:rFonts w:ascii="Times New Roman" w:hAnsi="Times New Roman"/>
          <w:sz w:val="24"/>
        </w:rPr>
        <w:t> </w:t>
      </w:r>
      <w:r>
        <w:rPr>
          <w:rFonts w:ascii="Times New Roman" w:hAnsi="Times New Roman"/>
          <w:sz w:val="20"/>
        </w:rPr>
        <w:t>an increase</w:t>
      </w:r>
      <w:r>
        <w:rPr>
          <w:rFonts w:ascii="Times New Roman" w:hAnsi="Times New Roman"/>
          <w:sz w:val="24"/>
        </w:rPr>
        <w:t> </w:t>
      </w:r>
      <w:r>
        <w:rPr>
          <w:rFonts w:ascii="Times New Roman" w:hAnsi="Times New Roman"/>
          <w:sz w:val="20"/>
        </w:rPr>
        <w:t>of $21.6</w:t>
      </w:r>
      <w:r>
        <w:rPr>
          <w:rFonts w:ascii="Times New Roman" w:hAnsi="Times New Roman"/>
          <w:sz w:val="24"/>
        </w:rPr>
        <w:t> </w:t>
      </w:r>
      <w:r>
        <w:rPr>
          <w:rFonts w:ascii="Times New Roman" w:hAnsi="Times New Roman"/>
          <w:sz w:val="20"/>
        </w:rPr>
        <w:t>million or</w:t>
      </w:r>
      <w:r>
        <w:rPr>
          <w:rFonts w:ascii="Times New Roman" w:hAnsi="Times New Roman"/>
          <w:sz w:val="24"/>
        </w:rPr>
        <w:t> </w:t>
      </w:r>
      <w:r>
        <w:rPr>
          <w:rFonts w:ascii="Times New Roman" w:hAnsi="Times New Roman"/>
          <w:sz w:val="20"/>
        </w:rPr>
        <w:t>9% compared to $239.0</w:t>
      </w:r>
      <w:r>
        <w:rPr>
          <w:rFonts w:ascii="Times New Roman" w:hAnsi="Times New Roman"/>
          <w:sz w:val="24"/>
        </w:rPr>
        <w:t> </w:t>
      </w:r>
      <w:r>
        <w:rPr>
          <w:rFonts w:ascii="Times New Roman" w:hAnsi="Times New Roman"/>
          <w:sz w:val="20"/>
        </w:rPr>
        <w:t>million for the same period in</w:t>
      </w:r>
      <w:r>
        <w:rPr>
          <w:rFonts w:ascii="Times New Roman" w:hAnsi="Times New Roman"/>
          <w:sz w:val="24"/>
        </w:rPr>
        <w:t> </w:t>
      </w:r>
      <w:r>
        <w:rPr>
          <w:rFonts w:ascii="Times New Roman" w:hAnsi="Times New Roman"/>
          <w:sz w:val="20"/>
        </w:rPr>
        <w:t>2024. Gross profit as a percentage of revenues (“gross margin”) decreased</w:t>
      </w:r>
      <w:r>
        <w:rPr>
          <w:rFonts w:ascii="Times New Roman" w:hAnsi="Times New Roman"/>
          <w:sz w:val="24"/>
        </w:rPr>
        <w:t> </w:t>
      </w:r>
      <w:r>
        <w:rPr>
          <w:rFonts w:ascii="Times New Roman" w:hAnsi="Times New Roman"/>
          <w:sz w:val="20"/>
        </w:rPr>
        <w:t>to 48.6%</w:t>
      </w:r>
      <w:r>
        <w:rPr>
          <w:rFonts w:ascii="Times New Roman" w:hAnsi="Times New Roman"/>
          <w:sz w:val="24"/>
        </w:rPr>
        <w:t> </w:t>
      </w:r>
      <w:r>
        <w:rPr>
          <w:rFonts w:ascii="Times New Roman" w:hAnsi="Times New Roman"/>
          <w:sz w:val="20"/>
        </w:rPr>
        <w:t>and 45.6% for the</w:t>
      </w:r>
      <w:r>
        <w:rPr>
          <w:rFonts w:ascii="Times New Roman" w:hAnsi="Times New Roman"/>
          <w:sz w:val="24"/>
        </w:rPr>
        <w:t> </w:t>
      </w:r>
      <w:r>
        <w:rPr>
          <w:rFonts w:ascii="Times New Roman" w:hAnsi="Times New Roman"/>
          <w:sz w:val="20"/>
        </w:rPr>
        <w:t>three and six months ended June 30, 2025, compared to</w:t>
      </w:r>
      <w:r>
        <w:rPr>
          <w:rFonts w:ascii="Times New Roman" w:hAnsi="Times New Roman"/>
          <w:sz w:val="24"/>
        </w:rPr>
        <w:t> </w:t>
      </w:r>
      <w:r>
        <w:rPr>
          <w:rFonts w:ascii="Times New Roman" w:hAnsi="Times New Roman"/>
          <w:sz w:val="20"/>
        </w:rPr>
        <w:t>50.1%</w:t>
      </w:r>
      <w:r>
        <w:rPr>
          <w:rFonts w:ascii="Times New Roman" w:hAnsi="Times New Roman"/>
          <w:sz w:val="24"/>
        </w:rPr>
        <w:t> </w:t>
      </w:r>
      <w:r>
        <w:rPr>
          <w:rFonts w:ascii="Times New Roman" w:hAnsi="Times New Roman"/>
          <w:sz w:val="20"/>
        </w:rPr>
        <w:t>and 45.7% for the same period in 2024.</w:t>
      </w:r>
      <w:r>
        <w:rPr>
          <w:rFonts w:ascii="Times New Roman" w:hAnsi="Times New Roman"/>
          <w:sz w:val="24"/>
        </w:rPr>
        <w:t>  </w:t>
      </w:r>
      <w:r>
        <w:rPr>
          <w:rFonts w:ascii="Times New Roman" w:hAnsi="Times New Roman"/>
          <w:sz w:val="20"/>
        </w:rPr>
        <w:t>The</w:t>
      </w:r>
      <w:r>
        <w:rPr>
          <w:rFonts w:ascii="Times New Roman" w:hAnsi="Times New Roman"/>
          <w:sz w:val="24"/>
        </w:rPr>
        <w:t> </w:t>
      </w:r>
      <w:r>
        <w:rPr>
          <w:rFonts w:ascii="Times New Roman" w:hAnsi="Times New Roman"/>
          <w:sz w:val="20"/>
        </w:rPr>
        <w:t>increase</w:t>
      </w:r>
      <w:r>
        <w:rPr>
          <w:rFonts w:ascii="Times New Roman" w:hAnsi="Times New Roman"/>
          <w:sz w:val="24"/>
        </w:rPr>
        <w:t> </w:t>
      </w:r>
      <w:r>
        <w:rPr>
          <w:rFonts w:ascii="Times New Roman" w:hAnsi="Times New Roman"/>
          <w:sz w:val="20"/>
        </w:rPr>
        <w:t>in gross profit was primarily</w:t>
      </w:r>
      <w:r>
        <w:rPr>
          <w:rFonts w:ascii="Times New Roman" w:hAnsi="Times New Roman"/>
          <w:sz w:val="24"/>
        </w:rPr>
        <w:t> </w:t>
      </w:r>
      <w:r>
        <w:rPr>
          <w:rFonts w:ascii="Times New Roman" w:hAnsi="Times New Roman"/>
          <w:sz w:val="20"/>
        </w:rPr>
        <w:t>driven</w:t>
      </w:r>
      <w:r>
        <w:rPr>
          <w:rFonts w:ascii="Times New Roman" w:hAnsi="Times New Roman"/>
          <w:sz w:val="24"/>
        </w:rPr>
        <w:t> </w:t>
      </w:r>
      <w:r>
        <w:rPr>
          <w:rFonts w:ascii="Times New Roman" w:hAnsi="Times New Roman"/>
          <w:sz w:val="20"/>
        </w:rPr>
        <w:t>by</w:t>
      </w:r>
      <w:r>
        <w:rPr>
          <w:rFonts w:ascii="Times New Roman" w:hAnsi="Times New Roman"/>
          <w:sz w:val="24"/>
        </w:rPr>
        <w:t> </w:t>
      </w:r>
      <w:r>
        <w:rPr>
          <w:rFonts w:ascii="Times New Roman" w:hAnsi="Times New Roman"/>
          <w:sz w:val="20"/>
        </w:rPr>
        <w:t>market expansion, growth across</w:t>
      </w:r>
      <w:r>
        <w:rPr>
          <w:rFonts w:ascii="Times New Roman" w:hAnsi="Times New Roman"/>
          <w:sz w:val="24"/>
        </w:rPr>
        <w:t> </w:t>
      </w:r>
      <w:r>
        <w:rPr>
          <w:rFonts w:ascii="Times New Roman" w:hAnsi="Times New Roman"/>
          <w:sz w:val="20"/>
        </w:rPr>
        <w:t>most existing markets and the addition of access fees and interchange fees in certain markets.</w:t>
      </w:r>
    </w:p>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i/>
          <w:sz w:val="20"/>
        </w:rPr>
      </w:pPr>
      <w:r>
        <w:rPr>
          <w:rFonts w:ascii="Times New Roman" w:hAnsi="Times New Roman"/>
          <w:i/>
          <w:sz w:val="20"/>
        </w:rPr>
        <w:t>Salaries and benefits</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Salaries and benefits expenses were $39.7</w:t>
      </w:r>
      <w:r>
        <w:rPr>
          <w:rFonts w:ascii="Times New Roman" w:hAnsi="Times New Roman"/>
          <w:sz w:val="24"/>
        </w:rPr>
        <w:t xml:space="preserve"> </w:t>
      </w:r>
      <w:r>
        <w:rPr>
          <w:rFonts w:ascii="Times New Roman" w:hAnsi="Times New Roman"/>
          <w:sz w:val="20"/>
        </w:rPr>
        <w:t>million for the three months ended June 30, 2025, an increase</w:t>
      </w:r>
      <w:r>
        <w:rPr>
          <w:rFonts w:ascii="Times New Roman" w:hAnsi="Times New Roman"/>
          <w:sz w:val="24"/>
        </w:rPr>
        <w:t xml:space="preserve"> </w:t>
      </w:r>
      <w:r>
        <w:rPr>
          <w:rFonts w:ascii="Times New Roman" w:hAnsi="Times New Roman"/>
          <w:sz w:val="20"/>
        </w:rPr>
        <w:t>of $5.3</w:t>
      </w:r>
      <w:r>
        <w:rPr>
          <w:rFonts w:ascii="Times New Roman" w:hAnsi="Times New Roman"/>
          <w:sz w:val="24"/>
        </w:rPr>
        <w:t xml:space="preserve"> </w:t>
      </w:r>
      <w:r>
        <w:rPr>
          <w:rFonts w:ascii="Times New Roman" w:hAnsi="Times New Roman"/>
          <w:sz w:val="20"/>
        </w:rPr>
        <w:t>million or</w:t>
      </w:r>
      <w:r>
        <w:rPr>
          <w:rFonts w:ascii="Times New Roman" w:hAnsi="Times New Roman"/>
          <w:sz w:val="24"/>
        </w:rPr>
        <w:t> </w:t>
      </w:r>
      <w:r>
        <w:rPr>
          <w:rFonts w:ascii="Times New Roman" w:hAnsi="Times New Roman"/>
          <w:sz w:val="20"/>
        </w:rPr>
        <w:t>15% compared to the same period in 2024.</w:t>
      </w:r>
      <w:r>
        <w:rPr>
          <w:rFonts w:ascii="Times New Roman" w:hAnsi="Times New Roman"/>
          <w:sz w:val="24"/>
        </w:rPr>
        <w:t> </w:t>
      </w:r>
      <w:r>
        <w:rPr>
          <w:rFonts w:ascii="Times New Roman" w:hAnsi="Times New Roman"/>
          <w:sz w:val="20"/>
        </w:rPr>
        <w:t>Salaries and benefits expenses were $75.2</w:t>
      </w:r>
      <w:r>
        <w:rPr>
          <w:rFonts w:ascii="Times New Roman" w:hAnsi="Times New Roman"/>
          <w:sz w:val="24"/>
        </w:rPr>
        <w:t xml:space="preserve"> </w:t>
      </w:r>
      <w:r>
        <w:rPr>
          <w:rFonts w:ascii="Times New Roman" w:hAnsi="Times New Roman"/>
          <w:sz w:val="20"/>
        </w:rPr>
        <w:t>million for the six months ended June 30, 2025, an increase</w:t>
      </w:r>
      <w:r>
        <w:rPr>
          <w:rFonts w:ascii="Times New Roman" w:hAnsi="Times New Roman"/>
          <w:sz w:val="24"/>
        </w:rPr>
        <w:t xml:space="preserve"> </w:t>
      </w:r>
      <w:r>
        <w:rPr>
          <w:rFonts w:ascii="Times New Roman" w:hAnsi="Times New Roman"/>
          <w:sz w:val="20"/>
        </w:rPr>
        <w:t>of $9.0</w:t>
      </w:r>
      <w:r>
        <w:rPr>
          <w:rFonts w:ascii="Times New Roman" w:hAnsi="Times New Roman"/>
          <w:sz w:val="24"/>
        </w:rPr>
        <w:t xml:space="preserve"> </w:t>
      </w:r>
      <w:r>
        <w:rPr>
          <w:rFonts w:ascii="Times New Roman" w:hAnsi="Times New Roman"/>
          <w:sz w:val="20"/>
        </w:rPr>
        <w:t>million or</w:t>
      </w:r>
      <w:r>
        <w:rPr>
          <w:rFonts w:ascii="Times New Roman" w:hAnsi="Times New Roman"/>
          <w:sz w:val="24"/>
        </w:rPr>
        <w:t> </w:t>
      </w:r>
      <w:r>
        <w:rPr>
          <w:rFonts w:ascii="Times New Roman" w:hAnsi="Times New Roman"/>
          <w:sz w:val="20"/>
        </w:rPr>
        <w:t>14% compared to the same period in 2024. The increase is primarily due to an increase in headcount to support the growth of the business and salary increases due to inflationary pressures. As a percentage of revenues, salary expense increased to 11.7% and 13.2% for the</w:t>
      </w:r>
      <w:r>
        <w:rPr>
          <w:rFonts w:ascii="Times New Roman" w:hAnsi="Times New Roman"/>
          <w:sz w:val="24"/>
        </w:rPr>
        <w:t> </w:t>
      </w:r>
      <w:r>
        <w:rPr>
          <w:rFonts w:ascii="Times New Roman" w:hAnsi="Times New Roman"/>
          <w:sz w:val="20"/>
        </w:rPr>
        <w:t>three and six months ended June 30, 2025,</w:t>
      </w:r>
      <w:r>
        <w:rPr>
          <w:rFonts w:ascii="Times New Roman" w:hAnsi="Times New Roman"/>
          <w:sz w:val="24"/>
        </w:rPr>
        <w:t> </w:t>
      </w:r>
      <w:r>
        <w:rPr>
          <w:rFonts w:ascii="Times New Roman" w:hAnsi="Times New Roman"/>
          <w:sz w:val="20"/>
        </w:rPr>
        <w:t>compared to 11.3% and 12.7% for the</w:t>
      </w:r>
      <w:r>
        <w:rPr>
          <w:rFonts w:ascii="Times New Roman" w:hAnsi="Times New Roman"/>
          <w:sz w:val="24"/>
        </w:rPr>
        <w:t> </w:t>
      </w:r>
      <w:r>
        <w:rPr>
          <w:rFonts w:ascii="Times New Roman" w:hAnsi="Times New Roman"/>
          <w:sz w:val="20"/>
        </w:rPr>
        <w:t>same period in 2024.</w:t>
      </w:r>
    </w:p>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i/>
          <w:sz w:val="20"/>
        </w:rPr>
      </w:pPr>
      <w:r>
        <w:rPr>
          <w:rFonts w:ascii="Times New Roman" w:hAnsi="Times New Roman"/>
          <w:i/>
          <w:sz w:val="20"/>
        </w:rPr>
        <w:t>Selling, general and administrative</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Selling, general and administrative expenses were $14.3</w:t>
      </w:r>
      <w:r>
        <w:rPr>
          <w:rFonts w:ascii="Times New Roman" w:hAnsi="Times New Roman"/>
          <w:sz w:val="24"/>
        </w:rPr>
        <w:t xml:space="preserve"> </w:t>
      </w:r>
      <w:r>
        <w:rPr>
          <w:rFonts w:ascii="Times New Roman" w:hAnsi="Times New Roman"/>
          <w:sz w:val="20"/>
        </w:rPr>
        <w:t>million for the</w:t>
      </w:r>
      <w:r>
        <w:rPr>
          <w:rFonts w:ascii="Times New Roman" w:hAnsi="Times New Roman"/>
          <w:sz w:val="24"/>
        </w:rPr>
        <w:t> </w:t>
      </w:r>
      <w:r>
        <w:rPr>
          <w:rFonts w:ascii="Times New Roman" w:hAnsi="Times New Roman"/>
          <w:sz w:val="20"/>
        </w:rPr>
        <w:t>three months ended June 30, 2025,</w:t>
      </w:r>
      <w:r>
        <w:rPr>
          <w:rFonts w:ascii="Times New Roman" w:hAnsi="Times New Roman"/>
          <w:sz w:val="24"/>
        </w:rPr>
        <w:t> </w:t>
      </w:r>
      <w:r>
        <w:rPr>
          <w:rFonts w:ascii="Times New Roman" w:hAnsi="Times New Roman"/>
          <w:sz w:val="20"/>
        </w:rPr>
        <w:t>an increase</w:t>
      </w:r>
      <w:r>
        <w:rPr>
          <w:rFonts w:ascii="Times New Roman" w:hAnsi="Times New Roman"/>
          <w:sz w:val="24"/>
        </w:rPr>
        <w:t xml:space="preserve"> </w:t>
      </w:r>
      <w:r>
        <w:rPr>
          <w:rFonts w:ascii="Times New Roman" w:hAnsi="Times New Roman"/>
          <w:sz w:val="20"/>
        </w:rPr>
        <w:t>of $0.8</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or 6% compared to the same period in 2024.</w:t>
      </w:r>
      <w:r>
        <w:rPr>
          <w:rFonts w:ascii="Times New Roman" w:hAnsi="Times New Roman"/>
          <w:sz w:val="24"/>
        </w:rPr>
        <w:t> </w:t>
      </w:r>
      <w:r>
        <w:rPr>
          <w:rFonts w:ascii="Times New Roman" w:hAnsi="Times New Roman"/>
          <w:sz w:val="20"/>
        </w:rPr>
        <w:t>Selling, general and administrative expenses were $27.2</w:t>
      </w:r>
      <w:r>
        <w:rPr>
          <w:rFonts w:ascii="Times New Roman" w:hAnsi="Times New Roman"/>
          <w:sz w:val="24"/>
        </w:rPr>
        <w:t xml:space="preserve"> </w:t>
      </w:r>
      <w:r>
        <w:rPr>
          <w:rFonts w:ascii="Times New Roman" w:hAnsi="Times New Roman"/>
          <w:sz w:val="20"/>
        </w:rPr>
        <w:t>million for the</w:t>
      </w:r>
      <w:r>
        <w:rPr>
          <w:rFonts w:ascii="Times New Roman" w:hAnsi="Times New Roman"/>
          <w:sz w:val="24"/>
        </w:rPr>
        <w:t> </w:t>
      </w:r>
      <w:r>
        <w:rPr>
          <w:rFonts w:ascii="Times New Roman" w:hAnsi="Times New Roman"/>
          <w:sz w:val="20"/>
        </w:rPr>
        <w:t>six months ended June 30, 2025,</w:t>
      </w:r>
      <w:r>
        <w:rPr>
          <w:rFonts w:ascii="Times New Roman" w:hAnsi="Times New Roman"/>
          <w:sz w:val="24"/>
        </w:rPr>
        <w:t>  </w:t>
      </w:r>
      <w:r>
        <w:rPr>
          <w:rFonts w:ascii="Times New Roman" w:hAnsi="Times New Roman"/>
          <w:sz w:val="20"/>
        </w:rPr>
        <w:t>an increase</w:t>
      </w:r>
      <w:r>
        <w:rPr>
          <w:rFonts w:ascii="Times New Roman" w:hAnsi="Times New Roman"/>
          <w:sz w:val="24"/>
        </w:rPr>
        <w:t xml:space="preserve"> </w:t>
      </w:r>
      <w:r>
        <w:rPr>
          <w:rFonts w:ascii="Times New Roman" w:hAnsi="Times New Roman"/>
          <w:sz w:val="20"/>
        </w:rPr>
        <w:t>of $4.5</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or 20% compared to the same period in 2024. The increase for the six month period is primarily due</w:t>
      </w:r>
      <w:r>
        <w:rPr>
          <w:rFonts w:ascii="Times New Roman" w:hAnsi="Times New Roman"/>
          <w:sz w:val="24"/>
        </w:rPr>
        <w:t> </w:t>
      </w:r>
      <w:r>
        <w:rPr>
          <w:rFonts w:ascii="Times New Roman" w:hAnsi="Times New Roman"/>
          <w:sz w:val="20"/>
        </w:rPr>
        <w:t>to a one-time operating tax benefit in the first quarter. As a percentage of revenues, these expenses changed to 4.2% and 4.8% for the</w:t>
      </w:r>
      <w:r>
        <w:rPr>
          <w:rFonts w:ascii="Times New Roman" w:hAnsi="Times New Roman"/>
          <w:sz w:val="24"/>
        </w:rPr>
        <w:t> </w:t>
      </w:r>
      <w:r>
        <w:rPr>
          <w:rFonts w:ascii="Times New Roman" w:hAnsi="Times New Roman"/>
          <w:sz w:val="20"/>
        </w:rPr>
        <w:t>three and six months ended June 30, 2025, compared to 4.4% and 4.3% for the same period</w:t>
      </w:r>
      <w:r>
        <w:rPr>
          <w:rFonts w:ascii="Times New Roman" w:hAnsi="Times New Roman"/>
          <w:sz w:val="24"/>
        </w:rPr>
        <w:t> </w:t>
      </w:r>
      <w:r>
        <w:rPr>
          <w:rFonts w:ascii="Times New Roman" w:hAnsi="Times New Roman"/>
          <w:sz w:val="20"/>
        </w:rPr>
        <w:t xml:space="preserve">in 2024. </w:t>
      </w:r>
    </w:p>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i/>
          <w:sz w:val="20"/>
        </w:rPr>
      </w:pPr>
      <w:r>
        <w:rPr>
          <w:rFonts w:ascii="Times New Roman" w:hAnsi="Times New Roman"/>
          <w:i/>
          <w:sz w:val="20"/>
        </w:rPr>
        <w:t>Depreciation and amortization</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Depreciation and amortization expenses were $26.0</w:t>
      </w:r>
      <w:r>
        <w:rPr>
          <w:rFonts w:ascii="Times New Roman" w:hAnsi="Times New Roman"/>
          <w:sz w:val="24"/>
        </w:rPr>
        <w:t xml:space="preserve"> </w:t>
      </w:r>
      <w:r>
        <w:rPr>
          <w:rFonts w:ascii="Times New Roman" w:hAnsi="Times New Roman"/>
          <w:sz w:val="20"/>
        </w:rPr>
        <w:t>million for the three months ended June 30, 2025,</w:t>
      </w:r>
      <w:r>
        <w:rPr>
          <w:rFonts w:ascii="Times New Roman" w:hAnsi="Times New Roman"/>
          <w:sz w:val="24"/>
        </w:rPr>
        <w:t> </w:t>
      </w:r>
      <w:r>
        <w:rPr>
          <w:rFonts w:ascii="Times New Roman" w:hAnsi="Times New Roman"/>
          <w:sz w:val="20"/>
        </w:rPr>
        <w:t>an increase</w:t>
      </w:r>
      <w:r>
        <w:rPr>
          <w:rFonts w:ascii="Times New Roman" w:hAnsi="Times New Roman"/>
          <w:sz w:val="24"/>
        </w:rPr>
        <w:t xml:space="preserve"> </w:t>
      </w:r>
      <w:r>
        <w:rPr>
          <w:rFonts w:ascii="Times New Roman" w:hAnsi="Times New Roman"/>
          <w:sz w:val="20"/>
        </w:rPr>
        <w:t>of $0.9</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or</w:t>
      </w:r>
      <w:r>
        <w:rPr>
          <w:rFonts w:ascii="Times New Roman" w:hAnsi="Times New Roman"/>
          <w:sz w:val="24"/>
        </w:rPr>
        <w:t> </w:t>
      </w:r>
      <w:r>
        <w:rPr>
          <w:rFonts w:ascii="Times New Roman" w:hAnsi="Times New Roman"/>
          <w:sz w:val="20"/>
        </w:rPr>
        <w:t>4% compared to the same period in</w:t>
      </w:r>
      <w:r>
        <w:rPr>
          <w:rFonts w:ascii="Times New Roman" w:hAnsi="Times New Roman"/>
          <w:sz w:val="24"/>
        </w:rPr>
        <w:t> </w:t>
      </w:r>
      <w:r>
        <w:rPr>
          <w:rFonts w:ascii="Times New Roman" w:hAnsi="Times New Roman"/>
          <w:sz w:val="20"/>
        </w:rPr>
        <w:t>2024. Depreciation and amortization expenses were $50.3</w:t>
      </w:r>
      <w:r>
        <w:rPr>
          <w:rFonts w:ascii="Times New Roman" w:hAnsi="Times New Roman"/>
          <w:sz w:val="24"/>
        </w:rPr>
        <w:t xml:space="preserve"> </w:t>
      </w:r>
      <w:r>
        <w:rPr>
          <w:rFonts w:ascii="Times New Roman" w:hAnsi="Times New Roman"/>
          <w:sz w:val="20"/>
        </w:rPr>
        <w:t>million for the six months ended June 30, 2025,</w:t>
      </w:r>
      <w:r>
        <w:rPr>
          <w:rFonts w:ascii="Times New Roman" w:hAnsi="Times New Roman"/>
          <w:sz w:val="24"/>
        </w:rPr>
        <w:t> </w:t>
      </w:r>
      <w:r>
        <w:rPr>
          <w:rFonts w:ascii="Times New Roman" w:hAnsi="Times New Roman"/>
          <w:sz w:val="20"/>
        </w:rPr>
        <w:t>an increase</w:t>
      </w:r>
      <w:r>
        <w:rPr>
          <w:rFonts w:ascii="Times New Roman" w:hAnsi="Times New Roman"/>
          <w:sz w:val="24"/>
        </w:rPr>
        <w:t xml:space="preserve"> </w:t>
      </w:r>
      <w:r>
        <w:rPr>
          <w:rFonts w:ascii="Times New Roman" w:hAnsi="Times New Roman"/>
          <w:sz w:val="20"/>
        </w:rPr>
        <w:t>of $1.6</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or</w:t>
      </w:r>
      <w:r>
        <w:rPr>
          <w:rFonts w:ascii="Times New Roman" w:hAnsi="Times New Roman"/>
          <w:sz w:val="24"/>
        </w:rPr>
        <w:t> </w:t>
      </w:r>
      <w:r>
        <w:rPr>
          <w:rFonts w:ascii="Times New Roman" w:hAnsi="Times New Roman"/>
          <w:sz w:val="20"/>
        </w:rPr>
        <w:t>3% compared to the same period in</w:t>
      </w:r>
      <w:r>
        <w:rPr>
          <w:rFonts w:ascii="Times New Roman" w:hAnsi="Times New Roman"/>
          <w:sz w:val="24"/>
        </w:rPr>
        <w:t> </w:t>
      </w:r>
      <w:r>
        <w:rPr>
          <w:rFonts w:ascii="Times New Roman" w:hAnsi="Times New Roman"/>
          <w:sz w:val="20"/>
        </w:rPr>
        <w:t>2024. As a percentage of revenues, these expenses decreased to 7.7% and 8.8% for the</w:t>
      </w:r>
      <w:r>
        <w:rPr>
          <w:rFonts w:ascii="Times New Roman" w:hAnsi="Times New Roman"/>
          <w:sz w:val="24"/>
        </w:rPr>
        <w:t> </w:t>
      </w:r>
      <w:r>
        <w:rPr>
          <w:rFonts w:ascii="Times New Roman" w:hAnsi="Times New Roman"/>
          <w:sz w:val="20"/>
        </w:rPr>
        <w:t>three and six months ended June 30, 2025, compared to 8.2% and 9.3% for the same period</w:t>
      </w:r>
      <w:r>
        <w:rPr>
          <w:rFonts w:ascii="Times New Roman" w:hAnsi="Times New Roman"/>
          <w:sz w:val="24"/>
        </w:rPr>
        <w:t> </w:t>
      </w:r>
      <w:r>
        <w:rPr>
          <w:rFonts w:ascii="Times New Roman" w:hAnsi="Times New Roman"/>
          <w:sz w:val="20"/>
        </w:rPr>
        <w:t>in</w:t>
      </w:r>
      <w:r>
        <w:rPr>
          <w:rFonts w:ascii="Times New Roman" w:hAnsi="Times New Roman"/>
          <w:sz w:val="24"/>
        </w:rPr>
        <w:t> </w:t>
      </w:r>
      <w:r>
        <w:rPr>
          <w:rFonts w:ascii="Times New Roman" w:hAnsi="Times New Roman"/>
          <w:sz w:val="20"/>
        </w:rPr>
        <w:t>2024.</w:t>
      </w:r>
    </w:p>
    <w:p>
      <w:pPr>
        <w:pStyle w:val="TextBody"/>
        <w:bidi w:val="0"/>
        <w:spacing w:lineRule="atLeast" w:line="240" w:before="0" w:after="0"/>
        <w:jc w:val="left"/>
        <w:rPr>
          <w:rFonts w:ascii="Times New Roman" w:hAnsi="Times New Roman"/>
          <w:sz w:val="24"/>
        </w:rPr>
      </w:pPr>
      <w:r>
        <w:rPr>
          <w:rFonts w:ascii="Times New Roman" w:hAnsi="Times New Roman"/>
          <w:sz w:val="24"/>
        </w:rPr>
        <w:br/>
      </w:r>
      <w:r>
        <w:rPr>
          <w:rFonts w:ascii="Times New Roman" w:hAnsi="Times New Roman"/>
          <w:i/>
          <w:sz w:val="20"/>
        </w:rPr>
        <w:t>Operating income</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EFT Processing Segment had operating income</w:t>
      </w:r>
      <w:r>
        <w:rPr>
          <w:rFonts w:ascii="Times New Roman" w:hAnsi="Times New Roman"/>
          <w:sz w:val="24"/>
        </w:rPr>
        <w:t> </w:t>
      </w:r>
      <w:r>
        <w:rPr>
          <w:rFonts w:ascii="Times New Roman" w:hAnsi="Times New Roman"/>
          <w:sz w:val="20"/>
        </w:rPr>
        <w:t>of $84.6</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 three months ended June 30, 2025, an increase</w:t>
      </w:r>
      <w:r>
        <w:rPr>
          <w:rFonts w:ascii="Times New Roman" w:hAnsi="Times New Roman"/>
          <w:sz w:val="24"/>
        </w:rPr>
        <w:t xml:space="preserve"> </w:t>
      </w:r>
      <w:r>
        <w:rPr>
          <w:rFonts w:ascii="Times New Roman" w:hAnsi="Times New Roman"/>
          <w:sz w:val="20"/>
        </w:rPr>
        <w:t>of $4.7</w:t>
      </w:r>
      <w:r>
        <w:rPr>
          <w:rFonts w:ascii="Times New Roman" w:hAnsi="Times New Roman"/>
          <w:sz w:val="24"/>
        </w:rPr>
        <w:t xml:space="preserve"> </w:t>
      </w:r>
      <w:r>
        <w:rPr>
          <w:rFonts w:ascii="Times New Roman" w:hAnsi="Times New Roman"/>
          <w:sz w:val="20"/>
        </w:rPr>
        <w:t>million or 6% compared to the same period in</w:t>
      </w:r>
      <w:r>
        <w:rPr>
          <w:rFonts w:ascii="Times New Roman" w:hAnsi="Times New Roman"/>
          <w:sz w:val="24"/>
        </w:rPr>
        <w:t> </w:t>
      </w:r>
      <w:r>
        <w:rPr>
          <w:rFonts w:ascii="Times New Roman" w:hAnsi="Times New Roman"/>
          <w:sz w:val="20"/>
        </w:rPr>
        <w:t>2024. EFT Processing Segment had operating income</w:t>
      </w:r>
      <w:r>
        <w:rPr>
          <w:rFonts w:ascii="Times New Roman" w:hAnsi="Times New Roman"/>
          <w:sz w:val="24"/>
        </w:rPr>
        <w:t> </w:t>
      </w:r>
      <w:r>
        <w:rPr>
          <w:rFonts w:ascii="Times New Roman" w:hAnsi="Times New Roman"/>
          <w:sz w:val="20"/>
        </w:rPr>
        <w:t>of $107.9</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 six months ended June 30, 2025, an increase</w:t>
      </w:r>
      <w:r>
        <w:rPr>
          <w:rFonts w:ascii="Times New Roman" w:hAnsi="Times New Roman"/>
          <w:sz w:val="24"/>
        </w:rPr>
        <w:t xml:space="preserve"> </w:t>
      </w:r>
      <w:r>
        <w:rPr>
          <w:rFonts w:ascii="Times New Roman" w:hAnsi="Times New Roman"/>
          <w:sz w:val="20"/>
        </w:rPr>
        <w:t>of $6.5</w:t>
      </w:r>
      <w:r>
        <w:rPr>
          <w:rFonts w:ascii="Times New Roman" w:hAnsi="Times New Roman"/>
          <w:sz w:val="24"/>
        </w:rPr>
        <w:t xml:space="preserve"> </w:t>
      </w:r>
      <w:r>
        <w:rPr>
          <w:rFonts w:ascii="Times New Roman" w:hAnsi="Times New Roman"/>
          <w:sz w:val="20"/>
        </w:rPr>
        <w:t>million or 6% compared to the same period in</w:t>
      </w:r>
      <w:r>
        <w:rPr>
          <w:rFonts w:ascii="Times New Roman" w:hAnsi="Times New Roman"/>
          <w:sz w:val="24"/>
        </w:rPr>
        <w:t> </w:t>
      </w:r>
      <w:r>
        <w:rPr>
          <w:rFonts w:ascii="Times New Roman" w:hAnsi="Times New Roman"/>
          <w:sz w:val="20"/>
        </w:rPr>
        <w:t>2024. Operating</w:t>
      </w:r>
      <w:r>
        <w:rPr>
          <w:rFonts w:ascii="Times New Roman" w:hAnsi="Times New Roman"/>
          <w:sz w:val="24"/>
        </w:rPr>
        <w:t> </w:t>
      </w:r>
      <w:r>
        <w:rPr>
          <w:rFonts w:ascii="Times New Roman" w:hAnsi="Times New Roman"/>
          <w:sz w:val="20"/>
        </w:rPr>
        <w:t>income as a percentage of revenues (“operating margin”) decreased to 25.0% and 18.9% for the three and six months ended June 30, 2025, compared to 26.2% and 19.4% for the same period in</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The increase in operating income was primarily driven by</w:t>
      </w:r>
      <w:r>
        <w:rPr>
          <w:rFonts w:ascii="Times New Roman" w:hAnsi="Times New Roman"/>
          <w:sz w:val="24"/>
        </w:rPr>
        <w:t> </w:t>
      </w:r>
      <w:r>
        <w:rPr>
          <w:rFonts w:ascii="Times New Roman" w:hAnsi="Times New Roman"/>
          <w:sz w:val="20"/>
        </w:rPr>
        <w:t>market expansion, growth across</w:t>
      </w:r>
      <w:r>
        <w:rPr>
          <w:rFonts w:ascii="Times New Roman" w:hAnsi="Times New Roman"/>
          <w:sz w:val="24"/>
        </w:rPr>
        <w:t> </w:t>
      </w:r>
      <w:r>
        <w:rPr>
          <w:rFonts w:ascii="Times New Roman" w:hAnsi="Times New Roman"/>
          <w:sz w:val="20"/>
        </w:rPr>
        <w:t>most existing markets, the addition of access fees and interchange fees in certain markets partially offset by a one-time operating tax benefit in the first quarter.</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b/>
          <w:sz w:val="20"/>
        </w:rPr>
      </w:pPr>
      <w:r>
        <w:rPr>
          <w:rFonts w:ascii="Times New Roman" w:hAnsi="Times New Roman"/>
          <w:b/>
          <w:sz w:val="20"/>
        </w:rPr>
        <w:t>EPAY SEGMENT</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following table presents the results of operations for the</w:t>
      </w:r>
      <w:r>
        <w:rPr>
          <w:rFonts w:ascii="Times New Roman" w:hAnsi="Times New Roman"/>
          <w:sz w:val="24"/>
        </w:rPr>
        <w:t> </w:t>
      </w:r>
      <w:r>
        <w:rPr>
          <w:rFonts w:ascii="Times New Roman" w:hAnsi="Times New Roman"/>
          <w:sz w:val="20"/>
        </w:rPr>
        <w:t>three and six months ended June 30, 2025</w:t>
      </w:r>
      <w:r>
        <w:rPr>
          <w:rFonts w:ascii="Times New Roman" w:hAnsi="Times New Roman"/>
          <w:sz w:val="24"/>
        </w:rPr>
        <w:t> </w:t>
      </w:r>
      <w:r>
        <w:rPr>
          <w:rFonts w:ascii="Times New Roman" w:hAnsi="Times New Roman"/>
          <w:sz w:val="20"/>
        </w:rPr>
        <w:t>and</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for our epay Segment: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41"/>
        <w:gridCol w:w="60"/>
        <w:gridCol w:w="125"/>
        <w:gridCol w:w="597"/>
        <w:gridCol w:w="73"/>
        <w:gridCol w:w="153"/>
        <w:gridCol w:w="597"/>
        <w:gridCol w:w="60"/>
        <w:gridCol w:w="125"/>
        <w:gridCol w:w="1119"/>
        <w:gridCol w:w="60"/>
        <w:gridCol w:w="1111"/>
        <w:gridCol w:w="185"/>
        <w:gridCol w:w="60"/>
        <w:gridCol w:w="60"/>
        <w:gridCol w:w="125"/>
        <w:gridCol w:w="576"/>
        <w:gridCol w:w="71"/>
        <w:gridCol w:w="148"/>
        <w:gridCol w:w="576"/>
        <w:gridCol w:w="60"/>
        <w:gridCol w:w="125"/>
        <w:gridCol w:w="1119"/>
        <w:gridCol w:w="60"/>
        <w:gridCol w:w="1111"/>
        <w:gridCol w:w="208"/>
      </w:tblGrid>
      <w:tr>
        <w:trPr/>
        <w:tc>
          <w:tcPr>
            <w:tcW w:w="164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42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290"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371"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290"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20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641"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9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73" w:type="dxa"/>
            <w:tcBorders/>
            <w:vAlign w:val="center"/>
          </w:tcPr>
          <w:p>
            <w:pPr>
              <w:pStyle w:val="TableContents"/>
              <w:bidi w:val="0"/>
              <w:spacing w:before="0" w:after="0"/>
              <w:jc w:val="left"/>
              <w:rPr/>
            </w:pPr>
            <w:r>
              <w:rPr/>
              <w:t> </w:t>
            </w:r>
          </w:p>
        </w:tc>
        <w:tc>
          <w:tcPr>
            <w:tcW w:w="15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9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1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11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185"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7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71" w:type="dxa"/>
            <w:tcBorders>
              <w:top w:val="single" w:sz="8" w:space="0" w:color="000000"/>
            </w:tcBorders>
            <w:tcMar>
              <w:top w:w="28" w:type="dxa"/>
            </w:tcMar>
            <w:vAlign w:val="center"/>
          </w:tcPr>
          <w:p>
            <w:pPr>
              <w:pStyle w:val="TableContents"/>
              <w:bidi w:val="0"/>
              <w:spacing w:before="0" w:after="0"/>
              <w:jc w:val="left"/>
              <w:rPr/>
            </w:pPr>
            <w:r>
              <w:rPr/>
              <w:t> </w:t>
            </w:r>
          </w:p>
        </w:tc>
        <w:tc>
          <w:tcPr>
            <w:tcW w:w="148" w:type="dxa"/>
            <w:tcBorders>
              <w:top w:val="single" w:sz="8" w:space="0" w:color="000000"/>
              <w:bottom w:val="single" w:sz="6" w:space="0" w:color="000000"/>
            </w:tcBorders>
            <w:tcMar>
              <w:top w:w="28" w:type="dxa"/>
              <w:bottom w:w="28" w:type="dxa"/>
            </w:tcMar>
            <w:vAlign w:val="center"/>
          </w:tcPr>
          <w:p>
            <w:pPr>
              <w:pStyle w:val="TableContents"/>
              <w:bidi w:val="0"/>
              <w:spacing w:before="0" w:after="0"/>
              <w:jc w:val="left"/>
              <w:rPr/>
            </w:pPr>
            <w:r>
              <w:rPr/>
              <w:t> </w:t>
            </w:r>
          </w:p>
        </w:tc>
        <w:tc>
          <w:tcPr>
            <w:tcW w:w="57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1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11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208" w:type="dxa"/>
            <w:tcBorders>
              <w:top w:val="single" w:sz="8" w:space="0" w:color="000000"/>
            </w:tcBorders>
            <w:tcMar>
              <w:top w:w="28" w:type="dxa"/>
            </w:tcMar>
            <w:vAlign w:val="center"/>
          </w:tcPr>
          <w:p>
            <w:pPr>
              <w:pStyle w:val="TableContents"/>
              <w:bidi w:val="0"/>
              <w:spacing w:before="0" w:after="0"/>
              <w:jc w:val="left"/>
              <w:rPr/>
            </w:pPr>
            <w:r>
              <w:rPr/>
              <w:t> </w:t>
            </w:r>
          </w:p>
        </w:tc>
      </w:tr>
      <w:tr>
        <w:trPr/>
        <w:tc>
          <w:tcPr>
            <w:tcW w:w="1641" w:type="dxa"/>
            <w:tcBorders>
              <w:top w:val="sing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7"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280.1</w:t>
            </w:r>
          </w:p>
        </w:tc>
        <w:tc>
          <w:tcPr>
            <w:tcW w:w="73" w:type="dxa"/>
            <w:tcBorders/>
            <w:shd w:fill="CCEEFF" w:val="clear"/>
            <w:vAlign w:val="center"/>
          </w:tcPr>
          <w:p>
            <w:pPr>
              <w:pStyle w:val="TableContents"/>
              <w:bidi w:val="0"/>
              <w:spacing w:before="0" w:after="0"/>
              <w:jc w:val="left"/>
              <w:rPr/>
            </w:pPr>
            <w:r>
              <w:rPr/>
              <w:t> </w:t>
            </w:r>
          </w:p>
        </w:tc>
        <w:tc>
          <w:tcPr>
            <w:tcW w:w="153"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7"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260.9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9"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19.2</w:t>
            </w:r>
          </w:p>
        </w:tc>
        <w:tc>
          <w:tcPr>
            <w:tcW w:w="60"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1111"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185" w:type="dxa"/>
            <w:tcBorders>
              <w:top w:val="sing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6"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547.5</w:t>
            </w:r>
          </w:p>
        </w:tc>
        <w:tc>
          <w:tcPr>
            <w:tcW w:w="71" w:type="dxa"/>
            <w:tcBorders/>
            <w:shd w:fill="CCEEFF" w:val="clear"/>
            <w:vAlign w:val="center"/>
          </w:tcPr>
          <w:p>
            <w:pPr>
              <w:pStyle w:val="TableContents"/>
              <w:bidi w:val="0"/>
              <w:spacing w:before="0" w:after="0"/>
              <w:jc w:val="left"/>
              <w:rPr/>
            </w:pPr>
            <w:r>
              <w:rPr/>
              <w:t> </w:t>
            </w:r>
          </w:p>
        </w:tc>
        <w:tc>
          <w:tcPr>
            <w:tcW w:w="148" w:type="dxa"/>
            <w:tcBorders>
              <w:top w:val="sing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6"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518.0</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9"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29.5</w:t>
            </w:r>
          </w:p>
        </w:tc>
        <w:tc>
          <w:tcPr>
            <w:tcW w:w="60" w:type="dxa"/>
            <w:tcBorders/>
            <w:shd w:fill="CCEEFF" w:val="clear"/>
            <w:vAlign w:val="center"/>
          </w:tcPr>
          <w:p>
            <w:pPr>
              <w:pStyle w:val="TableContents"/>
              <w:bidi w:val="0"/>
              <w:spacing w:before="0" w:after="0"/>
              <w:jc w:val="left"/>
              <w:rPr/>
            </w:pPr>
            <w:r>
              <w:rPr/>
              <w:t> </w:t>
            </w:r>
          </w:p>
        </w:tc>
        <w:tc>
          <w:tcPr>
            <w:tcW w:w="111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2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97" w:type="dxa"/>
            <w:tcBorders/>
            <w:shd w:fill="FFFFFF" w:val="clear"/>
            <w:vAlign w:val="center"/>
          </w:tcPr>
          <w:p>
            <w:pPr>
              <w:pStyle w:val="TableContents"/>
              <w:bidi w:val="0"/>
              <w:spacing w:before="0" w:after="0"/>
              <w:jc w:val="right"/>
              <w:rPr/>
            </w:pPr>
            <w:r>
              <w:rPr/>
              <w:t> </w:t>
            </w:r>
          </w:p>
        </w:tc>
        <w:tc>
          <w:tcPr>
            <w:tcW w:w="73" w:type="dxa"/>
            <w:tcBorders/>
            <w:shd w:fill="FFFFFF" w:val="clear"/>
            <w:vAlign w:val="center"/>
          </w:tcPr>
          <w:p>
            <w:pPr>
              <w:pStyle w:val="TableContents"/>
              <w:bidi w:val="0"/>
              <w:spacing w:before="0" w:after="0"/>
              <w:jc w:val="left"/>
              <w:rPr/>
            </w:pPr>
            <w:r>
              <w:rPr/>
              <w:t> </w:t>
            </w:r>
          </w:p>
        </w:tc>
        <w:tc>
          <w:tcPr>
            <w:tcW w:w="153" w:type="dxa"/>
            <w:tcBorders/>
            <w:shd w:fill="FFFFFF" w:val="clear"/>
            <w:vAlign w:val="center"/>
          </w:tcPr>
          <w:p>
            <w:pPr>
              <w:pStyle w:val="TableContents"/>
              <w:bidi w:val="0"/>
              <w:spacing w:before="0" w:after="0"/>
              <w:jc w:val="left"/>
              <w:rPr/>
            </w:pPr>
            <w:r>
              <w:rPr/>
              <w:t> </w:t>
            </w:r>
          </w:p>
        </w:tc>
        <w:tc>
          <w:tcPr>
            <w:tcW w:w="597"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19"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pPr>
            <w:r>
              <w:rPr/>
              <w:t> </w:t>
            </w:r>
          </w:p>
        </w:tc>
        <w:tc>
          <w:tcPr>
            <w:tcW w:w="18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76" w:type="dxa"/>
            <w:tcBorders/>
            <w:shd w:fill="FFFFFF" w:val="clear"/>
            <w:vAlign w:val="center"/>
          </w:tcPr>
          <w:p>
            <w:pPr>
              <w:pStyle w:val="TableContents"/>
              <w:bidi w:val="0"/>
              <w:spacing w:before="0" w:after="0"/>
              <w:jc w:val="right"/>
              <w:rPr/>
            </w:pPr>
            <w:r>
              <w:rPr/>
              <w:t> </w:t>
            </w:r>
          </w:p>
        </w:tc>
        <w:tc>
          <w:tcPr>
            <w:tcW w:w="71" w:type="dxa"/>
            <w:tcBorders/>
            <w:shd w:fill="FFFFFF" w:val="clear"/>
            <w:vAlign w:val="center"/>
          </w:tcPr>
          <w:p>
            <w:pPr>
              <w:pStyle w:val="TableContents"/>
              <w:bidi w:val="0"/>
              <w:spacing w:before="0" w:after="0"/>
              <w:jc w:val="left"/>
              <w:rPr/>
            </w:pPr>
            <w:r>
              <w:rPr/>
              <w:t> </w:t>
            </w:r>
          </w:p>
        </w:tc>
        <w:tc>
          <w:tcPr>
            <w:tcW w:w="148" w:type="dxa"/>
            <w:tcBorders/>
            <w:shd w:fill="FFFFFF" w:val="clear"/>
            <w:vAlign w:val="center"/>
          </w:tcPr>
          <w:p>
            <w:pPr>
              <w:pStyle w:val="TableContents"/>
              <w:bidi w:val="0"/>
              <w:spacing w:before="0" w:after="0"/>
              <w:jc w:val="left"/>
              <w:rPr/>
            </w:pPr>
            <w:r>
              <w:rPr/>
              <w:t> </w:t>
            </w:r>
          </w:p>
        </w:tc>
        <w:tc>
          <w:tcPr>
            <w:tcW w:w="576"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19"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pPr>
            <w:r>
              <w:rPr/>
              <w:t> </w:t>
            </w:r>
          </w:p>
        </w:tc>
        <w:tc>
          <w:tcPr>
            <w:tcW w:w="208" w:type="dxa"/>
            <w:tcBorders/>
            <w:shd w:fill="FFFFFF" w:val="clear"/>
            <w:vAlign w:val="center"/>
          </w:tcPr>
          <w:p>
            <w:pPr>
              <w:pStyle w:val="TableContents"/>
              <w:bidi w:val="0"/>
              <w:spacing w:before="0" w:after="0"/>
              <w:jc w:val="left"/>
              <w:rPr/>
            </w:pPr>
            <w:r>
              <w:rPr/>
              <w:t> </w:t>
            </w:r>
          </w:p>
        </w:tc>
      </w:tr>
      <w:tr>
        <w:trPr/>
        <w:tc>
          <w:tcPr>
            <w:tcW w:w="1641"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Direct operating costs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9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210.9</w:t>
            </w:r>
          </w:p>
        </w:tc>
        <w:tc>
          <w:tcPr>
            <w:tcW w:w="73"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59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198.5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12.4</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7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413.0</w:t>
            </w:r>
          </w:p>
        </w:tc>
        <w:tc>
          <w:tcPr>
            <w:tcW w:w="71"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57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393.6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19.4</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2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9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26.6</w:t>
            </w:r>
          </w:p>
        </w:tc>
        <w:tc>
          <w:tcPr>
            <w:tcW w:w="73" w:type="dxa"/>
            <w:tcBorders/>
            <w:shd w:fill="FFFFFF" w:val="clear"/>
            <w:vAlign w:val="center"/>
          </w:tcPr>
          <w:p>
            <w:pPr>
              <w:pStyle w:val="TableContents"/>
              <w:bidi w:val="0"/>
              <w:spacing w:before="0" w:after="0"/>
              <w:jc w:val="left"/>
              <w:rPr/>
            </w:pPr>
            <w:r>
              <w:rPr/>
              <w:t> </w:t>
            </w:r>
          </w:p>
        </w:tc>
        <w:tc>
          <w:tcPr>
            <w:tcW w:w="153" w:type="dxa"/>
            <w:tcBorders/>
            <w:shd w:fill="FFFFFF" w:val="clear"/>
            <w:vAlign w:val="center"/>
          </w:tcPr>
          <w:p>
            <w:pPr>
              <w:pStyle w:val="TableContents"/>
              <w:bidi w:val="0"/>
              <w:spacing w:before="0" w:after="0"/>
              <w:jc w:val="left"/>
              <w:rPr/>
            </w:pPr>
            <w:r>
              <w:rPr/>
              <w:t> </w:t>
            </w:r>
          </w:p>
        </w:tc>
        <w:tc>
          <w:tcPr>
            <w:tcW w:w="59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1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7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50.7</w:t>
            </w:r>
          </w:p>
        </w:tc>
        <w:tc>
          <w:tcPr>
            <w:tcW w:w="71" w:type="dxa"/>
            <w:tcBorders/>
            <w:shd w:fill="FFFFFF" w:val="clear"/>
            <w:vAlign w:val="center"/>
          </w:tcPr>
          <w:p>
            <w:pPr>
              <w:pStyle w:val="TableContents"/>
              <w:bidi w:val="0"/>
              <w:spacing w:before="0" w:after="0"/>
              <w:jc w:val="left"/>
              <w:rPr/>
            </w:pPr>
            <w:r>
              <w:rPr/>
              <w:t> </w:t>
            </w:r>
          </w:p>
        </w:tc>
        <w:tc>
          <w:tcPr>
            <w:tcW w:w="148" w:type="dxa"/>
            <w:tcBorders/>
            <w:shd w:fill="FFFFFF" w:val="clear"/>
            <w:vAlign w:val="center"/>
          </w:tcPr>
          <w:p>
            <w:pPr>
              <w:pStyle w:val="TableContents"/>
              <w:bidi w:val="0"/>
              <w:spacing w:before="0" w:after="0"/>
              <w:jc w:val="left"/>
              <w:rPr/>
            </w:pPr>
            <w:r>
              <w:rPr/>
              <w:t> </w:t>
            </w:r>
          </w:p>
        </w:tc>
        <w:tc>
          <w:tcPr>
            <w:tcW w:w="57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49.2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1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20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9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9.8</w:t>
            </w:r>
          </w:p>
        </w:tc>
        <w:tc>
          <w:tcPr>
            <w:tcW w:w="73"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59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0.5</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7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22.6</w:t>
            </w:r>
          </w:p>
        </w:tc>
        <w:tc>
          <w:tcPr>
            <w:tcW w:w="71"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57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w:t>
            </w:r>
          </w:p>
        </w:tc>
        <w:tc>
          <w:tcPr>
            <w:tcW w:w="2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97"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73" w:type="dxa"/>
            <w:tcBorders/>
            <w:shd w:fill="FFFFFF" w:val="clear"/>
            <w:vAlign w:val="center"/>
          </w:tcPr>
          <w:p>
            <w:pPr>
              <w:pStyle w:val="TableContents"/>
              <w:bidi w:val="0"/>
              <w:spacing w:before="0" w:after="0"/>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97"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19"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0.1</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6</w:t>
            </w:r>
            <w:r>
              <w:rPr>
                <w:rFonts w:ascii="Times New Roman" w:hAnsi="Times New Roman"/>
                <w:sz w:val="20"/>
              </w:rPr>
              <w:t>)</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7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w:t>
            </w:r>
          </w:p>
        </w:tc>
        <w:tc>
          <w:tcPr>
            <w:tcW w:w="71" w:type="dxa"/>
            <w:tcBorders/>
            <w:shd w:fill="FFFFFF" w:val="clear"/>
            <w:vAlign w:val="center"/>
          </w:tcPr>
          <w:p>
            <w:pPr>
              <w:pStyle w:val="TableContents"/>
              <w:bidi w:val="0"/>
              <w:spacing w:before="0" w:after="0"/>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7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19"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0.2</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6</w:t>
            </w:r>
            <w:r>
              <w:rPr>
                <w:rFonts w:ascii="Times New Roman" w:hAnsi="Times New Roman"/>
                <w:sz w:val="20"/>
              </w:rPr>
              <w:t>)</w:t>
            </w:r>
          </w:p>
        </w:tc>
        <w:tc>
          <w:tcPr>
            <w:tcW w:w="20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59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249.0</w:t>
            </w:r>
          </w:p>
        </w:tc>
        <w:tc>
          <w:tcPr>
            <w:tcW w:w="73" w:type="dxa"/>
            <w:tcBorders/>
            <w:shd w:fill="CCEEFF" w:val="clear"/>
            <w:vAlign w:val="center"/>
          </w:tcPr>
          <w:p>
            <w:pPr>
              <w:pStyle w:val="TableContents"/>
              <w:bidi w:val="0"/>
              <w:spacing w:before="0" w:after="0"/>
              <w:jc w:val="left"/>
              <w:rPr/>
            </w:pPr>
            <w:r>
              <w:rPr/>
              <w:t> </w:t>
            </w:r>
          </w:p>
        </w:tc>
        <w:tc>
          <w:tcPr>
            <w:tcW w:w="1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59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234.7</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11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14.3</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5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489.6</w:t>
            </w:r>
          </w:p>
        </w:tc>
        <w:tc>
          <w:tcPr>
            <w:tcW w:w="71" w:type="dxa"/>
            <w:tcBorders/>
            <w:shd w:fill="CCEEFF" w:val="clear"/>
            <w:vAlign w:val="center"/>
          </w:tcPr>
          <w:p>
            <w:pPr>
              <w:pStyle w:val="TableContents"/>
              <w:bidi w:val="0"/>
              <w:spacing w:before="0" w:after="0"/>
              <w:jc w:val="left"/>
              <w:rPr/>
            </w:pPr>
            <w:r>
              <w:rPr/>
              <w:t> </w:t>
            </w:r>
          </w:p>
        </w:tc>
        <w:tc>
          <w:tcPr>
            <w:tcW w:w="14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5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465.2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11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24.4</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2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FFFFFF" w:val="clear"/>
            <w:vAlign w:val="center"/>
          </w:tcPr>
          <w:p>
            <w:pPr>
              <w:pStyle w:val="TableContents"/>
              <w:bidi w:val="0"/>
              <w:spacing w:before="0" w:after="0"/>
              <w:ind w:left="432" w:right="0" w:hanging="0"/>
              <w:jc w:val="left"/>
              <w:rPr>
                <w:rFonts w:ascii="Times New Roman" w:hAnsi="Times New Roman"/>
                <w:sz w:val="20"/>
              </w:rPr>
            </w:pPr>
            <w:r>
              <w:rPr>
                <w:rFonts w:ascii="Times New Roman" w:hAnsi="Times New Roman"/>
                <w:sz w:val="20"/>
              </w:rPr>
              <w:t>Operating income</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31.1</w:t>
            </w:r>
          </w:p>
        </w:tc>
        <w:tc>
          <w:tcPr>
            <w:tcW w:w="73" w:type="dxa"/>
            <w:tcBorders/>
            <w:shd w:fill="FFFFFF" w:val="clear"/>
            <w:vAlign w:val="center"/>
          </w:tcPr>
          <w:p>
            <w:pPr>
              <w:pStyle w:val="TableContents"/>
              <w:bidi w:val="0"/>
              <w:spacing w:before="0" w:after="0"/>
              <w:jc w:val="left"/>
              <w:rPr/>
            </w:pPr>
            <w:r>
              <w:rPr/>
              <w:t> </w:t>
            </w:r>
          </w:p>
        </w:tc>
        <w:tc>
          <w:tcPr>
            <w:tcW w:w="15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57.9</w:t>
            </w:r>
          </w:p>
        </w:tc>
        <w:tc>
          <w:tcPr>
            <w:tcW w:w="71" w:type="dxa"/>
            <w:tcBorders/>
            <w:shd w:fill="FFFFFF" w:val="clear"/>
            <w:vAlign w:val="center"/>
          </w:tcPr>
          <w:p>
            <w:pPr>
              <w:pStyle w:val="TableContents"/>
              <w:bidi w:val="0"/>
              <w:spacing w:before="0" w:after="0"/>
              <w:jc w:val="left"/>
              <w:rPr/>
            </w:pPr>
            <w:r>
              <w:rPr/>
              <w:t> </w:t>
            </w:r>
          </w:p>
        </w:tc>
        <w:tc>
          <w:tcPr>
            <w:tcW w:w="14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52.8</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5.1</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20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Transactions processed (millions)</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597"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1,107</w:t>
            </w:r>
          </w:p>
        </w:tc>
        <w:tc>
          <w:tcPr>
            <w:tcW w:w="73" w:type="dxa"/>
            <w:tcBorders/>
            <w:shd w:fill="CCEEFF" w:val="clear"/>
            <w:vAlign w:val="center"/>
          </w:tcPr>
          <w:p>
            <w:pPr>
              <w:pStyle w:val="TableContents"/>
              <w:bidi w:val="0"/>
              <w:spacing w:before="0" w:after="0"/>
              <w:jc w:val="left"/>
              <w:rPr/>
            </w:pPr>
            <w:r>
              <w:rPr/>
              <w:t> </w:t>
            </w:r>
          </w:p>
        </w:tc>
        <w:tc>
          <w:tcPr>
            <w:tcW w:w="153"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597"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1,110</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119" w:type="dxa"/>
            <w:tcBorders>
              <w:top w:val="double" w:sz="6"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3</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0</w:t>
            </w:r>
            <w:r>
              <w:rPr>
                <w:rFonts w:ascii="Times New Roman" w:hAnsi="Times New Roman"/>
                <w:sz w:val="20"/>
              </w:rPr>
              <w:t>)</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576"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2,241</w:t>
            </w:r>
          </w:p>
        </w:tc>
        <w:tc>
          <w:tcPr>
            <w:tcW w:w="71" w:type="dxa"/>
            <w:tcBorders/>
            <w:shd w:fill="CCEEFF" w:val="clear"/>
            <w:vAlign w:val="center"/>
          </w:tcPr>
          <w:p>
            <w:pPr>
              <w:pStyle w:val="TableContents"/>
              <w:bidi w:val="0"/>
              <w:spacing w:before="0" w:after="0"/>
              <w:jc w:val="left"/>
              <w:rPr/>
            </w:pPr>
            <w:r>
              <w:rPr/>
              <w:t> </w:t>
            </w:r>
          </w:p>
        </w:tc>
        <w:tc>
          <w:tcPr>
            <w:tcW w:w="148"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576"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2,063</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119"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178</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2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pBdr/>
        <w:bidi w:val="0"/>
        <w:spacing w:lineRule="atLeast" w:line="240" w:before="0" w:after="0"/>
        <w:jc w:val="both"/>
        <w:rPr>
          <w:rFonts w:ascii="Times New Roman" w:hAnsi="Times New Roman"/>
          <w:sz w:val="24"/>
        </w:rPr>
      </w:pPr>
      <w:r>
        <w:rPr>
          <w:rFonts w:ascii="Times New Roman" w:hAnsi="Times New Roman"/>
          <w:i/>
          <w:sz w:val="20"/>
        </w:rPr>
        <w:t>Revenues</w:t>
      </w:r>
      <w:r>
        <w:rPr>
          <w:rFonts w:ascii="Times New Roman" w:hAnsi="Times New Roman"/>
          <w:sz w:val="24"/>
        </w:rPr>
        <w:br/>
        <w:br/>
      </w:r>
      <w:r>
        <w:rPr>
          <w:rFonts w:ascii="Times New Roman" w:hAnsi="Times New Roman"/>
          <w:sz w:val="20"/>
        </w:rPr>
        <w:t>epay Segment total revenues were $280.1</w:t>
      </w:r>
      <w:r>
        <w:rPr>
          <w:rFonts w:ascii="Times New Roman" w:hAnsi="Times New Roman"/>
          <w:sz w:val="24"/>
        </w:rPr>
        <w:t xml:space="preserve"> </w:t>
      </w:r>
      <w:r>
        <w:rPr>
          <w:rFonts w:ascii="Times New Roman" w:hAnsi="Times New Roman"/>
          <w:sz w:val="20"/>
        </w:rPr>
        <w:t>million for the three months ended June 30, 2025, an increase</w:t>
      </w:r>
      <w:r>
        <w:rPr>
          <w:rFonts w:ascii="Times New Roman" w:hAnsi="Times New Roman"/>
          <w:sz w:val="24"/>
        </w:rPr>
        <w:t xml:space="preserve"> </w:t>
      </w:r>
      <w:r>
        <w:rPr>
          <w:rFonts w:ascii="Times New Roman" w:hAnsi="Times New Roman"/>
          <w:sz w:val="20"/>
        </w:rPr>
        <w:t>of $19.2</w:t>
      </w:r>
      <w:r>
        <w:rPr>
          <w:rFonts w:ascii="Times New Roman" w:hAnsi="Times New Roman"/>
          <w:sz w:val="24"/>
        </w:rPr>
        <w:t xml:space="preserve"> </w:t>
      </w:r>
      <w:r>
        <w:rPr>
          <w:rFonts w:ascii="Times New Roman" w:hAnsi="Times New Roman"/>
          <w:sz w:val="20"/>
        </w:rPr>
        <w:t>million or 7% compared to the same period in 2024. epay Segment total revenues were $547.5</w:t>
      </w:r>
      <w:r>
        <w:rPr>
          <w:rFonts w:ascii="Times New Roman" w:hAnsi="Times New Roman"/>
          <w:sz w:val="24"/>
        </w:rPr>
        <w:t xml:space="preserve"> </w:t>
      </w:r>
      <w:r>
        <w:rPr>
          <w:rFonts w:ascii="Times New Roman" w:hAnsi="Times New Roman"/>
          <w:sz w:val="20"/>
        </w:rPr>
        <w:t>million for the six months ended June 30, 2025, an increase</w:t>
      </w:r>
      <w:r>
        <w:rPr>
          <w:rFonts w:ascii="Times New Roman" w:hAnsi="Times New Roman"/>
          <w:sz w:val="24"/>
        </w:rPr>
        <w:t xml:space="preserve"> </w:t>
      </w:r>
      <w:r>
        <w:rPr>
          <w:rFonts w:ascii="Times New Roman" w:hAnsi="Times New Roman"/>
          <w:sz w:val="20"/>
        </w:rPr>
        <w:t>of $29.5</w:t>
      </w:r>
      <w:r>
        <w:rPr>
          <w:rFonts w:ascii="Times New Roman" w:hAnsi="Times New Roman"/>
          <w:sz w:val="24"/>
        </w:rPr>
        <w:t xml:space="preserve"> </w:t>
      </w:r>
      <w:r>
        <w:rPr>
          <w:rFonts w:ascii="Times New Roman" w:hAnsi="Times New Roman"/>
          <w:sz w:val="20"/>
        </w:rPr>
        <w:t>million or 6% compared to the same period in 2024. The increase in revenue</w:t>
      </w:r>
      <w:r>
        <w:rPr>
          <w:rFonts w:ascii="Times New Roman" w:hAnsi="Times New Roman"/>
          <w:sz w:val="24"/>
        </w:rPr>
        <w:t> </w:t>
      </w:r>
      <w:r>
        <w:rPr>
          <w:rFonts w:ascii="Times New Roman" w:hAnsi="Times New Roman"/>
          <w:sz w:val="20"/>
        </w:rPr>
        <w:t>was driven by</w:t>
      </w:r>
      <w:r>
        <w:rPr>
          <w:rFonts w:ascii="Times New Roman" w:hAnsi="Times New Roman"/>
          <w:sz w:val="24"/>
        </w:rPr>
        <w:t> </w:t>
      </w:r>
      <w:r>
        <w:rPr>
          <w:rFonts w:ascii="Times New Roman" w:hAnsi="Times New Roman"/>
          <w:sz w:val="20"/>
        </w:rPr>
        <w:t>continued payments, digital media and mobile growth.</w:t>
      </w:r>
      <w:r>
        <w:rPr>
          <w:rFonts w:ascii="Times New Roman" w:hAnsi="Times New Roman"/>
          <w:sz w:val="24"/>
          <w:shd w:fill="FFFFFF" w:val="clear"/>
        </w:rPr>
        <w:t> </w:t>
      </w:r>
      <w:r>
        <w:rPr>
          <w:rFonts w:ascii="Times New Roman" w:hAnsi="Times New Roman"/>
          <w:sz w:val="20"/>
        </w:rPr>
        <w:t>Revenue per transaction changed to $0.25</w:t>
      </w:r>
      <w:r>
        <w:rPr>
          <w:rFonts w:ascii="Times New Roman" w:hAnsi="Times New Roman"/>
          <w:sz w:val="24"/>
        </w:rPr>
        <w:t> </w:t>
      </w:r>
      <w:r>
        <w:rPr>
          <w:rFonts w:ascii="Times New Roman" w:hAnsi="Times New Roman"/>
          <w:sz w:val="20"/>
        </w:rPr>
        <w:t>and $0.24</w:t>
      </w:r>
      <w:r>
        <w:rPr>
          <w:rFonts w:ascii="Times New Roman" w:hAnsi="Times New Roman"/>
          <w:sz w:val="24"/>
        </w:rPr>
        <w:t xml:space="preserve"> </w:t>
      </w:r>
      <w:r>
        <w:rPr>
          <w:rFonts w:ascii="Times New Roman" w:hAnsi="Times New Roman"/>
          <w:sz w:val="20"/>
        </w:rPr>
        <w:t>for the</w:t>
      </w:r>
      <w:r>
        <w:rPr>
          <w:rFonts w:ascii="Times New Roman" w:hAnsi="Times New Roman"/>
          <w:sz w:val="24"/>
        </w:rPr>
        <w:t> </w:t>
      </w:r>
      <w:r>
        <w:rPr>
          <w:rFonts w:ascii="Times New Roman" w:hAnsi="Times New Roman"/>
          <w:sz w:val="20"/>
        </w:rPr>
        <w:t>three and six months ended June 30, 2025,</w:t>
      </w:r>
      <w:r>
        <w:rPr>
          <w:rFonts w:ascii="Times New Roman" w:hAnsi="Times New Roman"/>
          <w:sz w:val="24"/>
        </w:rPr>
        <w:t> </w:t>
      </w:r>
      <w:r>
        <w:rPr>
          <w:rFonts w:ascii="Times New Roman" w:hAnsi="Times New Roman"/>
          <w:sz w:val="20"/>
        </w:rPr>
        <w:t>compared to $0.24</w:t>
      </w:r>
      <w:r>
        <w:rPr>
          <w:rFonts w:ascii="Times New Roman" w:hAnsi="Times New Roman"/>
          <w:sz w:val="24"/>
        </w:rPr>
        <w:t> </w:t>
      </w:r>
      <w:r>
        <w:rPr>
          <w:rFonts w:ascii="Times New Roman" w:hAnsi="Times New Roman"/>
          <w:sz w:val="20"/>
        </w:rPr>
        <w:t>and $0.25</w:t>
      </w:r>
      <w:r>
        <w:rPr>
          <w:rFonts w:ascii="Times New Roman" w:hAnsi="Times New Roman"/>
          <w:sz w:val="24"/>
        </w:rPr>
        <w:t xml:space="preserve"> </w:t>
      </w:r>
      <w:r>
        <w:rPr>
          <w:rFonts w:ascii="Times New Roman" w:hAnsi="Times New Roman"/>
          <w:sz w:val="20"/>
        </w:rPr>
        <w:t>for the same period in</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color w:val="212529"/>
          <w:sz w:val="20"/>
        </w:rPr>
        <w:t>The change in revenue per transaction was</w:t>
      </w:r>
      <w:r>
        <w:rPr>
          <w:rFonts w:ascii="Times New Roman" w:hAnsi="Times New Roman"/>
          <w:sz w:val="24"/>
        </w:rPr>
        <w:t> </w:t>
      </w:r>
      <w:r>
        <w:rPr>
          <w:rFonts w:ascii="Times New Roman" w:hAnsi="Times New Roman"/>
          <w:sz w:val="20"/>
        </w:rPr>
        <w:t>primarily due to the</w:t>
      </w:r>
      <w:r>
        <w:rPr>
          <w:rFonts w:ascii="Times New Roman" w:hAnsi="Times New Roman"/>
          <w:sz w:val="24"/>
        </w:rPr>
        <w:t> </w:t>
      </w:r>
      <w:r>
        <w:rPr>
          <w:rFonts w:ascii="Times New Roman" w:hAnsi="Times New Roman"/>
          <w:sz w:val="20"/>
        </w:rPr>
        <w:t>shift in the mix of transactions processed. Fluctuations</w:t>
      </w:r>
      <w:r>
        <w:rPr>
          <w:rFonts w:ascii="Times New Roman" w:hAnsi="Times New Roman"/>
          <w:sz w:val="24"/>
        </w:rPr>
        <w:t> </w:t>
      </w:r>
      <w:r>
        <w:rPr>
          <w:rFonts w:ascii="Times New Roman" w:hAnsi="Times New Roman"/>
          <w:sz w:val="20"/>
        </w:rPr>
        <w:t>in foreign currency exchange rates increased revenues by approximately</w:t>
      </w:r>
      <w:r>
        <w:rPr>
          <w:rFonts w:ascii="Times New Roman" w:hAnsi="Times New Roman"/>
          <w:sz w:val="24"/>
        </w:rPr>
        <w:t> </w:t>
      </w:r>
      <w:r>
        <w:rPr>
          <w:rFonts w:ascii="Times New Roman" w:hAnsi="Times New Roman"/>
          <w:sz w:val="20"/>
        </w:rPr>
        <w:t>$7.0 million for the three months ended June 30, 2025</w:t>
      </w:r>
      <w:r>
        <w:rPr>
          <w:rFonts w:ascii="Times New Roman" w:hAnsi="Times New Roman"/>
          <w:sz w:val="24"/>
        </w:rPr>
        <w:t> </w:t>
      </w:r>
      <w:r>
        <w:rPr>
          <w:rFonts w:ascii="Times New Roman" w:hAnsi="Times New Roman"/>
          <w:sz w:val="20"/>
        </w:rPr>
        <w:t>compared to the same period in 2024.</w:t>
      </w:r>
      <w:r>
        <w:rPr>
          <w:rFonts w:ascii="Times New Roman" w:hAnsi="Times New Roman"/>
          <w:sz w:val="24"/>
        </w:rPr>
        <w:t> </w:t>
      </w:r>
      <w:r>
        <w:rPr>
          <w:rFonts w:ascii="Times New Roman" w:hAnsi="Times New Roman"/>
          <w:sz w:val="20"/>
        </w:rPr>
        <w:t>Fluctuations</w:t>
      </w:r>
      <w:r>
        <w:rPr>
          <w:rFonts w:ascii="Times New Roman" w:hAnsi="Times New Roman"/>
          <w:sz w:val="24"/>
        </w:rPr>
        <w:t> </w:t>
      </w:r>
      <w:r>
        <w:rPr>
          <w:rFonts w:ascii="Times New Roman" w:hAnsi="Times New Roman"/>
          <w:sz w:val="20"/>
        </w:rPr>
        <w:t>in foreign currency exchange rates decreased revenues by approximately</w:t>
      </w:r>
      <w:r>
        <w:rPr>
          <w:rFonts w:ascii="Times New Roman" w:hAnsi="Times New Roman"/>
          <w:sz w:val="24"/>
        </w:rPr>
        <w:t> </w:t>
      </w:r>
      <w:r>
        <w:rPr>
          <w:rFonts w:ascii="Times New Roman" w:hAnsi="Times New Roman"/>
          <w:sz w:val="20"/>
        </w:rPr>
        <w:t>$0.3 million for the six months ended June 30, 2025</w:t>
      </w:r>
      <w:r>
        <w:rPr>
          <w:rFonts w:ascii="Times New Roman" w:hAnsi="Times New Roman"/>
          <w:sz w:val="24"/>
        </w:rPr>
        <w:t> </w:t>
      </w:r>
      <w:r>
        <w:rPr>
          <w:rFonts w:ascii="Times New Roman" w:hAnsi="Times New Roman"/>
          <w:sz w:val="20"/>
        </w:rPr>
        <w:t>compared to the same period in 2024.</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i/>
          <w:sz w:val="20"/>
        </w:rPr>
      </w:pPr>
      <w:r>
        <w:rPr>
          <w:rFonts w:ascii="Times New Roman" w:hAnsi="Times New Roman"/>
          <w:i/>
          <w:sz w:val="20"/>
        </w:rPr>
        <w:t>Direct operating costs</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epay Segment direct operating costs were $210.9</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three months ended June 30, 2025,</w:t>
      </w:r>
      <w:r>
        <w:rPr>
          <w:rFonts w:ascii="Times New Roman" w:hAnsi="Times New Roman"/>
          <w:sz w:val="24"/>
        </w:rPr>
        <w:t> </w:t>
      </w:r>
      <w:r>
        <w:rPr>
          <w:rFonts w:ascii="Times New Roman" w:hAnsi="Times New Roman"/>
          <w:sz w:val="20"/>
        </w:rPr>
        <w:t>an increase</w:t>
      </w:r>
      <w:r>
        <w:rPr>
          <w:rFonts w:ascii="Times New Roman" w:hAnsi="Times New Roman"/>
          <w:sz w:val="24"/>
        </w:rPr>
        <w:t> </w:t>
      </w:r>
      <w:r>
        <w:rPr>
          <w:rFonts w:ascii="Times New Roman" w:hAnsi="Times New Roman"/>
          <w:sz w:val="20"/>
        </w:rPr>
        <w:t>of $12.4</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or 6% compared to the same period in 2024.</w:t>
      </w:r>
      <w:r>
        <w:rPr>
          <w:rFonts w:ascii="Times New Roman" w:hAnsi="Times New Roman"/>
          <w:sz w:val="24"/>
        </w:rPr>
        <w:t> </w:t>
      </w:r>
      <w:r>
        <w:rPr>
          <w:rFonts w:ascii="Times New Roman" w:hAnsi="Times New Roman"/>
          <w:sz w:val="20"/>
        </w:rPr>
        <w:t>epay Segment direct operating costs were $413.0</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six months ended June 30, 2025,</w:t>
      </w:r>
      <w:r>
        <w:rPr>
          <w:rFonts w:ascii="Times New Roman" w:hAnsi="Times New Roman"/>
          <w:sz w:val="24"/>
        </w:rPr>
        <w:t> </w:t>
      </w:r>
      <w:r>
        <w:rPr>
          <w:rFonts w:ascii="Times New Roman" w:hAnsi="Times New Roman"/>
          <w:sz w:val="20"/>
        </w:rPr>
        <w:t>an increase</w:t>
      </w:r>
      <w:r>
        <w:rPr>
          <w:rFonts w:ascii="Times New Roman" w:hAnsi="Times New Roman"/>
          <w:sz w:val="24"/>
        </w:rPr>
        <w:t> </w:t>
      </w:r>
      <w:r>
        <w:rPr>
          <w:rFonts w:ascii="Times New Roman" w:hAnsi="Times New Roman"/>
          <w:sz w:val="20"/>
        </w:rPr>
        <w:t>of $19.4</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or 5% compared to the same period in 2024.</w:t>
      </w:r>
      <w:r>
        <w:rPr>
          <w:rFonts w:ascii="Times New Roman" w:hAnsi="Times New Roman"/>
          <w:sz w:val="24"/>
        </w:rPr>
        <w:t> </w:t>
      </w:r>
      <w:r>
        <w:rPr>
          <w:rFonts w:ascii="Times New Roman" w:hAnsi="Times New Roman"/>
          <w:sz w:val="20"/>
        </w:rPr>
        <w:t>Direct operating costs primarily consist of the commissions paid to retail merchants for the distribution and sale of prepaid mobile airtime and other prepaid products, expenses incurred to operate POS terminals and the cost of vouchers sold and physical gifts fulfilled. The increase</w:t>
      </w:r>
      <w:r>
        <w:rPr>
          <w:rFonts w:ascii="Times New Roman" w:hAnsi="Times New Roman"/>
          <w:sz w:val="24"/>
        </w:rPr>
        <w:t> </w:t>
      </w:r>
      <w:r>
        <w:rPr>
          <w:rFonts w:ascii="Times New Roman" w:hAnsi="Times New Roman"/>
          <w:sz w:val="20"/>
        </w:rPr>
        <w:t>in direct operating</w:t>
      </w:r>
      <w:r>
        <w:rPr>
          <w:rFonts w:ascii="Times New Roman" w:hAnsi="Times New Roman"/>
          <w:sz w:val="24"/>
        </w:rPr>
        <w:t> </w:t>
      </w:r>
      <w:r>
        <w:rPr>
          <w:rFonts w:ascii="Times New Roman" w:hAnsi="Times New Roman"/>
          <w:sz w:val="20"/>
        </w:rPr>
        <w:t>costs was the result of the increase in business activity. Fluctuations</w:t>
      </w:r>
      <w:r>
        <w:rPr>
          <w:rFonts w:ascii="Times New Roman" w:hAnsi="Times New Roman"/>
          <w:sz w:val="24"/>
        </w:rPr>
        <w:t> </w:t>
      </w:r>
      <w:r>
        <w:rPr>
          <w:rFonts w:ascii="Times New Roman" w:hAnsi="Times New Roman"/>
          <w:sz w:val="20"/>
        </w:rPr>
        <w:t>in foreign currency exchange rates increased direct operating costs by approximately</w:t>
      </w:r>
      <w:r>
        <w:rPr>
          <w:rFonts w:ascii="Times New Roman" w:hAnsi="Times New Roman"/>
          <w:sz w:val="24"/>
        </w:rPr>
        <w:t> </w:t>
      </w:r>
      <w:r>
        <w:rPr>
          <w:rFonts w:ascii="Times New Roman" w:hAnsi="Times New Roman"/>
          <w:sz w:val="20"/>
        </w:rPr>
        <w:t>$5.5 million for the three months ended June 30, 2025</w:t>
      </w:r>
      <w:r>
        <w:rPr>
          <w:rFonts w:ascii="Times New Roman" w:hAnsi="Times New Roman"/>
          <w:sz w:val="24"/>
        </w:rPr>
        <w:t> </w:t>
      </w:r>
      <w:r>
        <w:rPr>
          <w:rFonts w:ascii="Times New Roman" w:hAnsi="Times New Roman"/>
          <w:sz w:val="20"/>
        </w:rPr>
        <w:t>compared to the same period in 2024.</w:t>
      </w:r>
      <w:r>
        <w:rPr>
          <w:rFonts w:ascii="Times New Roman" w:hAnsi="Times New Roman"/>
          <w:sz w:val="24"/>
        </w:rPr>
        <w:t> </w:t>
      </w:r>
      <w:r>
        <w:rPr>
          <w:rFonts w:ascii="Times New Roman" w:hAnsi="Times New Roman"/>
          <w:sz w:val="20"/>
        </w:rPr>
        <w:t>Fluctuations</w:t>
      </w:r>
      <w:r>
        <w:rPr>
          <w:rFonts w:ascii="Times New Roman" w:hAnsi="Times New Roman"/>
          <w:sz w:val="24"/>
        </w:rPr>
        <w:t> </w:t>
      </w:r>
      <w:r>
        <w:rPr>
          <w:rFonts w:ascii="Times New Roman" w:hAnsi="Times New Roman"/>
          <w:sz w:val="20"/>
        </w:rPr>
        <w:t>in foreign currency exchange rates decreased direct operating costs by approximately</w:t>
      </w:r>
      <w:r>
        <w:rPr>
          <w:rFonts w:ascii="Times New Roman" w:hAnsi="Times New Roman"/>
          <w:sz w:val="24"/>
        </w:rPr>
        <w:t> </w:t>
      </w:r>
      <w:r>
        <w:rPr>
          <w:rFonts w:ascii="Times New Roman" w:hAnsi="Times New Roman"/>
          <w:sz w:val="20"/>
        </w:rPr>
        <w:t>$0.3 million for the six months ended June 30, 2025</w:t>
      </w:r>
      <w:r>
        <w:rPr>
          <w:rFonts w:ascii="Times New Roman" w:hAnsi="Times New Roman"/>
          <w:sz w:val="24"/>
        </w:rPr>
        <w:t> </w:t>
      </w:r>
      <w:r>
        <w:rPr>
          <w:rFonts w:ascii="Times New Roman" w:hAnsi="Times New Roman"/>
          <w:sz w:val="20"/>
        </w:rPr>
        <w:t>compared to the same period in 2024.</w:t>
      </w:r>
      <w:r>
        <w:rPr>
          <w:rFonts w:ascii="Times New Roman" w:hAnsi="Times New Roman"/>
          <w:sz w:val="24"/>
        </w:rPr>
        <w:t>  </w:t>
      </w:r>
    </w:p>
    <w:p>
      <w:pPr>
        <w:pStyle w:val="TextBody"/>
        <w:bidi w:val="0"/>
        <w:spacing w:lineRule="atLeast" w:line="240" w:before="0" w:after="0"/>
        <w:jc w:val="left"/>
        <w:rPr/>
      </w:pPr>
      <w:r>
        <w:rPr/>
        <w:t> </w:t>
      </w:r>
      <w:r>
        <w:rPr>
          <w:rFonts w:ascii="Times New Roman" w:hAnsi="Times New Roman"/>
          <w:sz w:val="24"/>
        </w:rPr>
        <w:br/>
      </w:r>
      <w:r>
        <w:rPr>
          <w:rFonts w:ascii="Times New Roman" w:hAnsi="Times New Roman"/>
          <w:i/>
          <w:sz w:val="20"/>
        </w:rPr>
        <w:t>Gross profit</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Gross profit was $69.2</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three months ended June 30, 2025, an increase</w:t>
      </w:r>
      <w:r>
        <w:rPr>
          <w:rFonts w:ascii="Times New Roman" w:hAnsi="Times New Roman"/>
          <w:sz w:val="24"/>
        </w:rPr>
        <w:t xml:space="preserve"> </w:t>
      </w:r>
      <w:r>
        <w:rPr>
          <w:rFonts w:ascii="Times New Roman" w:hAnsi="Times New Roman"/>
          <w:sz w:val="20"/>
        </w:rPr>
        <w:t>of $6.8</w:t>
      </w:r>
      <w:r>
        <w:rPr>
          <w:rFonts w:ascii="Times New Roman" w:hAnsi="Times New Roman"/>
          <w:sz w:val="24"/>
        </w:rPr>
        <w:t xml:space="preserve"> </w:t>
      </w:r>
      <w:r>
        <w:rPr>
          <w:rFonts w:ascii="Times New Roman" w:hAnsi="Times New Roman"/>
          <w:sz w:val="20"/>
        </w:rPr>
        <w:t>million or 11% compared to $62.4</w:t>
      </w:r>
      <w:r>
        <w:rPr>
          <w:rFonts w:ascii="Times New Roman" w:hAnsi="Times New Roman"/>
          <w:sz w:val="24"/>
        </w:rPr>
        <w:t xml:space="preserve"> </w:t>
      </w:r>
      <w:r>
        <w:rPr>
          <w:rFonts w:ascii="Times New Roman" w:hAnsi="Times New Roman"/>
          <w:sz w:val="20"/>
        </w:rPr>
        <w:t>million for the same</w:t>
      </w:r>
      <w:r>
        <w:rPr>
          <w:rFonts w:ascii="Times New Roman" w:hAnsi="Times New Roman"/>
          <w:sz w:val="24"/>
        </w:rPr>
        <w:t> </w:t>
      </w:r>
      <w:r>
        <w:rPr>
          <w:rFonts w:ascii="Times New Roman" w:hAnsi="Times New Roman"/>
          <w:sz w:val="20"/>
        </w:rPr>
        <w:t>period in 2024. Gross profit was $134.5</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six months ended June 30, 2025, an increase</w:t>
      </w:r>
      <w:r>
        <w:rPr>
          <w:rFonts w:ascii="Times New Roman" w:hAnsi="Times New Roman"/>
          <w:sz w:val="24"/>
        </w:rPr>
        <w:t xml:space="preserve"> </w:t>
      </w:r>
      <w:r>
        <w:rPr>
          <w:rFonts w:ascii="Times New Roman" w:hAnsi="Times New Roman"/>
          <w:sz w:val="20"/>
        </w:rPr>
        <w:t>of $10.1</w:t>
      </w:r>
      <w:r>
        <w:rPr>
          <w:rFonts w:ascii="Times New Roman" w:hAnsi="Times New Roman"/>
          <w:sz w:val="24"/>
        </w:rPr>
        <w:t xml:space="preserve"> </w:t>
      </w:r>
      <w:r>
        <w:rPr>
          <w:rFonts w:ascii="Times New Roman" w:hAnsi="Times New Roman"/>
          <w:sz w:val="20"/>
        </w:rPr>
        <w:t>million or 8% compared to $124.4</w:t>
      </w:r>
      <w:r>
        <w:rPr>
          <w:rFonts w:ascii="Times New Roman" w:hAnsi="Times New Roman"/>
          <w:sz w:val="24"/>
        </w:rPr>
        <w:t xml:space="preserve"> </w:t>
      </w:r>
      <w:r>
        <w:rPr>
          <w:rFonts w:ascii="Times New Roman" w:hAnsi="Times New Roman"/>
          <w:sz w:val="20"/>
        </w:rPr>
        <w:t>million for the same</w:t>
      </w:r>
      <w:r>
        <w:rPr>
          <w:rFonts w:ascii="Times New Roman" w:hAnsi="Times New Roman"/>
          <w:sz w:val="24"/>
        </w:rPr>
        <w:t> </w:t>
      </w:r>
      <w:r>
        <w:rPr>
          <w:rFonts w:ascii="Times New Roman" w:hAnsi="Times New Roman"/>
          <w:sz w:val="20"/>
        </w:rPr>
        <w:t xml:space="preserve">period in 2024. Gross margin increased to 24.7% and 24.6% </w:t>
      </w:r>
      <w:r>
        <w:rPr>
          <w:rFonts w:ascii="Times New Roman" w:hAnsi="Times New Roman"/>
          <w:sz w:val="24"/>
        </w:rPr>
        <w:t> </w:t>
      </w:r>
      <w:r>
        <w:rPr>
          <w:rFonts w:ascii="Times New Roman" w:hAnsi="Times New Roman"/>
          <w:sz w:val="20"/>
        </w:rPr>
        <w:t>for the three and six months ended June 30, 2025, compared to</w:t>
      </w:r>
      <w:r>
        <w:rPr>
          <w:rFonts w:ascii="Times New Roman" w:hAnsi="Times New Roman"/>
          <w:sz w:val="24"/>
        </w:rPr>
        <w:t> </w:t>
      </w:r>
      <w:r>
        <w:rPr>
          <w:rFonts w:ascii="Times New Roman" w:hAnsi="Times New Roman"/>
          <w:sz w:val="20"/>
        </w:rPr>
        <w:t>23.9% and 24.0%</w:t>
      </w:r>
      <w:r>
        <w:rPr>
          <w:rFonts w:ascii="Times New Roman" w:hAnsi="Times New Roman"/>
          <w:sz w:val="24"/>
        </w:rPr>
        <w:t> </w:t>
      </w:r>
      <w:r>
        <w:rPr>
          <w:rFonts w:ascii="Times New Roman" w:hAnsi="Times New Roman"/>
          <w:sz w:val="20"/>
        </w:rPr>
        <w:t>for the same</w:t>
      </w:r>
      <w:r>
        <w:rPr>
          <w:rFonts w:ascii="Times New Roman" w:hAnsi="Times New Roman"/>
          <w:sz w:val="24"/>
        </w:rPr>
        <w:t> </w:t>
      </w:r>
      <w:r>
        <w:rPr>
          <w:rFonts w:ascii="Times New Roman" w:hAnsi="Times New Roman"/>
          <w:sz w:val="20"/>
        </w:rPr>
        <w:t>period in 2024.</w:t>
      </w:r>
      <w:r>
        <w:rPr>
          <w:rFonts w:ascii="Times New Roman" w:hAnsi="Times New Roman"/>
          <w:sz w:val="24"/>
        </w:rPr>
        <w:t> </w:t>
      </w:r>
      <w:r>
        <w:rPr>
          <w:rFonts w:ascii="Times New Roman" w:hAnsi="Times New Roman"/>
          <w:sz w:val="20"/>
        </w:rPr>
        <w:t>The changes in gross profit and gross margin were primarily a result of a shift in the mix of transactions processed.</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sz w:val="24"/>
        </w:rPr>
      </w:pPr>
      <w:r>
        <w:rPr>
          <w:rFonts w:ascii="Times New Roman" w:hAnsi="Times New Roman"/>
          <w:i/>
          <w:sz w:val="20"/>
        </w:rPr>
        <w:t>Salaries and benefits</w:t>
      </w:r>
      <w:r>
        <w:rPr>
          <w:rFonts w:ascii="Times New Roman" w:hAnsi="Times New Roman"/>
          <w:sz w:val="24"/>
        </w:rPr>
        <w:br/>
        <w:t> </w:t>
      </w:r>
    </w:p>
    <w:p>
      <w:pPr>
        <w:pStyle w:val="TextBody"/>
        <w:bidi w:val="0"/>
        <w:spacing w:lineRule="atLeast" w:line="240" w:before="0" w:after="0"/>
        <w:jc w:val="both"/>
        <w:rPr>
          <w:rFonts w:ascii="Times New Roman" w:hAnsi="Times New Roman"/>
          <w:sz w:val="24"/>
        </w:rPr>
      </w:pPr>
      <w:r>
        <w:rPr>
          <w:rFonts w:ascii="Times New Roman" w:hAnsi="Times New Roman"/>
          <w:sz w:val="20"/>
        </w:rPr>
        <w:t>Salaries and benefits expenses were $26.6</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three months ended June 30, 2025, an increase</w:t>
      </w:r>
      <w:r>
        <w:rPr>
          <w:rFonts w:ascii="Times New Roman" w:hAnsi="Times New Roman"/>
          <w:sz w:val="24"/>
        </w:rPr>
        <w:t xml:space="preserve"> </w:t>
      </w:r>
      <w:r>
        <w:rPr>
          <w:rFonts w:ascii="Times New Roman" w:hAnsi="Times New Roman"/>
          <w:sz w:val="20"/>
        </w:rPr>
        <w:t>of $1.5</w:t>
      </w:r>
      <w:r>
        <w:rPr>
          <w:rFonts w:ascii="Times New Roman" w:hAnsi="Times New Roman"/>
          <w:sz w:val="24"/>
        </w:rPr>
        <w:t xml:space="preserve"> </w:t>
      </w:r>
      <w:r>
        <w:rPr>
          <w:rFonts w:ascii="Times New Roman" w:hAnsi="Times New Roman"/>
          <w:sz w:val="20"/>
        </w:rPr>
        <w:t>million or 6% compared to the same period in 2024. Salaries and benefits expenses were $50.7</w:t>
      </w:r>
      <w:r>
        <w:rPr>
          <w:rFonts w:ascii="Times New Roman" w:hAnsi="Times New Roman"/>
          <w:sz w:val="24"/>
        </w:rPr>
        <w:t xml:space="preserve"> </w:t>
      </w:r>
      <w:r>
        <w:rPr>
          <w:rFonts w:ascii="Times New Roman" w:hAnsi="Times New Roman"/>
          <w:sz w:val="20"/>
        </w:rPr>
        <w:t>million for the</w:t>
      </w:r>
      <w:r>
        <w:rPr>
          <w:rFonts w:ascii="Times New Roman" w:hAnsi="Times New Roman"/>
          <w:sz w:val="24"/>
        </w:rPr>
        <w:t> </w:t>
      </w:r>
      <w:r>
        <w:rPr>
          <w:rFonts w:ascii="Times New Roman" w:hAnsi="Times New Roman"/>
          <w:sz w:val="20"/>
        </w:rPr>
        <w:t>six months ended June 30, 2025, an increase</w:t>
      </w:r>
      <w:r>
        <w:rPr>
          <w:rFonts w:ascii="Times New Roman" w:hAnsi="Times New Roman"/>
          <w:sz w:val="24"/>
        </w:rPr>
        <w:t xml:space="preserve"> </w:t>
      </w:r>
      <w:r>
        <w:rPr>
          <w:rFonts w:ascii="Times New Roman" w:hAnsi="Times New Roman"/>
          <w:sz w:val="20"/>
        </w:rPr>
        <w:t>of $1.5</w:t>
      </w:r>
      <w:r>
        <w:rPr>
          <w:rFonts w:ascii="Times New Roman" w:hAnsi="Times New Roman"/>
          <w:sz w:val="24"/>
        </w:rPr>
        <w:t xml:space="preserve"> </w:t>
      </w:r>
      <w:r>
        <w:rPr>
          <w:rFonts w:ascii="Times New Roman" w:hAnsi="Times New Roman"/>
          <w:sz w:val="20"/>
        </w:rPr>
        <w:t>million or 3% compared to the same period in 2024.</w:t>
      </w:r>
      <w:r>
        <w:rPr>
          <w:rFonts w:ascii="Times New Roman" w:hAnsi="Times New Roman"/>
          <w:sz w:val="24"/>
        </w:rPr>
        <w:t> </w:t>
      </w:r>
      <w:r>
        <w:rPr>
          <w:rFonts w:ascii="Times New Roman" w:hAnsi="Times New Roman"/>
          <w:sz w:val="20"/>
        </w:rPr>
        <w:t>As a percentage of revenues, these expenses decreased to</w:t>
      </w:r>
      <w:r>
        <w:rPr>
          <w:rFonts w:ascii="Times New Roman" w:hAnsi="Times New Roman"/>
          <w:sz w:val="24"/>
        </w:rPr>
        <w:t> </w:t>
      </w:r>
      <w:r>
        <w:rPr>
          <w:rFonts w:ascii="Times New Roman" w:hAnsi="Times New Roman"/>
          <w:sz w:val="20"/>
        </w:rPr>
        <w:t>9.5% and 9.3% for the</w:t>
      </w:r>
      <w:r>
        <w:rPr>
          <w:rFonts w:ascii="Times New Roman" w:hAnsi="Times New Roman"/>
          <w:sz w:val="24"/>
        </w:rPr>
        <w:t> </w:t>
      </w:r>
      <w:r>
        <w:rPr>
          <w:rFonts w:ascii="Times New Roman" w:hAnsi="Times New Roman"/>
          <w:sz w:val="20"/>
        </w:rPr>
        <w:t>three and six months ended June 30, 2025, compared to 9.6% and 9.5% for the same period in</w:t>
      </w:r>
      <w:r>
        <w:rPr>
          <w:rFonts w:ascii="Times New Roman" w:hAnsi="Times New Roman"/>
          <w:sz w:val="24"/>
        </w:rPr>
        <w:t> </w:t>
      </w:r>
      <w:r>
        <w:rPr>
          <w:rFonts w:ascii="Times New Roman" w:hAnsi="Times New Roman"/>
          <w:sz w:val="20"/>
        </w:rPr>
        <w:t>2024.</w:t>
      </w:r>
    </w:p>
    <w:p>
      <w:pPr>
        <w:pStyle w:val="TextBody"/>
        <w:bidi w:val="0"/>
        <w:spacing w:lineRule="atLeast" w:line="240" w:before="0" w:after="0"/>
        <w:jc w:val="left"/>
        <w:rPr/>
      </w:pPr>
      <w:r>
        <w:rPr/>
        <w:t> </w:t>
      </w:r>
    </w:p>
    <w:p>
      <w:pPr>
        <w:pStyle w:val="TextBody"/>
        <w:bidi w:val="0"/>
        <w:spacing w:lineRule="atLeast" w:line="240" w:before="0" w:after="200"/>
        <w:jc w:val="left"/>
        <w:rPr>
          <w:rFonts w:ascii="Times New Roman" w:hAnsi="Times New Roman"/>
          <w:i/>
          <w:sz w:val="20"/>
        </w:rPr>
      </w:pPr>
      <w:r>
        <w:rPr>
          <w:rFonts w:ascii="Times New Roman" w:hAnsi="Times New Roman"/>
          <w:i/>
          <w:sz w:val="20"/>
        </w:rPr>
        <w:t>Selling, general and administrative</w:t>
      </w:r>
    </w:p>
    <w:p>
      <w:pPr>
        <w:pStyle w:val="TextBody"/>
        <w:bidi w:val="0"/>
        <w:spacing w:lineRule="atLeast" w:line="240" w:before="0" w:after="0"/>
        <w:jc w:val="both"/>
        <w:rPr>
          <w:rFonts w:ascii="Times New Roman" w:hAnsi="Times New Roman"/>
          <w:sz w:val="24"/>
        </w:rPr>
      </w:pPr>
      <w:r>
        <w:rPr>
          <w:rFonts w:ascii="Times New Roman" w:hAnsi="Times New Roman"/>
          <w:sz w:val="20"/>
        </w:rPr>
        <w:t>Selling, general and administrative expenses were $9.8</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three months ended June 30, 2025,</w:t>
      </w:r>
      <w:r>
        <w:rPr>
          <w:rFonts w:ascii="Times New Roman" w:hAnsi="Times New Roman"/>
          <w:sz w:val="24"/>
        </w:rPr>
        <w:t> </w:t>
      </w:r>
      <w:r>
        <w:rPr>
          <w:rFonts w:ascii="Times New Roman" w:hAnsi="Times New Roman"/>
          <w:sz w:val="20"/>
        </w:rPr>
        <w:t>an increase</w:t>
      </w:r>
      <w:r>
        <w:rPr>
          <w:rFonts w:ascii="Times New Roman" w:hAnsi="Times New Roman"/>
          <w:sz w:val="24"/>
        </w:rPr>
        <w:t xml:space="preserve"> </w:t>
      </w:r>
      <w:r>
        <w:rPr>
          <w:rFonts w:ascii="Times New Roman" w:hAnsi="Times New Roman"/>
          <w:sz w:val="20"/>
        </w:rPr>
        <w:t>of $0.5</w:t>
      </w:r>
      <w:r>
        <w:rPr>
          <w:rFonts w:ascii="Times New Roman" w:hAnsi="Times New Roman"/>
          <w:sz w:val="24"/>
        </w:rPr>
        <w:t xml:space="preserve"> </w:t>
      </w:r>
      <w:r>
        <w:rPr>
          <w:rFonts w:ascii="Times New Roman" w:hAnsi="Times New Roman"/>
          <w:sz w:val="20"/>
        </w:rPr>
        <w:t>million or 5% compared to the same period in</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Selling, general and administrative expenses were $22.6</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six months ended June 30, 2025,</w:t>
      </w:r>
      <w:r>
        <w:rPr>
          <w:rFonts w:ascii="Times New Roman" w:hAnsi="Times New Roman"/>
          <w:sz w:val="24"/>
        </w:rPr>
        <w:t> </w:t>
      </w:r>
      <w:r>
        <w:rPr>
          <w:rFonts w:ascii="Times New Roman" w:hAnsi="Times New Roman"/>
          <w:sz w:val="20"/>
        </w:rPr>
        <w:t>an increase</w:t>
      </w:r>
      <w:r>
        <w:rPr>
          <w:rFonts w:ascii="Times New Roman" w:hAnsi="Times New Roman"/>
          <w:sz w:val="24"/>
        </w:rPr>
        <w:t xml:space="preserve"> </w:t>
      </w:r>
      <w:r>
        <w:rPr>
          <w:rFonts w:ascii="Times New Roman" w:hAnsi="Times New Roman"/>
          <w:sz w:val="20"/>
        </w:rPr>
        <w:t>of $3.7</w:t>
      </w:r>
      <w:r>
        <w:rPr>
          <w:rFonts w:ascii="Times New Roman" w:hAnsi="Times New Roman"/>
          <w:sz w:val="24"/>
        </w:rPr>
        <w:t xml:space="preserve"> </w:t>
      </w:r>
      <w:r>
        <w:rPr>
          <w:rFonts w:ascii="Times New Roman" w:hAnsi="Times New Roman"/>
          <w:sz w:val="20"/>
        </w:rPr>
        <w:t>million or 20% compared to the same period in</w:t>
      </w:r>
      <w:r>
        <w:rPr>
          <w:rFonts w:ascii="Times New Roman" w:hAnsi="Times New Roman"/>
          <w:sz w:val="24"/>
        </w:rPr>
        <w:t> </w:t>
      </w:r>
      <w:r>
        <w:rPr>
          <w:rFonts w:ascii="Times New Roman" w:hAnsi="Times New Roman"/>
          <w:sz w:val="20"/>
        </w:rPr>
        <w:t>2024. As a percentage of revenues, these expenses changed to</w:t>
      </w:r>
      <w:r>
        <w:rPr>
          <w:rFonts w:ascii="Times New Roman" w:hAnsi="Times New Roman"/>
          <w:sz w:val="24"/>
        </w:rPr>
        <w:t> </w:t>
      </w:r>
      <w:r>
        <w:rPr>
          <w:rFonts w:ascii="Times New Roman" w:hAnsi="Times New Roman"/>
          <w:sz w:val="20"/>
        </w:rPr>
        <w:t>3.5% and 4.1% for the</w:t>
      </w:r>
      <w:r>
        <w:rPr>
          <w:rFonts w:ascii="Times New Roman" w:hAnsi="Times New Roman"/>
          <w:sz w:val="24"/>
        </w:rPr>
        <w:t> </w:t>
      </w:r>
      <w:r>
        <w:rPr>
          <w:rFonts w:ascii="Times New Roman" w:hAnsi="Times New Roman"/>
          <w:sz w:val="20"/>
        </w:rPr>
        <w:t>three and six months ended June 30, 2025, compared to 3.6% and 3.6% for the same period in</w:t>
      </w:r>
      <w:r>
        <w:rPr>
          <w:rFonts w:ascii="Times New Roman" w:hAnsi="Times New Roman"/>
          <w:sz w:val="24"/>
        </w:rPr>
        <w:t> </w:t>
      </w:r>
      <w:r>
        <w:rPr>
          <w:rFonts w:ascii="Times New Roman" w:hAnsi="Times New Roman"/>
          <w:sz w:val="20"/>
        </w:rPr>
        <w:t>2024. The increase in selling,</w:t>
      </w:r>
      <w:r>
        <w:rPr>
          <w:rFonts w:ascii="Times New Roman" w:hAnsi="Times New Roman"/>
          <w:sz w:val="24"/>
        </w:rPr>
        <w:t> </w:t>
      </w:r>
      <w:r>
        <w:rPr>
          <w:rFonts w:ascii="Times New Roman" w:hAnsi="Times New Roman"/>
          <w:sz w:val="20"/>
        </w:rPr>
        <w:t>general and administrative expenses for the six months was primarily due to the payment of $4.5 million to resolve a non-recurring, multi-year operating tax matter in the first quarter.</w:t>
      </w:r>
    </w:p>
    <w:p>
      <w:pPr>
        <w:pStyle w:val="TextBody"/>
        <w:bidi w:val="0"/>
        <w:spacing w:lineRule="atLeast" w:line="288" w:before="0" w:after="0"/>
        <w:jc w:val="both"/>
        <w:rPr/>
      </w:pPr>
      <w:r>
        <w:rPr/>
        <w:t> </w:t>
      </w:r>
    </w:p>
    <w:p>
      <w:pPr>
        <w:pStyle w:val="TextBody"/>
        <w:bidi w:val="0"/>
        <w:spacing w:lineRule="atLeast" w:line="240" w:before="0" w:after="0"/>
        <w:jc w:val="left"/>
        <w:rPr>
          <w:rFonts w:ascii="Times New Roman" w:hAnsi="Times New Roman"/>
          <w:sz w:val="24"/>
        </w:rPr>
      </w:pPr>
      <w:r>
        <w:rPr>
          <w:rFonts w:ascii="Times New Roman" w:hAnsi="Times New Roman"/>
          <w:i/>
          <w:sz w:val="20"/>
        </w:rPr>
        <w:t>Depreciation and amortization</w:t>
      </w:r>
      <w:r>
        <w:rPr>
          <w:rFonts w:ascii="Times New Roman" w:hAnsi="Times New Roman"/>
          <w:sz w:val="24"/>
        </w:rPr>
        <w:br/>
        <w:t> </w:t>
      </w:r>
    </w:p>
    <w:p>
      <w:pPr>
        <w:pStyle w:val="TextBody"/>
        <w:bidi w:val="0"/>
        <w:spacing w:lineRule="atLeast" w:line="240" w:before="0" w:after="0"/>
        <w:jc w:val="both"/>
        <w:rPr>
          <w:rFonts w:ascii="Times New Roman" w:hAnsi="Times New Roman"/>
          <w:sz w:val="24"/>
        </w:rPr>
      </w:pPr>
      <w:r>
        <w:rPr>
          <w:rFonts w:ascii="Times New Roman" w:hAnsi="Times New Roman"/>
          <w:sz w:val="20"/>
        </w:rPr>
        <w:t>Depreciation and amortization expenses were $1.7</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three months ended June 30, 2025,</w:t>
      </w:r>
      <w:r>
        <w:rPr>
          <w:rFonts w:ascii="Times New Roman" w:hAnsi="Times New Roman"/>
          <w:sz w:val="24"/>
        </w:rPr>
        <w:t> </w:t>
      </w:r>
      <w:r>
        <w:rPr>
          <w:rFonts w:ascii="Times New Roman" w:hAnsi="Times New Roman"/>
          <w:sz w:val="20"/>
        </w:rPr>
        <w:t>a decrease</w:t>
      </w:r>
      <w:r>
        <w:rPr>
          <w:rFonts w:ascii="Times New Roman" w:hAnsi="Times New Roman"/>
          <w:sz w:val="24"/>
        </w:rPr>
        <w:t xml:space="preserve"> </w:t>
      </w:r>
      <w:r>
        <w:rPr>
          <w:rFonts w:ascii="Times New Roman" w:hAnsi="Times New Roman"/>
          <w:sz w:val="20"/>
        </w:rPr>
        <w:t>of $0.1</w:t>
      </w:r>
      <w:r>
        <w:rPr>
          <w:rFonts w:ascii="Times New Roman" w:hAnsi="Times New Roman"/>
          <w:sz w:val="24"/>
        </w:rPr>
        <w:t xml:space="preserve"> </w:t>
      </w:r>
      <w:r>
        <w:rPr>
          <w:rFonts w:ascii="Times New Roman" w:hAnsi="Times New Roman"/>
          <w:sz w:val="20"/>
        </w:rPr>
        <w:t>million or</w:t>
      </w:r>
      <w:r>
        <w:rPr>
          <w:rFonts w:ascii="Times New Roman" w:hAnsi="Times New Roman"/>
          <w:sz w:val="24"/>
        </w:rPr>
        <w:t> </w:t>
      </w:r>
      <w:r>
        <w:rPr>
          <w:rFonts w:ascii="Times New Roman" w:hAnsi="Times New Roman"/>
          <w:sz w:val="20"/>
        </w:rPr>
        <w:t>6% compared to the same period in</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Depreciation and amortization expenses were $3.3</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six months ended June 30, 2025,</w:t>
      </w:r>
      <w:r>
        <w:rPr>
          <w:rFonts w:ascii="Times New Roman" w:hAnsi="Times New Roman"/>
          <w:sz w:val="24"/>
        </w:rPr>
        <w:t> </w:t>
      </w:r>
      <w:r>
        <w:rPr>
          <w:rFonts w:ascii="Times New Roman" w:hAnsi="Times New Roman"/>
          <w:sz w:val="20"/>
        </w:rPr>
        <w:t>a decrease</w:t>
      </w:r>
      <w:r>
        <w:rPr>
          <w:rFonts w:ascii="Times New Roman" w:hAnsi="Times New Roman"/>
          <w:sz w:val="24"/>
        </w:rPr>
        <w:t xml:space="preserve"> </w:t>
      </w:r>
      <w:r>
        <w:rPr>
          <w:rFonts w:ascii="Times New Roman" w:hAnsi="Times New Roman"/>
          <w:sz w:val="20"/>
        </w:rPr>
        <w:t>of $0.2</w:t>
      </w:r>
      <w:r>
        <w:rPr>
          <w:rFonts w:ascii="Times New Roman" w:hAnsi="Times New Roman"/>
          <w:sz w:val="24"/>
        </w:rPr>
        <w:t xml:space="preserve"> </w:t>
      </w:r>
      <w:r>
        <w:rPr>
          <w:rFonts w:ascii="Times New Roman" w:hAnsi="Times New Roman"/>
          <w:sz w:val="20"/>
        </w:rPr>
        <w:t>million or 6%</w:t>
      </w:r>
      <w:r>
        <w:rPr>
          <w:rFonts w:ascii="Times New Roman" w:hAnsi="Times New Roman"/>
          <w:sz w:val="24"/>
        </w:rPr>
        <w:t> </w:t>
      </w:r>
      <w:r>
        <w:rPr>
          <w:rFonts w:ascii="Times New Roman" w:hAnsi="Times New Roman"/>
          <w:sz w:val="20"/>
        </w:rPr>
        <w:t>compared to the same period in</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Depreciation and amortization expense primarily represent depreciation of POS terminals we install in retail stores and amortization of acquired intangible assets. As a percentage of revenues, these expenses decreased to</w:t>
      </w:r>
      <w:r>
        <w:rPr>
          <w:rFonts w:ascii="Times New Roman" w:hAnsi="Times New Roman"/>
          <w:sz w:val="24"/>
        </w:rPr>
        <w:t> </w:t>
      </w:r>
      <w:r>
        <w:rPr>
          <w:rFonts w:ascii="Times New Roman" w:hAnsi="Times New Roman"/>
          <w:sz w:val="20"/>
        </w:rPr>
        <w:t>0.6% and 0.6% for the three and six months ended June 30, 2025, compared to 0.7% and 0.7% for the same period in 2024.</w:t>
      </w:r>
    </w:p>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sz w:val="24"/>
        </w:rPr>
      </w:pPr>
      <w:r>
        <w:rPr>
          <w:rFonts w:ascii="Times New Roman" w:hAnsi="Times New Roman"/>
          <w:i/>
          <w:sz w:val="20"/>
        </w:rPr>
        <w:t>Operating income</w:t>
      </w:r>
      <w:r>
        <w:rPr>
          <w:rFonts w:ascii="Times New Roman" w:hAnsi="Times New Roman"/>
          <w:sz w:val="24"/>
        </w:rPr>
        <w:br/>
        <w:t> </w:t>
      </w:r>
    </w:p>
    <w:p>
      <w:pPr>
        <w:pStyle w:val="TextBody"/>
        <w:bidi w:val="0"/>
        <w:spacing w:lineRule="atLeast" w:line="240" w:before="0" w:after="0"/>
        <w:jc w:val="both"/>
        <w:rPr>
          <w:rFonts w:ascii="Times New Roman" w:hAnsi="Times New Roman"/>
          <w:sz w:val="24"/>
        </w:rPr>
      </w:pPr>
      <w:r>
        <w:rPr>
          <w:rFonts w:ascii="Times New Roman" w:hAnsi="Times New Roman"/>
          <w:sz w:val="20"/>
        </w:rPr>
        <w:t>epay Segment operating income was $31.1</w:t>
      </w:r>
      <w:r>
        <w:rPr>
          <w:rFonts w:ascii="Times New Roman" w:hAnsi="Times New Roman"/>
          <w:sz w:val="24"/>
        </w:rPr>
        <w:t xml:space="preserve"> </w:t>
      </w:r>
      <w:r>
        <w:rPr>
          <w:rFonts w:ascii="Times New Roman" w:hAnsi="Times New Roman"/>
          <w:sz w:val="20"/>
        </w:rPr>
        <w:t>million for the</w:t>
      </w:r>
      <w:r>
        <w:rPr>
          <w:rFonts w:ascii="Times New Roman" w:hAnsi="Times New Roman"/>
          <w:sz w:val="24"/>
        </w:rPr>
        <w:t> </w:t>
      </w:r>
      <w:r>
        <w:rPr>
          <w:rFonts w:ascii="Times New Roman" w:hAnsi="Times New Roman"/>
          <w:sz w:val="20"/>
        </w:rPr>
        <w:t>three months ended June 30, 2025, an increase</w:t>
      </w:r>
      <w:r>
        <w:rPr>
          <w:rFonts w:ascii="Times New Roman" w:hAnsi="Times New Roman"/>
          <w:sz w:val="24"/>
        </w:rPr>
        <w:t xml:space="preserve"> </w:t>
      </w:r>
      <w:r>
        <w:rPr>
          <w:rFonts w:ascii="Times New Roman" w:hAnsi="Times New Roman"/>
          <w:sz w:val="20"/>
        </w:rPr>
        <w:t>of $4.9</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or 19% compared</w:t>
      </w:r>
      <w:r>
        <w:rPr>
          <w:rFonts w:ascii="Times New Roman" w:hAnsi="Times New Roman"/>
          <w:sz w:val="24"/>
        </w:rPr>
        <w:t> </w:t>
      </w:r>
      <w:r>
        <w:rPr>
          <w:rFonts w:ascii="Times New Roman" w:hAnsi="Times New Roman"/>
          <w:sz w:val="20"/>
        </w:rPr>
        <w:t>to the same period in</w:t>
      </w:r>
      <w:r>
        <w:rPr>
          <w:rFonts w:ascii="Times New Roman" w:hAnsi="Times New Roman"/>
          <w:sz w:val="24"/>
        </w:rPr>
        <w:t> </w:t>
      </w:r>
      <w:r>
        <w:rPr>
          <w:rFonts w:ascii="Times New Roman" w:hAnsi="Times New Roman"/>
          <w:sz w:val="20"/>
        </w:rPr>
        <w:t>2024. epay Segment operating income was $57.9</w:t>
      </w:r>
      <w:r>
        <w:rPr>
          <w:rFonts w:ascii="Times New Roman" w:hAnsi="Times New Roman"/>
          <w:sz w:val="24"/>
        </w:rPr>
        <w:t xml:space="preserve"> </w:t>
      </w:r>
      <w:r>
        <w:rPr>
          <w:rFonts w:ascii="Times New Roman" w:hAnsi="Times New Roman"/>
          <w:sz w:val="20"/>
        </w:rPr>
        <w:t>million for the</w:t>
      </w:r>
      <w:r>
        <w:rPr>
          <w:rFonts w:ascii="Times New Roman" w:hAnsi="Times New Roman"/>
          <w:sz w:val="24"/>
        </w:rPr>
        <w:t> </w:t>
      </w:r>
      <w:r>
        <w:rPr>
          <w:rFonts w:ascii="Times New Roman" w:hAnsi="Times New Roman"/>
          <w:sz w:val="20"/>
        </w:rPr>
        <w:t>six months ended June 30, 2025,</w:t>
      </w:r>
      <w:r>
        <w:rPr>
          <w:rFonts w:ascii="Times New Roman" w:hAnsi="Times New Roman"/>
          <w:sz w:val="24"/>
        </w:rPr>
        <w:t xml:space="preserve">  </w:t>
      </w:r>
      <w:r>
        <w:rPr>
          <w:rFonts w:ascii="Times New Roman" w:hAnsi="Times New Roman"/>
          <w:sz w:val="20"/>
        </w:rPr>
        <w:t>an increase</w:t>
      </w:r>
      <w:r>
        <w:rPr>
          <w:rFonts w:ascii="Times New Roman" w:hAnsi="Times New Roman"/>
          <w:sz w:val="24"/>
        </w:rPr>
        <w:t xml:space="preserve"> </w:t>
      </w:r>
      <w:r>
        <w:rPr>
          <w:rFonts w:ascii="Times New Roman" w:hAnsi="Times New Roman"/>
          <w:sz w:val="20"/>
        </w:rPr>
        <w:t>of $5.1</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or 10% compared</w:t>
      </w:r>
      <w:r>
        <w:rPr>
          <w:rFonts w:ascii="Times New Roman" w:hAnsi="Times New Roman"/>
          <w:sz w:val="24"/>
        </w:rPr>
        <w:t> </w:t>
      </w:r>
      <w:r>
        <w:rPr>
          <w:rFonts w:ascii="Times New Roman" w:hAnsi="Times New Roman"/>
          <w:sz w:val="20"/>
        </w:rPr>
        <w:t>to the same period in</w:t>
      </w:r>
      <w:r>
        <w:rPr>
          <w:rFonts w:ascii="Times New Roman" w:hAnsi="Times New Roman"/>
          <w:sz w:val="24"/>
        </w:rPr>
        <w:t> </w:t>
      </w:r>
      <w:r>
        <w:rPr>
          <w:rFonts w:ascii="Times New Roman" w:hAnsi="Times New Roman"/>
          <w:sz w:val="20"/>
        </w:rPr>
        <w:t>2024. Operating margin increased to 11.1% and 10.6% for the three and six months ended June 30, 2025, compared to 10.0% and 10.2% for the same period</w:t>
      </w:r>
      <w:r>
        <w:rPr>
          <w:rFonts w:ascii="Times New Roman" w:hAnsi="Times New Roman"/>
          <w:sz w:val="24"/>
        </w:rPr>
        <w:t> </w:t>
      </w:r>
      <w:r>
        <w:rPr>
          <w:rFonts w:ascii="Times New Roman" w:hAnsi="Times New Roman"/>
          <w:sz w:val="20"/>
        </w:rPr>
        <w:t>in</w:t>
      </w:r>
      <w:r>
        <w:rPr>
          <w:rFonts w:ascii="Times New Roman" w:hAnsi="Times New Roman"/>
          <w:sz w:val="24"/>
        </w:rPr>
        <w:t> </w:t>
      </w:r>
      <w:r>
        <w:rPr>
          <w:rFonts w:ascii="Times New Roman" w:hAnsi="Times New Roman"/>
          <w:sz w:val="20"/>
        </w:rPr>
        <w:t>2024.</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sz w:val="24"/>
        </w:rPr>
      </w:pPr>
      <w:r>
        <w:rPr>
          <w:rFonts w:ascii="Times New Roman" w:hAnsi="Times New Roman"/>
          <w:b/>
          <w:sz w:val="20"/>
        </w:rPr>
        <w:t>MONEY TRANSFER SEGMENT</w:t>
      </w:r>
      <w:r>
        <w:rPr>
          <w:rFonts w:ascii="Times New Roman" w:hAnsi="Times New Roman"/>
          <w:sz w:val="24"/>
        </w:rPr>
        <w:b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following table presents the results of operations for the</w:t>
      </w:r>
      <w:r>
        <w:rPr>
          <w:rFonts w:ascii="Times New Roman" w:hAnsi="Times New Roman"/>
          <w:sz w:val="24"/>
        </w:rPr>
        <w:t> </w:t>
      </w:r>
      <w:r>
        <w:rPr>
          <w:rFonts w:ascii="Times New Roman" w:hAnsi="Times New Roman"/>
          <w:sz w:val="20"/>
        </w:rPr>
        <w:t>three and six months ended June 30, 2025</w:t>
      </w:r>
      <w:r>
        <w:rPr>
          <w:rFonts w:ascii="Times New Roman" w:hAnsi="Times New Roman"/>
          <w:sz w:val="24"/>
        </w:rPr>
        <w:t> </w:t>
      </w:r>
      <w:r>
        <w:rPr>
          <w:rFonts w:ascii="Times New Roman" w:hAnsi="Times New Roman"/>
          <w:sz w:val="20"/>
        </w:rPr>
        <w:t>and</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for the Money Transfer Segment:</w:t>
      </w:r>
      <w:r>
        <w:rPr>
          <w:rFonts w:ascii="Times New Roman" w:hAnsi="Times New Roman"/>
          <w:sz w:val="24"/>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41"/>
        <w:gridCol w:w="60"/>
        <w:gridCol w:w="125"/>
        <w:gridCol w:w="597"/>
        <w:gridCol w:w="73"/>
        <w:gridCol w:w="153"/>
        <w:gridCol w:w="597"/>
        <w:gridCol w:w="60"/>
        <w:gridCol w:w="125"/>
        <w:gridCol w:w="1119"/>
        <w:gridCol w:w="60"/>
        <w:gridCol w:w="1111"/>
        <w:gridCol w:w="185"/>
        <w:gridCol w:w="60"/>
        <w:gridCol w:w="60"/>
        <w:gridCol w:w="125"/>
        <w:gridCol w:w="576"/>
        <w:gridCol w:w="71"/>
        <w:gridCol w:w="148"/>
        <w:gridCol w:w="576"/>
        <w:gridCol w:w="60"/>
        <w:gridCol w:w="125"/>
        <w:gridCol w:w="1119"/>
        <w:gridCol w:w="60"/>
        <w:gridCol w:w="1111"/>
        <w:gridCol w:w="208"/>
      </w:tblGrid>
      <w:tr>
        <w:trPr/>
        <w:tc>
          <w:tcPr>
            <w:tcW w:w="164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42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290"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371"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290"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20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641"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9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73" w:type="dxa"/>
            <w:tcBorders/>
            <w:vAlign w:val="center"/>
          </w:tcPr>
          <w:p>
            <w:pPr>
              <w:pStyle w:val="TableContents"/>
              <w:bidi w:val="0"/>
              <w:spacing w:before="0" w:after="0"/>
              <w:jc w:val="left"/>
              <w:rPr/>
            </w:pPr>
            <w:r>
              <w:rPr/>
              <w:t> </w:t>
            </w:r>
          </w:p>
        </w:tc>
        <w:tc>
          <w:tcPr>
            <w:tcW w:w="15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9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1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11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1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7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71" w:type="dxa"/>
            <w:tcBorders/>
            <w:vAlign w:val="center"/>
          </w:tcPr>
          <w:p>
            <w:pPr>
              <w:pStyle w:val="TableContents"/>
              <w:bidi w:val="0"/>
              <w:spacing w:before="0" w:after="0"/>
              <w:jc w:val="left"/>
              <w:rPr/>
            </w:pPr>
            <w:r>
              <w:rPr/>
              <w:t> </w:t>
            </w:r>
          </w:p>
        </w:tc>
        <w:tc>
          <w:tcPr>
            <w:tcW w:w="148" w:type="dxa"/>
            <w:tcBorders>
              <w:bottom w:val="single" w:sz="8" w:space="0" w:color="000000"/>
            </w:tcBorders>
            <w:tcMar>
              <w:bottom w:w="28" w:type="dxa"/>
            </w:tcMar>
            <w:vAlign w:val="center"/>
          </w:tcPr>
          <w:p>
            <w:pPr>
              <w:pStyle w:val="TableContents"/>
              <w:bidi w:val="0"/>
              <w:spacing w:before="0" w:after="0"/>
              <w:jc w:val="left"/>
              <w:rPr/>
            </w:pPr>
            <w:r>
              <w:rPr/>
              <w:t> </w:t>
            </w:r>
          </w:p>
        </w:tc>
        <w:tc>
          <w:tcPr>
            <w:tcW w:w="57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1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11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20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r>
      <w:tr>
        <w:trPr/>
        <w:tc>
          <w:tcPr>
            <w:tcW w:w="16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457.9</w:t>
            </w:r>
          </w:p>
        </w:tc>
        <w:tc>
          <w:tcPr>
            <w:tcW w:w="73" w:type="dxa"/>
            <w:tcBorders/>
            <w:shd w:fill="CCEEFF" w:val="clear"/>
            <w:vAlign w:val="center"/>
          </w:tcPr>
          <w:p>
            <w:pPr>
              <w:pStyle w:val="TableContents"/>
              <w:bidi w:val="0"/>
              <w:spacing w:before="0" w:after="0"/>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421.8</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9"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36.1</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18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6"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875.6</w:t>
            </w:r>
          </w:p>
        </w:tc>
        <w:tc>
          <w:tcPr>
            <w:tcW w:w="71" w:type="dxa"/>
            <w:tcBorders/>
            <w:shd w:fill="CCEEFF" w:val="clear"/>
            <w:vAlign w:val="center"/>
          </w:tcPr>
          <w:p>
            <w:pPr>
              <w:pStyle w:val="TableContents"/>
              <w:bidi w:val="0"/>
              <w:spacing w:before="0" w:after="0"/>
              <w:jc w:val="left"/>
              <w:rPr/>
            </w:pPr>
            <w:r>
              <w:rPr/>
              <w:t> </w:t>
            </w:r>
          </w:p>
        </w:tc>
        <w:tc>
          <w:tcPr>
            <w:tcW w:w="14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806.4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69.2</w:t>
            </w:r>
          </w:p>
        </w:tc>
        <w:tc>
          <w:tcPr>
            <w:tcW w:w="60" w:type="dxa"/>
            <w:tcBorders/>
            <w:shd w:fill="CCEEFF" w:val="clear"/>
            <w:vAlign w:val="center"/>
          </w:tcPr>
          <w:p>
            <w:pPr>
              <w:pStyle w:val="TableContents"/>
              <w:bidi w:val="0"/>
              <w:spacing w:before="0" w:after="0"/>
              <w:jc w:val="left"/>
              <w:rPr/>
            </w:pPr>
            <w:r>
              <w:rPr/>
              <w:t> </w:t>
            </w:r>
          </w:p>
        </w:tc>
        <w:tc>
          <w:tcPr>
            <w:tcW w:w="111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208"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597"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73" w:type="dxa"/>
            <w:tcBorders/>
            <w:shd w:fill="FFFFFF" w:val="clear"/>
            <w:vAlign w:val="center"/>
          </w:tcPr>
          <w:p>
            <w:pPr>
              <w:pStyle w:val="TableContents"/>
              <w:bidi w:val="0"/>
              <w:spacing w:before="0" w:after="0"/>
              <w:jc w:val="left"/>
              <w:rPr/>
            </w:pPr>
            <w:r>
              <w:rPr/>
              <w:t> </w:t>
            </w:r>
          </w:p>
        </w:tc>
        <w:tc>
          <w:tcPr>
            <w:tcW w:w="153"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597"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119"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pPr>
            <w:r>
              <w:rPr/>
              <w:t> </w:t>
            </w:r>
          </w:p>
        </w:tc>
        <w:tc>
          <w:tcPr>
            <w:tcW w:w="18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576"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71" w:type="dxa"/>
            <w:tcBorders/>
            <w:shd w:fill="FFFFFF" w:val="clear"/>
            <w:vAlign w:val="center"/>
          </w:tcPr>
          <w:p>
            <w:pPr>
              <w:pStyle w:val="TableContents"/>
              <w:bidi w:val="0"/>
              <w:spacing w:before="0" w:after="0"/>
              <w:jc w:val="left"/>
              <w:rPr/>
            </w:pPr>
            <w:r>
              <w:rPr/>
              <w:t> </w:t>
            </w:r>
          </w:p>
        </w:tc>
        <w:tc>
          <w:tcPr>
            <w:tcW w:w="148"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576"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119"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pPr>
            <w:r>
              <w:rPr/>
              <w:t> </w:t>
            </w:r>
          </w:p>
        </w:tc>
        <w:tc>
          <w:tcPr>
            <w:tcW w:w="208" w:type="dxa"/>
            <w:tcBorders/>
            <w:shd w:fill="FFFFFF" w:val="clear"/>
            <w:vAlign w:val="center"/>
          </w:tcPr>
          <w:p>
            <w:pPr>
              <w:pStyle w:val="TableContents"/>
              <w:bidi w:val="0"/>
              <w:spacing w:before="0" w:after="0"/>
              <w:jc w:val="left"/>
              <w:rPr/>
            </w:pPr>
            <w:r>
              <w:rPr/>
              <w:t> </w:t>
            </w:r>
          </w:p>
        </w:tc>
      </w:tr>
      <w:tr>
        <w:trPr/>
        <w:tc>
          <w:tcPr>
            <w:tcW w:w="1641"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Direct operating costs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9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238.0</w:t>
            </w:r>
          </w:p>
        </w:tc>
        <w:tc>
          <w:tcPr>
            <w:tcW w:w="73"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59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231.7</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6.3</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7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462.5</w:t>
            </w:r>
          </w:p>
        </w:tc>
        <w:tc>
          <w:tcPr>
            <w:tcW w:w="71"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57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441.1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21.4</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2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9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88.2</w:t>
            </w:r>
          </w:p>
        </w:tc>
        <w:tc>
          <w:tcPr>
            <w:tcW w:w="73" w:type="dxa"/>
            <w:tcBorders/>
            <w:shd w:fill="FFFFFF" w:val="clear"/>
            <w:vAlign w:val="center"/>
          </w:tcPr>
          <w:p>
            <w:pPr>
              <w:pStyle w:val="TableContents"/>
              <w:bidi w:val="0"/>
              <w:spacing w:before="0" w:after="0"/>
              <w:jc w:val="left"/>
              <w:rPr/>
            </w:pPr>
            <w:r>
              <w:rPr/>
              <w:t> </w:t>
            </w:r>
          </w:p>
        </w:tc>
        <w:tc>
          <w:tcPr>
            <w:tcW w:w="153" w:type="dxa"/>
            <w:tcBorders/>
            <w:shd w:fill="FFFFFF" w:val="clear"/>
            <w:vAlign w:val="center"/>
          </w:tcPr>
          <w:p>
            <w:pPr>
              <w:pStyle w:val="TableContents"/>
              <w:bidi w:val="0"/>
              <w:spacing w:before="0" w:after="0"/>
              <w:jc w:val="left"/>
              <w:rPr/>
            </w:pPr>
            <w:r>
              <w:rPr/>
              <w:t> </w:t>
            </w:r>
          </w:p>
        </w:tc>
        <w:tc>
          <w:tcPr>
            <w:tcW w:w="59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82.7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1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7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176.1</w:t>
            </w:r>
          </w:p>
        </w:tc>
        <w:tc>
          <w:tcPr>
            <w:tcW w:w="71" w:type="dxa"/>
            <w:tcBorders/>
            <w:shd w:fill="FFFFFF" w:val="clear"/>
            <w:vAlign w:val="center"/>
          </w:tcPr>
          <w:p>
            <w:pPr>
              <w:pStyle w:val="TableContents"/>
              <w:bidi w:val="0"/>
              <w:spacing w:before="0" w:after="0"/>
              <w:jc w:val="left"/>
              <w:rPr/>
            </w:pPr>
            <w:r>
              <w:rPr/>
              <w:t> </w:t>
            </w:r>
          </w:p>
        </w:tc>
        <w:tc>
          <w:tcPr>
            <w:tcW w:w="148" w:type="dxa"/>
            <w:tcBorders/>
            <w:shd w:fill="FFFFFF" w:val="clear"/>
            <w:vAlign w:val="center"/>
          </w:tcPr>
          <w:p>
            <w:pPr>
              <w:pStyle w:val="TableContents"/>
              <w:bidi w:val="0"/>
              <w:spacing w:before="0" w:after="0"/>
              <w:jc w:val="left"/>
              <w:rPr/>
            </w:pPr>
            <w:r>
              <w:rPr/>
              <w:t> </w:t>
            </w:r>
          </w:p>
        </w:tc>
        <w:tc>
          <w:tcPr>
            <w:tcW w:w="57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163.4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1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12.7</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20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9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60.1</w:t>
            </w:r>
          </w:p>
        </w:tc>
        <w:tc>
          <w:tcPr>
            <w:tcW w:w="73"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59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7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114.2</w:t>
            </w:r>
          </w:p>
        </w:tc>
        <w:tc>
          <w:tcPr>
            <w:tcW w:w="71"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57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103.4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10.8</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2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97"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6.0</w:t>
            </w:r>
          </w:p>
        </w:tc>
        <w:tc>
          <w:tcPr>
            <w:tcW w:w="73" w:type="dxa"/>
            <w:tcBorders/>
            <w:shd w:fill="FFFFFF" w:val="clear"/>
            <w:vAlign w:val="center"/>
          </w:tcPr>
          <w:p>
            <w:pPr>
              <w:pStyle w:val="TableContents"/>
              <w:bidi w:val="0"/>
              <w:spacing w:before="0" w:after="0"/>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97"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19"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0.7</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10</w:t>
            </w:r>
            <w:r>
              <w:rPr>
                <w:rFonts w:ascii="Times New Roman" w:hAnsi="Times New Roman"/>
                <w:sz w:val="20"/>
              </w:rPr>
              <w:t>)</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7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12.1</w:t>
            </w:r>
          </w:p>
        </w:tc>
        <w:tc>
          <w:tcPr>
            <w:tcW w:w="71" w:type="dxa"/>
            <w:tcBorders/>
            <w:shd w:fill="FFFFFF" w:val="clear"/>
            <w:vAlign w:val="center"/>
          </w:tcPr>
          <w:p>
            <w:pPr>
              <w:pStyle w:val="TableContents"/>
              <w:bidi w:val="0"/>
              <w:spacing w:before="0" w:after="0"/>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7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14.0</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19"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1.9</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14</w:t>
            </w:r>
            <w:r>
              <w:rPr>
                <w:rFonts w:ascii="Times New Roman" w:hAnsi="Times New Roman"/>
                <w:sz w:val="20"/>
              </w:rPr>
              <w:t>)</w:t>
            </w:r>
          </w:p>
        </w:tc>
        <w:tc>
          <w:tcPr>
            <w:tcW w:w="20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59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392.3</w:t>
            </w:r>
          </w:p>
        </w:tc>
        <w:tc>
          <w:tcPr>
            <w:tcW w:w="73" w:type="dxa"/>
            <w:tcBorders/>
            <w:shd w:fill="CCEEFF" w:val="clear"/>
            <w:vAlign w:val="center"/>
          </w:tcPr>
          <w:p>
            <w:pPr>
              <w:pStyle w:val="TableContents"/>
              <w:bidi w:val="0"/>
              <w:spacing w:before="0" w:after="0"/>
              <w:jc w:val="left"/>
              <w:rPr/>
            </w:pPr>
            <w:r>
              <w:rPr/>
              <w:t> </w:t>
            </w:r>
          </w:p>
        </w:tc>
        <w:tc>
          <w:tcPr>
            <w:tcW w:w="1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59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374.5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11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17.8</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5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764.9</w:t>
            </w:r>
          </w:p>
        </w:tc>
        <w:tc>
          <w:tcPr>
            <w:tcW w:w="71" w:type="dxa"/>
            <w:tcBorders/>
            <w:shd w:fill="CCEEFF" w:val="clear"/>
            <w:vAlign w:val="center"/>
          </w:tcPr>
          <w:p>
            <w:pPr>
              <w:pStyle w:val="TableContents"/>
              <w:bidi w:val="0"/>
              <w:spacing w:before="0" w:after="0"/>
              <w:jc w:val="left"/>
              <w:rPr/>
            </w:pPr>
            <w:r>
              <w:rPr/>
              <w:t> </w:t>
            </w:r>
          </w:p>
        </w:tc>
        <w:tc>
          <w:tcPr>
            <w:tcW w:w="14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5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721.9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11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43.0</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2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FFFFFF" w:val="clear"/>
            <w:vAlign w:val="center"/>
          </w:tcPr>
          <w:p>
            <w:pPr>
              <w:pStyle w:val="TableContents"/>
              <w:bidi w:val="0"/>
              <w:spacing w:before="0" w:after="0"/>
              <w:ind w:left="432" w:right="0" w:hanging="0"/>
              <w:jc w:val="left"/>
              <w:rPr>
                <w:rFonts w:ascii="Times New Roman" w:hAnsi="Times New Roman"/>
                <w:sz w:val="20"/>
              </w:rPr>
            </w:pPr>
            <w:r>
              <w:rPr>
                <w:rFonts w:ascii="Times New Roman" w:hAnsi="Times New Roman"/>
                <w:sz w:val="20"/>
              </w:rPr>
              <w:t>Operating income</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65.6</w:t>
            </w:r>
          </w:p>
        </w:tc>
        <w:tc>
          <w:tcPr>
            <w:tcW w:w="73" w:type="dxa"/>
            <w:tcBorders/>
            <w:shd w:fill="FFFFFF" w:val="clear"/>
            <w:vAlign w:val="center"/>
          </w:tcPr>
          <w:p>
            <w:pPr>
              <w:pStyle w:val="TableContents"/>
              <w:bidi w:val="0"/>
              <w:spacing w:before="0" w:after="0"/>
              <w:jc w:val="left"/>
              <w:rPr/>
            </w:pPr>
            <w:r>
              <w:rPr/>
              <w:t> </w:t>
            </w:r>
          </w:p>
        </w:tc>
        <w:tc>
          <w:tcPr>
            <w:tcW w:w="15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47.3</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18.3</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110.7</w:t>
            </w:r>
          </w:p>
        </w:tc>
        <w:tc>
          <w:tcPr>
            <w:tcW w:w="71" w:type="dxa"/>
            <w:tcBorders/>
            <w:shd w:fill="FFFFFF" w:val="clear"/>
            <w:vAlign w:val="center"/>
          </w:tcPr>
          <w:p>
            <w:pPr>
              <w:pStyle w:val="TableContents"/>
              <w:bidi w:val="0"/>
              <w:spacing w:before="0" w:after="0"/>
              <w:jc w:val="left"/>
              <w:rPr/>
            </w:pPr>
            <w:r>
              <w:rPr/>
              <w:t> </w:t>
            </w:r>
          </w:p>
        </w:tc>
        <w:tc>
          <w:tcPr>
            <w:tcW w:w="14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84.5</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26.2</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w:t>
            </w:r>
          </w:p>
        </w:tc>
        <w:tc>
          <w:tcPr>
            <w:tcW w:w="20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Transactions processed (millions)</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597"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46.1</w:t>
            </w:r>
          </w:p>
        </w:tc>
        <w:tc>
          <w:tcPr>
            <w:tcW w:w="73" w:type="dxa"/>
            <w:tcBorders/>
            <w:shd w:fill="CCEEFF" w:val="clear"/>
            <w:vAlign w:val="center"/>
          </w:tcPr>
          <w:p>
            <w:pPr>
              <w:pStyle w:val="TableContents"/>
              <w:bidi w:val="0"/>
              <w:spacing w:before="0" w:after="0"/>
              <w:jc w:val="left"/>
              <w:rPr/>
            </w:pPr>
            <w:r>
              <w:rPr/>
              <w:t> </w:t>
            </w:r>
          </w:p>
        </w:tc>
        <w:tc>
          <w:tcPr>
            <w:tcW w:w="153"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597"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44.3</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119"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576"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90.7</w:t>
            </w:r>
          </w:p>
        </w:tc>
        <w:tc>
          <w:tcPr>
            <w:tcW w:w="71" w:type="dxa"/>
            <w:tcBorders/>
            <w:shd w:fill="CCEEFF" w:val="clear"/>
            <w:vAlign w:val="center"/>
          </w:tcPr>
          <w:p>
            <w:pPr>
              <w:pStyle w:val="TableContents"/>
              <w:bidi w:val="0"/>
              <w:spacing w:before="0" w:after="0"/>
              <w:jc w:val="left"/>
              <w:rPr/>
            </w:pPr>
            <w:r>
              <w:rPr/>
              <w:t> </w:t>
            </w:r>
          </w:p>
        </w:tc>
        <w:tc>
          <w:tcPr>
            <w:tcW w:w="148"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576"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84.9</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119"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5.8</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2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Revenues</w:t>
      </w:r>
    </w:p>
    <w:p>
      <w:pPr>
        <w:pStyle w:val="TextBody"/>
        <w:bidi w:val="0"/>
        <w:spacing w:lineRule="atLeast" w:line="22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Money Transfer Segment total revenues were $457.9</w:t>
      </w:r>
      <w:r>
        <w:rPr>
          <w:rFonts w:ascii="Times New Roman" w:hAnsi="Times New Roman"/>
          <w:sz w:val="24"/>
        </w:rPr>
        <w:t xml:space="preserve"> </w:t>
      </w:r>
      <w:r>
        <w:rPr>
          <w:rFonts w:ascii="Times New Roman" w:hAnsi="Times New Roman"/>
          <w:sz w:val="20"/>
        </w:rPr>
        <w:t>million for the three months ended June 30, 2025, an increase</w:t>
      </w:r>
      <w:r>
        <w:rPr>
          <w:rFonts w:ascii="Times New Roman" w:hAnsi="Times New Roman"/>
          <w:sz w:val="24"/>
        </w:rPr>
        <w:t xml:space="preserve"> </w:t>
      </w:r>
      <w:r>
        <w:rPr>
          <w:rFonts w:ascii="Times New Roman" w:hAnsi="Times New Roman"/>
          <w:sz w:val="20"/>
        </w:rPr>
        <w:t>of $36.1</w:t>
      </w:r>
      <w:r>
        <w:rPr>
          <w:rFonts w:ascii="Times New Roman" w:hAnsi="Times New Roman"/>
          <w:sz w:val="24"/>
        </w:rPr>
        <w:t xml:space="preserve"> </w:t>
      </w:r>
      <w:r>
        <w:rPr>
          <w:rFonts w:ascii="Times New Roman" w:hAnsi="Times New Roman"/>
          <w:sz w:val="20"/>
        </w:rPr>
        <w:t>million or 9% compared to the same period in 2024. Money Transfer Segment total revenues were $875.6</w:t>
      </w:r>
      <w:r>
        <w:rPr>
          <w:rFonts w:ascii="Times New Roman" w:hAnsi="Times New Roman"/>
          <w:sz w:val="24"/>
        </w:rPr>
        <w:t xml:space="preserve"> </w:t>
      </w:r>
      <w:r>
        <w:rPr>
          <w:rFonts w:ascii="Times New Roman" w:hAnsi="Times New Roman"/>
          <w:sz w:val="20"/>
        </w:rPr>
        <w:t>million for the six months ended June 30, 2025, an increase</w:t>
      </w:r>
      <w:r>
        <w:rPr>
          <w:rFonts w:ascii="Times New Roman" w:hAnsi="Times New Roman"/>
          <w:sz w:val="24"/>
        </w:rPr>
        <w:t xml:space="preserve"> </w:t>
      </w:r>
      <w:r>
        <w:rPr>
          <w:rFonts w:ascii="Times New Roman" w:hAnsi="Times New Roman"/>
          <w:sz w:val="20"/>
        </w:rPr>
        <w:t>of $69.2</w:t>
      </w:r>
      <w:r>
        <w:rPr>
          <w:rFonts w:ascii="Times New Roman" w:hAnsi="Times New Roman"/>
          <w:sz w:val="24"/>
        </w:rPr>
        <w:t xml:space="preserve"> </w:t>
      </w:r>
      <w:r>
        <w:rPr>
          <w:rFonts w:ascii="Times New Roman" w:hAnsi="Times New Roman"/>
          <w:sz w:val="20"/>
        </w:rPr>
        <w:t>million or 9% compared to the same period in 2024. The increase in revenues was primarily driven by double-digit growth in cross-border transactions, partially offset by a decrease in intra-U.S. transactions. Direct-to-consumer digital transactions grew by 29%, reflecting strong consumer demand for digital products. Revenues per transaction increased to $9.92 and $9.65 for the three and six months ended June 30, 2025, compared to $9.52 and $9.50 for the same period in 2024</w:t>
      </w:r>
      <w:r>
        <w:rPr>
          <w:rFonts w:ascii="Times New Roman" w:hAnsi="Times New Roman"/>
          <w:sz w:val="24"/>
        </w:rPr>
        <w:t xml:space="preserve"> </w:t>
      </w:r>
      <w:r>
        <w:rPr>
          <w:rFonts w:ascii="Times New Roman" w:hAnsi="Times New Roman"/>
          <w:sz w:val="20"/>
        </w:rPr>
        <w:t>due to foreign currency fluctuations. Fluctuations in foreign currency exchange rates increased revenues by approximately $11.6 million and $0.8 million for the three and six months ended June 30, 2025, compared to the same period in 2024.</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Direct operating costs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Money Transfer Segment direct operating costs were $238.0</w:t>
      </w:r>
      <w:r>
        <w:rPr>
          <w:rFonts w:ascii="Times New Roman" w:hAnsi="Times New Roman"/>
          <w:sz w:val="24"/>
        </w:rPr>
        <w:t xml:space="preserve"> </w:t>
      </w:r>
      <w:r>
        <w:rPr>
          <w:rFonts w:ascii="Times New Roman" w:hAnsi="Times New Roman"/>
          <w:sz w:val="20"/>
        </w:rPr>
        <w:t>million for the three months ended June 30, 2025, an increase</w:t>
      </w:r>
      <w:r>
        <w:rPr>
          <w:rFonts w:ascii="Times New Roman" w:hAnsi="Times New Roman"/>
          <w:sz w:val="24"/>
        </w:rPr>
        <w:t xml:space="preserve"> </w:t>
      </w:r>
      <w:r>
        <w:rPr>
          <w:rFonts w:ascii="Times New Roman" w:hAnsi="Times New Roman"/>
          <w:sz w:val="20"/>
        </w:rPr>
        <w:t>of $6.3</w:t>
      </w:r>
      <w:r>
        <w:rPr>
          <w:rFonts w:ascii="Times New Roman" w:hAnsi="Times New Roman"/>
          <w:sz w:val="24"/>
        </w:rPr>
        <w:t xml:space="preserve"> </w:t>
      </w:r>
      <w:r>
        <w:rPr>
          <w:rFonts w:ascii="Times New Roman" w:hAnsi="Times New Roman"/>
          <w:sz w:val="20"/>
        </w:rPr>
        <w:t>million or 3% compared to the same period in 2024. Money Transfer Segment direct operating costs were $462.5</w:t>
      </w:r>
      <w:r>
        <w:rPr>
          <w:rFonts w:ascii="Times New Roman" w:hAnsi="Times New Roman"/>
          <w:sz w:val="24"/>
        </w:rPr>
        <w:t xml:space="preserve"> </w:t>
      </w:r>
      <w:r>
        <w:rPr>
          <w:rFonts w:ascii="Times New Roman" w:hAnsi="Times New Roman"/>
          <w:sz w:val="20"/>
        </w:rPr>
        <w:t>million for the six months ended June 30, 2025, an increase</w:t>
      </w:r>
      <w:r>
        <w:rPr>
          <w:rFonts w:ascii="Times New Roman" w:hAnsi="Times New Roman"/>
          <w:sz w:val="24"/>
        </w:rPr>
        <w:t xml:space="preserve"> </w:t>
      </w:r>
      <w:r>
        <w:rPr>
          <w:rFonts w:ascii="Times New Roman" w:hAnsi="Times New Roman"/>
          <w:sz w:val="20"/>
        </w:rPr>
        <w:t>of $21.4</w:t>
      </w:r>
      <w:r>
        <w:rPr>
          <w:rFonts w:ascii="Times New Roman" w:hAnsi="Times New Roman"/>
          <w:sz w:val="24"/>
        </w:rPr>
        <w:t xml:space="preserve"> </w:t>
      </w:r>
      <w:r>
        <w:rPr>
          <w:rFonts w:ascii="Times New Roman" w:hAnsi="Times New Roman"/>
          <w:sz w:val="20"/>
        </w:rPr>
        <w:t>million or 5% compared to the same period in 2024. Direct operating costs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was primarily due to the increase in the number of international-originated and U.S. outbound money transfer transactions. Fluctuations in foreign currency exchange rates increased direct costs by approximately $5.9 million and $0.2 million for the three and six months ended June 30, 2025, compared to the same period in 2024.</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Gross profit</w:t>
      </w:r>
    </w:p>
    <w:p>
      <w:pPr>
        <w:pStyle w:val="TextBody"/>
        <w:bidi w:val="0"/>
        <w:spacing w:lineRule="atLeast" w:line="240" w:before="0" w:after="0"/>
        <w:jc w:val="both"/>
        <w:rPr/>
      </w:pPr>
      <w:r>
        <w:rPr/>
        <w:t> </w:t>
      </w:r>
    </w:p>
    <w:p>
      <w:pPr>
        <w:pStyle w:val="TextBody"/>
        <w:bidi w:val="0"/>
        <w:spacing w:lineRule="atLeast" w:line="240" w:before="0" w:after="120"/>
        <w:jc w:val="both"/>
        <w:rPr>
          <w:rFonts w:ascii="Times New Roman" w:hAnsi="Times New Roman"/>
          <w:sz w:val="24"/>
        </w:rPr>
      </w:pPr>
      <w:r>
        <w:rPr>
          <w:rFonts w:ascii="Times New Roman" w:hAnsi="Times New Roman"/>
          <w:sz w:val="20"/>
        </w:rPr>
        <w:t>Gross profit was $219.9</w:t>
      </w:r>
      <w:r>
        <w:rPr>
          <w:rFonts w:ascii="Times New Roman" w:hAnsi="Times New Roman"/>
          <w:sz w:val="24"/>
        </w:rPr>
        <w:t xml:space="preserve"> </w:t>
      </w:r>
      <w:r>
        <w:rPr>
          <w:rFonts w:ascii="Times New Roman" w:hAnsi="Times New Roman"/>
          <w:sz w:val="20"/>
        </w:rPr>
        <w:t>million for the three months ended June 30, 2025, an increase</w:t>
      </w:r>
      <w:r>
        <w:rPr>
          <w:rFonts w:ascii="Times New Roman" w:hAnsi="Times New Roman"/>
          <w:sz w:val="24"/>
        </w:rPr>
        <w:t xml:space="preserve"> </w:t>
      </w:r>
      <w:r>
        <w:rPr>
          <w:rFonts w:ascii="Times New Roman" w:hAnsi="Times New Roman"/>
          <w:sz w:val="20"/>
        </w:rPr>
        <w:t>of $29.8</w:t>
      </w:r>
      <w:r>
        <w:rPr>
          <w:rFonts w:ascii="Times New Roman" w:hAnsi="Times New Roman"/>
          <w:sz w:val="24"/>
        </w:rPr>
        <w:t xml:space="preserve"> </w:t>
      </w:r>
      <w:r>
        <w:rPr>
          <w:rFonts w:ascii="Times New Roman" w:hAnsi="Times New Roman"/>
          <w:sz w:val="20"/>
        </w:rPr>
        <w:t>million or 16% compared to $190.1</w:t>
      </w:r>
      <w:r>
        <w:rPr>
          <w:rFonts w:ascii="Times New Roman" w:hAnsi="Times New Roman"/>
          <w:sz w:val="24"/>
        </w:rPr>
        <w:t xml:space="preserve"> </w:t>
      </w:r>
      <w:r>
        <w:rPr>
          <w:rFonts w:ascii="Times New Roman" w:hAnsi="Times New Roman"/>
          <w:sz w:val="20"/>
        </w:rPr>
        <w:t>million for the same period in 2024. Gross profit was $413.1</w:t>
      </w:r>
      <w:r>
        <w:rPr>
          <w:rFonts w:ascii="Times New Roman" w:hAnsi="Times New Roman"/>
          <w:sz w:val="24"/>
        </w:rPr>
        <w:t xml:space="preserve"> </w:t>
      </w:r>
      <w:r>
        <w:rPr>
          <w:rFonts w:ascii="Times New Roman" w:hAnsi="Times New Roman"/>
          <w:sz w:val="20"/>
        </w:rPr>
        <w:t>million for the six months ended June 30, 2025, an increase</w:t>
      </w:r>
      <w:r>
        <w:rPr>
          <w:rFonts w:ascii="Times New Roman" w:hAnsi="Times New Roman"/>
          <w:sz w:val="24"/>
        </w:rPr>
        <w:t xml:space="preserve"> </w:t>
      </w:r>
      <w:r>
        <w:rPr>
          <w:rFonts w:ascii="Times New Roman" w:hAnsi="Times New Roman"/>
          <w:sz w:val="20"/>
        </w:rPr>
        <w:t>of $47.8</w:t>
      </w:r>
      <w:r>
        <w:rPr>
          <w:rFonts w:ascii="Times New Roman" w:hAnsi="Times New Roman"/>
          <w:sz w:val="24"/>
        </w:rPr>
        <w:t xml:space="preserve"> </w:t>
      </w:r>
      <w:r>
        <w:rPr>
          <w:rFonts w:ascii="Times New Roman" w:hAnsi="Times New Roman"/>
          <w:sz w:val="20"/>
        </w:rPr>
        <w:t>million or 13% compared to $365.3</w:t>
      </w:r>
      <w:r>
        <w:rPr>
          <w:rFonts w:ascii="Times New Roman" w:hAnsi="Times New Roman"/>
          <w:sz w:val="24"/>
        </w:rPr>
        <w:t xml:space="preserve"> </w:t>
      </w:r>
      <w:r>
        <w:rPr>
          <w:rFonts w:ascii="Times New Roman" w:hAnsi="Times New Roman"/>
          <w:sz w:val="20"/>
        </w:rPr>
        <w:t>million for the same period in 2024. Gross margin increased to 48.0% and 47.2% for the three and six months ended June 30, 2025, compared to 45.1% and 45.3% for the same period in 2024. The increase in gross profit and gross margin was primarily due to increases in international-originated money transfers, U.S. outbound transactions and direct-to-consumer digital transactions.</w:t>
      </w:r>
    </w:p>
    <w:p>
      <w:pPr>
        <w:pStyle w:val="TextBody"/>
        <w:bidi w:val="0"/>
        <w:spacing w:before="0" w:after="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i/>
          <w:sz w:val="20"/>
        </w:rPr>
      </w:pPr>
      <w:r>
        <w:rPr>
          <w:rFonts w:ascii="Times New Roman" w:hAnsi="Times New Roman"/>
          <w:i/>
          <w:sz w:val="20"/>
        </w:rPr>
        <w:t>Salaries and benefits</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Salaries and benefits expenses were $88.2</w:t>
      </w:r>
      <w:r>
        <w:rPr>
          <w:rFonts w:ascii="Times New Roman" w:hAnsi="Times New Roman"/>
          <w:sz w:val="24"/>
        </w:rPr>
        <w:t xml:space="preserve"> </w:t>
      </w:r>
      <w:r>
        <w:rPr>
          <w:rFonts w:ascii="Times New Roman" w:hAnsi="Times New Roman"/>
          <w:sz w:val="20"/>
        </w:rPr>
        <w:t>million for the three months ended June 30, 2025, an increase</w:t>
      </w:r>
      <w:r>
        <w:rPr>
          <w:rFonts w:ascii="Times New Roman" w:hAnsi="Times New Roman"/>
          <w:sz w:val="24"/>
        </w:rPr>
        <w:t xml:space="preserve"> </w:t>
      </w:r>
      <w:r>
        <w:rPr>
          <w:rFonts w:ascii="Times New Roman" w:hAnsi="Times New Roman"/>
          <w:sz w:val="20"/>
        </w:rPr>
        <w:t>of $5.5</w:t>
      </w:r>
      <w:r>
        <w:rPr>
          <w:rFonts w:ascii="Times New Roman" w:hAnsi="Times New Roman"/>
          <w:sz w:val="24"/>
        </w:rPr>
        <w:t xml:space="preserve"> </w:t>
      </w:r>
      <w:r>
        <w:rPr>
          <w:rFonts w:ascii="Times New Roman" w:hAnsi="Times New Roman"/>
          <w:sz w:val="20"/>
        </w:rPr>
        <w:t>million or 7% compared to</w:t>
      </w:r>
      <w:r>
        <w:rPr>
          <w:rFonts w:ascii="Times New Roman" w:hAnsi="Times New Roman"/>
          <w:sz w:val="24"/>
        </w:rPr>
        <w:t> </w:t>
      </w:r>
      <w:r>
        <w:rPr>
          <w:rFonts w:ascii="Times New Roman" w:hAnsi="Times New Roman"/>
          <w:sz w:val="20"/>
        </w:rPr>
        <w:t>the same period in</w:t>
      </w:r>
      <w:r>
        <w:rPr>
          <w:rFonts w:ascii="Times New Roman" w:hAnsi="Times New Roman"/>
          <w:sz w:val="24"/>
        </w:rPr>
        <w:t> </w:t>
      </w:r>
      <w:r>
        <w:rPr>
          <w:rFonts w:ascii="Times New Roman" w:hAnsi="Times New Roman"/>
          <w:sz w:val="20"/>
        </w:rPr>
        <w:t>2024. Salaries and benefits expenses were $176.1</w:t>
      </w:r>
      <w:r>
        <w:rPr>
          <w:rFonts w:ascii="Times New Roman" w:hAnsi="Times New Roman"/>
          <w:sz w:val="24"/>
        </w:rPr>
        <w:t xml:space="preserve"> </w:t>
      </w:r>
      <w:r>
        <w:rPr>
          <w:rFonts w:ascii="Times New Roman" w:hAnsi="Times New Roman"/>
          <w:sz w:val="20"/>
        </w:rPr>
        <w:t>million for the six months ended June 30, 2025, an increase</w:t>
      </w:r>
      <w:r>
        <w:rPr>
          <w:rFonts w:ascii="Times New Roman" w:hAnsi="Times New Roman"/>
          <w:sz w:val="24"/>
        </w:rPr>
        <w:t xml:space="preserve"> </w:t>
      </w:r>
      <w:r>
        <w:rPr>
          <w:rFonts w:ascii="Times New Roman" w:hAnsi="Times New Roman"/>
          <w:sz w:val="20"/>
        </w:rPr>
        <w:t>of $12.7</w:t>
      </w:r>
      <w:r>
        <w:rPr>
          <w:rFonts w:ascii="Times New Roman" w:hAnsi="Times New Roman"/>
          <w:sz w:val="24"/>
        </w:rPr>
        <w:t xml:space="preserve"> </w:t>
      </w:r>
      <w:r>
        <w:rPr>
          <w:rFonts w:ascii="Times New Roman" w:hAnsi="Times New Roman"/>
          <w:sz w:val="20"/>
        </w:rPr>
        <w:t>million or 8% compared to</w:t>
      </w:r>
      <w:r>
        <w:rPr>
          <w:rFonts w:ascii="Times New Roman" w:hAnsi="Times New Roman"/>
          <w:sz w:val="24"/>
        </w:rPr>
        <w:t> </w:t>
      </w:r>
      <w:r>
        <w:rPr>
          <w:rFonts w:ascii="Times New Roman" w:hAnsi="Times New Roman"/>
          <w:sz w:val="20"/>
        </w:rPr>
        <w:t>the same period in</w:t>
      </w:r>
      <w:r>
        <w:rPr>
          <w:rFonts w:ascii="Times New Roman" w:hAnsi="Times New Roman"/>
          <w:sz w:val="24"/>
        </w:rPr>
        <w:t> </w:t>
      </w:r>
      <w:r>
        <w:rPr>
          <w:rFonts w:ascii="Times New Roman" w:hAnsi="Times New Roman"/>
          <w:sz w:val="20"/>
        </w:rPr>
        <w:t>2024. The increase in salaries and benefits was primarily driven by an increase in</w:t>
      </w:r>
      <w:r>
        <w:rPr>
          <w:rFonts w:ascii="Times New Roman" w:hAnsi="Times New Roman"/>
          <w:sz w:val="24"/>
        </w:rPr>
        <w:t> </w:t>
      </w:r>
      <w:r>
        <w:rPr>
          <w:rFonts w:ascii="Times New Roman" w:hAnsi="Times New Roman"/>
          <w:sz w:val="20"/>
        </w:rPr>
        <w:t>headcount to support the growth of the business and salary increases due to inflationary pressures. As a percentage of revenues, these expenses were 19.3% and 20.1% for the</w:t>
      </w:r>
      <w:r>
        <w:rPr>
          <w:rFonts w:ascii="Times New Roman" w:hAnsi="Times New Roman"/>
          <w:sz w:val="24"/>
        </w:rPr>
        <w:t> </w:t>
      </w:r>
      <w:r>
        <w:rPr>
          <w:rFonts w:ascii="Times New Roman" w:hAnsi="Times New Roman"/>
          <w:sz w:val="20"/>
        </w:rPr>
        <w:t>three and six months ended June 30, 2025, compared to 19.6% and 20.3% for</w:t>
      </w:r>
      <w:r>
        <w:rPr>
          <w:rFonts w:ascii="Times New Roman" w:hAnsi="Times New Roman"/>
          <w:sz w:val="24"/>
        </w:rPr>
        <w:t> </w:t>
      </w:r>
      <w:r>
        <w:rPr>
          <w:rFonts w:ascii="Times New Roman" w:hAnsi="Times New Roman"/>
          <w:sz w:val="20"/>
        </w:rPr>
        <w:t>the same period in</w:t>
      </w:r>
      <w:r>
        <w:rPr>
          <w:rFonts w:ascii="Times New Roman" w:hAnsi="Times New Roman"/>
          <w:sz w:val="24"/>
        </w:rPr>
        <w:t> </w:t>
      </w:r>
      <w:r>
        <w:rPr>
          <w:rFonts w:ascii="Times New Roman" w:hAnsi="Times New Roman"/>
          <w:sz w:val="20"/>
        </w:rPr>
        <w:t>2024.</w:t>
      </w:r>
      <w:r>
        <w:rPr>
          <w:rFonts w:ascii="Times New Roman" w:hAnsi="Times New Roman"/>
          <w:sz w:val="24"/>
        </w:rPr>
        <w:t> </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i/>
          <w:sz w:val="20"/>
        </w:rPr>
        <w:t>Selling, general and administrative</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Selling, general and administrative expenses were $60.1</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three months ended June 30, 2025, an increase</w:t>
      </w:r>
      <w:r>
        <w:rPr>
          <w:rFonts w:ascii="Times New Roman" w:hAnsi="Times New Roman"/>
          <w:sz w:val="24"/>
        </w:rPr>
        <w:t xml:space="preserve"> </w:t>
      </w:r>
      <w:r>
        <w:rPr>
          <w:rFonts w:ascii="Times New Roman" w:hAnsi="Times New Roman"/>
          <w:sz w:val="20"/>
        </w:rPr>
        <w:t>of $6.7</w:t>
      </w:r>
      <w:r>
        <w:rPr>
          <w:rFonts w:ascii="Times New Roman" w:hAnsi="Times New Roman"/>
          <w:sz w:val="24"/>
        </w:rPr>
        <w:t xml:space="preserve"> </w:t>
      </w:r>
      <w:r>
        <w:rPr>
          <w:rFonts w:ascii="Times New Roman" w:hAnsi="Times New Roman"/>
          <w:sz w:val="20"/>
        </w:rPr>
        <w:t>million or 13% compared to the same period in</w:t>
      </w:r>
      <w:r>
        <w:rPr>
          <w:rFonts w:ascii="Times New Roman" w:hAnsi="Times New Roman"/>
          <w:sz w:val="24"/>
        </w:rPr>
        <w:t> </w:t>
      </w:r>
      <w:r>
        <w:rPr>
          <w:rFonts w:ascii="Times New Roman" w:hAnsi="Times New Roman"/>
          <w:sz w:val="20"/>
        </w:rPr>
        <w:t>2024. Selling, general and administrative expenses were $114.2</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six months ended June 30, 2025,</w:t>
      </w:r>
      <w:r>
        <w:rPr>
          <w:rFonts w:ascii="Times New Roman" w:hAnsi="Times New Roman"/>
          <w:sz w:val="24"/>
        </w:rPr>
        <w:t> </w:t>
      </w:r>
      <w:r>
        <w:rPr>
          <w:rFonts w:ascii="Times New Roman" w:hAnsi="Times New Roman"/>
          <w:sz w:val="20"/>
        </w:rPr>
        <w:t>an increase</w:t>
      </w:r>
      <w:r>
        <w:rPr>
          <w:rFonts w:ascii="Times New Roman" w:hAnsi="Times New Roman"/>
          <w:sz w:val="24"/>
        </w:rPr>
        <w:t xml:space="preserve"> </w:t>
      </w:r>
      <w:r>
        <w:rPr>
          <w:rFonts w:ascii="Times New Roman" w:hAnsi="Times New Roman"/>
          <w:sz w:val="20"/>
        </w:rPr>
        <w:t>of $10.8</w:t>
      </w:r>
      <w:r>
        <w:rPr>
          <w:rFonts w:ascii="Times New Roman" w:hAnsi="Times New Roman"/>
          <w:sz w:val="24"/>
        </w:rPr>
        <w:t xml:space="preserve"> </w:t>
      </w:r>
      <w:r>
        <w:rPr>
          <w:rFonts w:ascii="Times New Roman" w:hAnsi="Times New Roman"/>
          <w:sz w:val="20"/>
        </w:rPr>
        <w:t>million or 10% compared to the same period in</w:t>
      </w:r>
      <w:r>
        <w:rPr>
          <w:rFonts w:ascii="Times New Roman" w:hAnsi="Times New Roman"/>
          <w:sz w:val="24"/>
        </w:rPr>
        <w:t> </w:t>
      </w:r>
      <w:r>
        <w:rPr>
          <w:rFonts w:ascii="Times New Roman" w:hAnsi="Times New Roman"/>
          <w:sz w:val="20"/>
        </w:rPr>
        <w:t>2024. The increase in selling, general and administrative expenses are primarily attributed to higher professional fees related to the implementation of a new fraud and risk management system and an increase in bad debt expenses.</w:t>
      </w:r>
      <w:r>
        <w:rPr>
          <w:rFonts w:ascii="Times New Roman" w:hAnsi="Times New Roman"/>
          <w:sz w:val="24"/>
        </w:rPr>
        <w:t> </w:t>
      </w:r>
      <w:r>
        <w:rPr>
          <w:rFonts w:ascii="Times New Roman" w:hAnsi="Times New Roman"/>
          <w:sz w:val="20"/>
        </w:rPr>
        <w:t>As a percentage of revenues, these expenses were 13.1% and 13.0% for both the</w:t>
      </w:r>
      <w:r>
        <w:rPr>
          <w:rFonts w:ascii="Times New Roman" w:hAnsi="Times New Roman"/>
          <w:sz w:val="24"/>
        </w:rPr>
        <w:t> </w:t>
      </w:r>
      <w:r>
        <w:rPr>
          <w:rFonts w:ascii="Times New Roman" w:hAnsi="Times New Roman"/>
          <w:sz w:val="20"/>
        </w:rPr>
        <w:t>three and six months ended June 30, 2025, compared to 12.7% and 12.8% for the same period in 2024.</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i/>
          <w:sz w:val="20"/>
        </w:rPr>
        <w:t>Depreciation and amortization</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Depreciation and amortization expenses were $6.0</w:t>
      </w:r>
      <w:r>
        <w:rPr>
          <w:rFonts w:ascii="Times New Roman" w:hAnsi="Times New Roman"/>
          <w:sz w:val="24"/>
        </w:rPr>
        <w:t xml:space="preserve"> </w:t>
      </w:r>
      <w:r>
        <w:rPr>
          <w:rFonts w:ascii="Times New Roman" w:hAnsi="Times New Roman"/>
          <w:sz w:val="20"/>
        </w:rPr>
        <w:t>million for the three months ended June 30, 2025, a decrease</w:t>
      </w:r>
      <w:r>
        <w:rPr>
          <w:rFonts w:ascii="Times New Roman" w:hAnsi="Times New Roman"/>
          <w:sz w:val="24"/>
        </w:rPr>
        <w:t> </w:t>
      </w:r>
      <w:r>
        <w:rPr>
          <w:rFonts w:ascii="Times New Roman" w:hAnsi="Times New Roman"/>
          <w:sz w:val="20"/>
        </w:rPr>
        <w:t>of $0.7</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or</w:t>
      </w:r>
      <w:r>
        <w:rPr>
          <w:rFonts w:ascii="Times New Roman" w:hAnsi="Times New Roman"/>
          <w:sz w:val="24"/>
        </w:rPr>
        <w:t> </w:t>
      </w:r>
      <w:r>
        <w:rPr>
          <w:rFonts w:ascii="Times New Roman" w:hAnsi="Times New Roman"/>
          <w:sz w:val="20"/>
        </w:rPr>
        <w:t>10% compared to the same period in</w:t>
      </w:r>
      <w:r>
        <w:rPr>
          <w:rFonts w:ascii="Times New Roman" w:hAnsi="Times New Roman"/>
          <w:sz w:val="24"/>
        </w:rPr>
        <w:t> </w:t>
      </w:r>
      <w:r>
        <w:rPr>
          <w:rFonts w:ascii="Times New Roman" w:hAnsi="Times New Roman"/>
          <w:sz w:val="20"/>
        </w:rPr>
        <w:t>2024. Depreciation and amortization expenses were $12.1</w:t>
      </w:r>
      <w:r>
        <w:rPr>
          <w:rFonts w:ascii="Times New Roman" w:hAnsi="Times New Roman"/>
          <w:sz w:val="24"/>
        </w:rPr>
        <w:t xml:space="preserve"> </w:t>
      </w:r>
      <w:r>
        <w:rPr>
          <w:rFonts w:ascii="Times New Roman" w:hAnsi="Times New Roman"/>
          <w:sz w:val="20"/>
        </w:rPr>
        <w:t>million for the six months ended June 30, 2025, a decrease</w:t>
      </w:r>
      <w:r>
        <w:rPr>
          <w:rFonts w:ascii="Times New Roman" w:hAnsi="Times New Roman"/>
          <w:sz w:val="24"/>
        </w:rPr>
        <w:t> </w:t>
      </w:r>
      <w:r>
        <w:rPr>
          <w:rFonts w:ascii="Times New Roman" w:hAnsi="Times New Roman"/>
          <w:sz w:val="20"/>
        </w:rPr>
        <w:t>of $1.9</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or</w:t>
      </w:r>
      <w:r>
        <w:rPr>
          <w:rFonts w:ascii="Times New Roman" w:hAnsi="Times New Roman"/>
          <w:sz w:val="24"/>
        </w:rPr>
        <w:t> </w:t>
      </w:r>
      <w:r>
        <w:rPr>
          <w:rFonts w:ascii="Times New Roman" w:hAnsi="Times New Roman"/>
          <w:sz w:val="20"/>
        </w:rPr>
        <w:t>14% compared to the same period in</w:t>
      </w:r>
      <w:r>
        <w:rPr>
          <w:rFonts w:ascii="Times New Roman" w:hAnsi="Times New Roman"/>
          <w:sz w:val="24"/>
        </w:rPr>
        <w:t> </w:t>
      </w:r>
      <w:r>
        <w:rPr>
          <w:rFonts w:ascii="Times New Roman" w:hAnsi="Times New Roman"/>
          <w:sz w:val="20"/>
        </w:rPr>
        <w:t>2024. Depreciation and amortization expenses primarily represents amortization of acquired intangible assets and depreciation of money transfer terminals, computers and software, leasehold improvements and office equipment. As a percentage of revenues, these expenses decreased to 1.3% and 1.4% for the three and six months ended June 30, 2025, compared to 1.6%</w:t>
      </w:r>
      <w:r>
        <w:rPr>
          <w:rFonts w:ascii="Times New Roman" w:hAnsi="Times New Roman"/>
          <w:sz w:val="24"/>
        </w:rPr>
        <w:t> </w:t>
      </w:r>
      <w:r>
        <w:rPr>
          <w:rFonts w:ascii="Times New Roman" w:hAnsi="Times New Roman"/>
          <w:sz w:val="20"/>
        </w:rPr>
        <w:t>and 1.7% for the same period in</w:t>
      </w:r>
      <w:r>
        <w:rPr>
          <w:rFonts w:ascii="Times New Roman" w:hAnsi="Times New Roman"/>
          <w:sz w:val="24"/>
        </w:rPr>
        <w:t> </w:t>
      </w:r>
      <w:r>
        <w:rPr>
          <w:rFonts w:ascii="Times New Roman" w:hAnsi="Times New Roman"/>
          <w:sz w:val="20"/>
        </w:rPr>
        <w:t>2024.</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i/>
          <w:sz w:val="20"/>
        </w:rPr>
        <w:t>Operating income</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Money Transfer Segment operating income was $65.6</w:t>
      </w:r>
      <w:r>
        <w:rPr>
          <w:rFonts w:ascii="Times New Roman" w:hAnsi="Times New Roman"/>
          <w:sz w:val="24"/>
        </w:rPr>
        <w:t xml:space="preserve"> </w:t>
      </w:r>
      <w:r>
        <w:rPr>
          <w:rFonts w:ascii="Times New Roman" w:hAnsi="Times New Roman"/>
          <w:sz w:val="20"/>
        </w:rPr>
        <w:t>million for the</w:t>
      </w:r>
      <w:r>
        <w:rPr>
          <w:rFonts w:ascii="Times New Roman" w:hAnsi="Times New Roman"/>
          <w:sz w:val="24"/>
        </w:rPr>
        <w:t> </w:t>
      </w:r>
      <w:r>
        <w:rPr>
          <w:rFonts w:ascii="Times New Roman" w:hAnsi="Times New Roman"/>
          <w:sz w:val="20"/>
        </w:rPr>
        <w:t>three months ended June 30, 2025, an increase</w:t>
      </w:r>
      <w:r>
        <w:rPr>
          <w:rFonts w:ascii="Times New Roman" w:hAnsi="Times New Roman"/>
          <w:sz w:val="24"/>
        </w:rPr>
        <w:t> </w:t>
      </w:r>
      <w:r>
        <w:rPr>
          <w:rFonts w:ascii="Times New Roman" w:hAnsi="Times New Roman"/>
          <w:sz w:val="20"/>
        </w:rPr>
        <w:t>of $18.3</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or 39% compared to the same period in</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Money Transfer Segment operating income was $110.7</w:t>
      </w:r>
      <w:r>
        <w:rPr>
          <w:rFonts w:ascii="Times New Roman" w:hAnsi="Times New Roman"/>
          <w:sz w:val="24"/>
        </w:rPr>
        <w:t xml:space="preserve"> </w:t>
      </w:r>
      <w:r>
        <w:rPr>
          <w:rFonts w:ascii="Times New Roman" w:hAnsi="Times New Roman"/>
          <w:sz w:val="20"/>
        </w:rPr>
        <w:t>million for the</w:t>
      </w:r>
      <w:r>
        <w:rPr>
          <w:rFonts w:ascii="Times New Roman" w:hAnsi="Times New Roman"/>
          <w:sz w:val="24"/>
        </w:rPr>
        <w:t> </w:t>
      </w:r>
      <w:r>
        <w:rPr>
          <w:rFonts w:ascii="Times New Roman" w:hAnsi="Times New Roman"/>
          <w:sz w:val="20"/>
        </w:rPr>
        <w:t>six months ended June 30, 2025, an increase</w:t>
      </w:r>
      <w:r>
        <w:rPr>
          <w:rFonts w:ascii="Times New Roman" w:hAnsi="Times New Roman"/>
          <w:sz w:val="24"/>
        </w:rPr>
        <w:t> </w:t>
      </w:r>
      <w:r>
        <w:rPr>
          <w:rFonts w:ascii="Times New Roman" w:hAnsi="Times New Roman"/>
          <w:sz w:val="20"/>
        </w:rPr>
        <w:t>of $26.2</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or 31% compared to the same period in</w:t>
      </w:r>
      <w:r>
        <w:rPr>
          <w:rFonts w:ascii="Times New Roman" w:hAnsi="Times New Roman"/>
          <w:sz w:val="24"/>
        </w:rPr>
        <w:t> </w:t>
      </w:r>
      <w:r>
        <w:rPr>
          <w:rFonts w:ascii="Times New Roman" w:hAnsi="Times New Roman"/>
          <w:sz w:val="20"/>
        </w:rPr>
        <w:t>2024. Operating margin increased to 14.3% and 12.6% for the three and six months ended June 30, 2025,</w:t>
      </w:r>
      <w:r>
        <w:rPr>
          <w:rFonts w:ascii="Times New Roman" w:hAnsi="Times New Roman"/>
          <w:sz w:val="24"/>
        </w:rPr>
        <w:t> </w:t>
      </w:r>
      <w:r>
        <w:rPr>
          <w:rFonts w:ascii="Times New Roman" w:hAnsi="Times New Roman"/>
          <w:sz w:val="20"/>
        </w:rPr>
        <w:t>compared to 11.2% and 10.5% for the same period</w:t>
      </w:r>
      <w:r>
        <w:rPr>
          <w:rFonts w:ascii="Times New Roman" w:hAnsi="Times New Roman"/>
          <w:sz w:val="24"/>
        </w:rPr>
        <w:t> </w:t>
      </w:r>
      <w:r>
        <w:rPr>
          <w:rFonts w:ascii="Times New Roman" w:hAnsi="Times New Roman"/>
          <w:sz w:val="20"/>
        </w:rPr>
        <w:t>in</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Operating income per transaction increased to $1.42</w:t>
      </w:r>
      <w:r>
        <w:rPr>
          <w:rFonts w:ascii="Times New Roman" w:hAnsi="Times New Roman"/>
          <w:sz w:val="24"/>
        </w:rPr>
        <w:t> </w:t>
      </w:r>
      <w:r>
        <w:rPr>
          <w:rFonts w:ascii="Times New Roman" w:hAnsi="Times New Roman"/>
          <w:sz w:val="20"/>
        </w:rPr>
        <w:t>and $1.22</w:t>
      </w:r>
      <w:r>
        <w:rPr>
          <w:rFonts w:ascii="Times New Roman" w:hAnsi="Times New Roman"/>
          <w:sz w:val="24"/>
        </w:rPr>
        <w:t xml:space="preserve"> </w:t>
      </w:r>
      <w:r>
        <w:rPr>
          <w:rFonts w:ascii="Times New Roman" w:hAnsi="Times New Roman"/>
          <w:sz w:val="20"/>
        </w:rPr>
        <w:t>for the</w:t>
      </w:r>
      <w:r>
        <w:rPr>
          <w:rFonts w:ascii="Times New Roman" w:hAnsi="Times New Roman"/>
          <w:sz w:val="24"/>
        </w:rPr>
        <w:t> </w:t>
      </w:r>
      <w:r>
        <w:rPr>
          <w:rFonts w:ascii="Times New Roman" w:hAnsi="Times New Roman"/>
          <w:sz w:val="20"/>
        </w:rPr>
        <w:t>three and six months ended June 30, 2025, compared to $1.07</w:t>
      </w:r>
      <w:r>
        <w:rPr>
          <w:rFonts w:ascii="Times New Roman" w:hAnsi="Times New Roman"/>
          <w:sz w:val="24"/>
        </w:rPr>
        <w:t> </w:t>
      </w:r>
      <w:r>
        <w:rPr>
          <w:rFonts w:ascii="Times New Roman" w:hAnsi="Times New Roman"/>
          <w:sz w:val="20"/>
        </w:rPr>
        <w:t>and $1.00</w:t>
      </w:r>
      <w:r>
        <w:rPr>
          <w:rFonts w:ascii="Times New Roman" w:hAnsi="Times New Roman"/>
          <w:sz w:val="24"/>
        </w:rPr>
        <w:t xml:space="preserve"> </w:t>
      </w:r>
      <w:r>
        <w:rPr>
          <w:rFonts w:ascii="Times New Roman" w:hAnsi="Times New Roman"/>
          <w:sz w:val="20"/>
        </w:rPr>
        <w:t>for the same period in</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Operating income</w:t>
      </w:r>
      <w:r>
        <w:rPr>
          <w:rFonts w:ascii="Times New Roman" w:hAnsi="Times New Roman"/>
          <w:sz w:val="24"/>
        </w:rPr>
        <w:t> </w:t>
      </w:r>
      <w:r>
        <w:rPr>
          <w:rFonts w:ascii="Times New Roman" w:hAnsi="Times New Roman"/>
          <w:sz w:val="20"/>
        </w:rPr>
        <w:t>growth outpaced revenue growth due to gross margin expansion, leverage of scale and effective expense management.</w:t>
      </w:r>
    </w:p>
    <w:p>
      <w:pPr>
        <w:pStyle w:val="TextBody"/>
        <w:bidi w:val="0"/>
        <w:spacing w:before="0" w:after="0"/>
        <w:jc w:val="left"/>
        <w:rPr/>
      </w:pPr>
      <w:r>
        <w:rPr/>
        <w:t> </w:t>
      </w:r>
    </w:p>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sz w:val="24"/>
        </w:rPr>
      </w:pPr>
      <w:r>
        <w:rPr>
          <w:rFonts w:ascii="Times New Roman" w:hAnsi="Times New Roman"/>
          <w:b/>
          <w:sz w:val="20"/>
        </w:rPr>
        <w:t>CORPORATE SERVICES</w:t>
      </w:r>
      <w:r>
        <w:rPr>
          <w:rFonts w:ascii="Times New Roman" w:hAnsi="Times New Roman"/>
          <w:sz w:val="24"/>
        </w:rPr>
        <w:t> </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following table presents the operating expenses for the</w:t>
      </w:r>
      <w:r>
        <w:rPr>
          <w:rFonts w:ascii="Times New Roman" w:hAnsi="Times New Roman"/>
          <w:sz w:val="24"/>
        </w:rPr>
        <w:t> </w:t>
      </w:r>
      <w:r>
        <w:rPr>
          <w:rFonts w:ascii="Times New Roman" w:hAnsi="Times New Roman"/>
          <w:sz w:val="20"/>
        </w:rPr>
        <w:t>three and six months ended June 30, 2025</w:t>
      </w:r>
      <w:r>
        <w:rPr>
          <w:rFonts w:ascii="Times New Roman" w:hAnsi="Times New Roman"/>
          <w:sz w:val="24"/>
        </w:rPr>
        <w:t xml:space="preserve"> </w:t>
      </w:r>
      <w:r>
        <w:rPr>
          <w:rFonts w:ascii="Times New Roman" w:hAnsi="Times New Roman"/>
          <w:sz w:val="20"/>
        </w:rPr>
        <w:t>and</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for Corporate Services:</w:t>
      </w:r>
    </w:p>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70"/>
        <w:gridCol w:w="60"/>
        <w:gridCol w:w="125"/>
        <w:gridCol w:w="637"/>
        <w:gridCol w:w="100"/>
        <w:gridCol w:w="209"/>
        <w:gridCol w:w="637"/>
        <w:gridCol w:w="60"/>
        <w:gridCol w:w="125"/>
        <w:gridCol w:w="947"/>
        <w:gridCol w:w="60"/>
        <w:gridCol w:w="931"/>
        <w:gridCol w:w="185"/>
        <w:gridCol w:w="60"/>
        <w:gridCol w:w="60"/>
        <w:gridCol w:w="125"/>
        <w:gridCol w:w="597"/>
        <w:gridCol w:w="94"/>
        <w:gridCol w:w="196"/>
        <w:gridCol w:w="597"/>
        <w:gridCol w:w="60"/>
        <w:gridCol w:w="125"/>
        <w:gridCol w:w="947"/>
        <w:gridCol w:w="60"/>
        <w:gridCol w:w="931"/>
        <w:gridCol w:w="207"/>
      </w:tblGrid>
      <w:tr>
        <w:trPr/>
        <w:tc>
          <w:tcPr>
            <w:tcW w:w="207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58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938"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484"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938"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207" w:type="dxa"/>
            <w:tcBorders/>
            <w:vAlign w:val="center"/>
          </w:tcPr>
          <w:p>
            <w:pPr>
              <w:pStyle w:val="TableContents"/>
              <w:bidi w:val="0"/>
              <w:spacing w:before="0" w:after="0"/>
              <w:jc w:val="left"/>
              <w:rPr/>
            </w:pPr>
            <w:r>
              <w:rPr/>
              <w:t> </w:t>
            </w:r>
          </w:p>
        </w:tc>
      </w:tr>
      <w:tr>
        <w:trPr/>
        <w:tc>
          <w:tcPr>
            <w:tcW w:w="207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63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100" w:type="dxa"/>
            <w:tcBorders>
              <w:top w:val="single" w:sz="8" w:space="0" w:color="000000"/>
            </w:tcBorders>
            <w:tcMar>
              <w:top w:w="28" w:type="dxa"/>
            </w:tcMar>
            <w:vAlign w:val="center"/>
          </w:tcPr>
          <w:p>
            <w:pPr>
              <w:pStyle w:val="TableContents"/>
              <w:bidi w:val="0"/>
              <w:spacing w:before="0" w:after="0"/>
              <w:jc w:val="center"/>
              <w:rPr/>
            </w:pPr>
            <w:r>
              <w:rPr/>
              <w:t> </w:t>
            </w:r>
          </w:p>
        </w:tc>
        <w:tc>
          <w:tcPr>
            <w:tcW w:w="20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63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94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Amount</w:t>
            </w:r>
          </w:p>
        </w:tc>
        <w:tc>
          <w:tcPr>
            <w:tcW w:w="60" w:type="dxa"/>
            <w:tcBorders>
              <w:top w:val="single" w:sz="8" w:space="0" w:color="000000"/>
            </w:tcBorders>
            <w:tcMar>
              <w:top w:w="28" w:type="dxa"/>
            </w:tcMar>
            <w:vAlign w:val="center"/>
          </w:tcPr>
          <w:p>
            <w:pPr>
              <w:pStyle w:val="TableContents"/>
              <w:bidi w:val="0"/>
              <w:spacing w:before="0" w:after="0"/>
              <w:jc w:val="center"/>
              <w:rPr/>
            </w:pPr>
            <w:r>
              <w:rPr/>
              <w:t> </w:t>
            </w:r>
          </w:p>
        </w:tc>
        <w:tc>
          <w:tcPr>
            <w:tcW w:w="93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Percent</w:t>
            </w:r>
          </w:p>
        </w:tc>
        <w:tc>
          <w:tcPr>
            <w:tcW w:w="1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59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94" w:type="dxa"/>
            <w:tcBorders>
              <w:top w:val="single" w:sz="8" w:space="0" w:color="000000"/>
            </w:tcBorders>
            <w:tcMar>
              <w:top w:w="28" w:type="dxa"/>
            </w:tcMar>
            <w:vAlign w:val="center"/>
          </w:tcPr>
          <w:p>
            <w:pPr>
              <w:pStyle w:val="TableContents"/>
              <w:bidi w:val="0"/>
              <w:spacing w:before="0" w:after="0"/>
              <w:jc w:val="center"/>
              <w:rPr/>
            </w:pPr>
            <w:r>
              <w:rPr/>
              <w:t> </w:t>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59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94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Amount</w:t>
            </w:r>
          </w:p>
        </w:tc>
        <w:tc>
          <w:tcPr>
            <w:tcW w:w="60" w:type="dxa"/>
            <w:tcBorders>
              <w:top w:val="single" w:sz="8" w:space="0" w:color="000000"/>
            </w:tcBorders>
            <w:tcMar>
              <w:top w:w="28" w:type="dxa"/>
            </w:tcMar>
            <w:vAlign w:val="center"/>
          </w:tcPr>
          <w:p>
            <w:pPr>
              <w:pStyle w:val="TableContents"/>
              <w:bidi w:val="0"/>
              <w:spacing w:before="0" w:after="0"/>
              <w:jc w:val="center"/>
              <w:rPr/>
            </w:pPr>
            <w:r>
              <w:rPr/>
              <w:t> </w:t>
            </w:r>
          </w:p>
        </w:tc>
        <w:tc>
          <w:tcPr>
            <w:tcW w:w="93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Percent</w:t>
            </w:r>
          </w:p>
        </w:tc>
        <w:tc>
          <w:tcPr>
            <w:tcW w:w="207" w:type="dxa"/>
            <w:tcBorders/>
            <w:vAlign w:val="center"/>
          </w:tcPr>
          <w:p>
            <w:pPr>
              <w:pStyle w:val="TableContents"/>
              <w:bidi w:val="0"/>
              <w:spacing w:before="0" w:after="0"/>
              <w:jc w:val="left"/>
              <w:rPr/>
            </w:pPr>
            <w:r>
              <w:rPr/>
              <w:t> </w:t>
            </w:r>
          </w:p>
        </w:tc>
      </w:tr>
      <w:tr>
        <w:trPr/>
        <w:tc>
          <w:tcPr>
            <w:tcW w:w="207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Salaries and benefits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19.0</w:t>
            </w:r>
          </w:p>
        </w:tc>
        <w:tc>
          <w:tcPr>
            <w:tcW w:w="100" w:type="dxa"/>
            <w:tcBorders/>
            <w:shd w:fill="CCEEFF" w:val="clear"/>
            <w:vAlign w:val="center"/>
          </w:tcPr>
          <w:p>
            <w:pPr>
              <w:pStyle w:val="TableContents"/>
              <w:bidi w:val="0"/>
              <w:spacing w:before="0" w:after="0"/>
              <w:jc w:val="left"/>
              <w:rPr/>
            </w:pPr>
            <w:r>
              <w:rPr/>
              <w:t> </w:t>
            </w:r>
          </w:p>
        </w:tc>
        <w:tc>
          <w:tcPr>
            <w:tcW w:w="209"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15.8</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60" w:type="dxa"/>
            <w:tcBorders/>
            <w:shd w:fill="CCEEFF" w:val="clear"/>
            <w:vAlign w:val="center"/>
          </w:tcPr>
          <w:p>
            <w:pPr>
              <w:pStyle w:val="TableContents"/>
              <w:bidi w:val="0"/>
              <w:spacing w:before="0" w:after="0"/>
              <w:jc w:val="left"/>
              <w:rPr/>
            </w:pPr>
            <w:r>
              <w:rPr/>
              <w:t> </w:t>
            </w:r>
          </w:p>
        </w:tc>
        <w:tc>
          <w:tcPr>
            <w:tcW w:w="93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w:t>
            </w:r>
          </w:p>
        </w:tc>
        <w:tc>
          <w:tcPr>
            <w:tcW w:w="18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35.6</w:t>
            </w:r>
          </w:p>
        </w:tc>
        <w:tc>
          <w:tcPr>
            <w:tcW w:w="94" w:type="dxa"/>
            <w:tcBorders/>
            <w:shd w:fill="CCEEFF" w:val="clear"/>
            <w:vAlign w:val="center"/>
          </w:tcPr>
          <w:p>
            <w:pPr>
              <w:pStyle w:val="TableContents"/>
              <w:bidi w:val="0"/>
              <w:spacing w:before="0" w:after="0"/>
              <w:jc w:val="left"/>
              <w:rPr/>
            </w:pPr>
            <w:r>
              <w:rPr/>
              <w:t> </w:t>
            </w:r>
          </w:p>
        </w:tc>
        <w:tc>
          <w:tcPr>
            <w:tcW w:w="196"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60" w:type="dxa"/>
            <w:tcBorders/>
            <w:shd w:fill="CCEEFF" w:val="clear"/>
            <w:vAlign w:val="center"/>
          </w:tcPr>
          <w:p>
            <w:pPr>
              <w:pStyle w:val="TableContents"/>
              <w:bidi w:val="0"/>
              <w:spacing w:before="0" w:after="0"/>
              <w:jc w:val="left"/>
              <w:rPr/>
            </w:pPr>
            <w:r>
              <w:rPr/>
              <w:t> </w:t>
            </w:r>
          </w:p>
        </w:tc>
        <w:tc>
          <w:tcPr>
            <w:tcW w:w="93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20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07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w:t>
            </w:r>
          </w:p>
        </w:tc>
        <w:tc>
          <w:tcPr>
            <w:tcW w:w="100" w:type="dxa"/>
            <w:tcBorders/>
            <w:shd w:fill="FFFFFF" w:val="clear"/>
            <w:vAlign w:val="center"/>
          </w:tcPr>
          <w:p>
            <w:pPr>
              <w:pStyle w:val="TableContents"/>
              <w:bidi w:val="0"/>
              <w:spacing w:before="0" w:after="0"/>
              <w:jc w:val="left"/>
              <w:rPr/>
            </w:pPr>
            <w:r>
              <w:rPr/>
              <w:t> </w:t>
            </w:r>
          </w:p>
        </w:tc>
        <w:tc>
          <w:tcPr>
            <w:tcW w:w="209" w:type="dxa"/>
            <w:tcBorders/>
            <w:shd w:fill="FFFFFF" w:val="clear"/>
            <w:vAlign w:val="center"/>
          </w:tcPr>
          <w:p>
            <w:pPr>
              <w:pStyle w:val="TableContents"/>
              <w:bidi w:val="0"/>
              <w:spacing w:before="0" w:after="0"/>
              <w:jc w:val="left"/>
              <w:rPr/>
            </w:pPr>
            <w:r>
              <w:rPr/>
              <w:t> </w:t>
            </w:r>
          </w:p>
        </w:tc>
        <w:tc>
          <w:tcPr>
            <w:tcW w:w="6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4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0.4</w:t>
            </w:r>
          </w:p>
        </w:tc>
        <w:tc>
          <w:tcPr>
            <w:tcW w:w="60" w:type="dxa"/>
            <w:tcBorders/>
            <w:shd w:fill="FFFFFF" w:val="clear"/>
            <w:vAlign w:val="center"/>
          </w:tcPr>
          <w:p>
            <w:pPr>
              <w:pStyle w:val="TableContents"/>
              <w:bidi w:val="0"/>
              <w:spacing w:before="0" w:after="0"/>
              <w:jc w:val="left"/>
              <w:rPr/>
            </w:pPr>
            <w:r>
              <w:rPr/>
              <w:t> </w:t>
            </w:r>
          </w:p>
        </w:tc>
        <w:tc>
          <w:tcPr>
            <w:tcW w:w="93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9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6.8</w:t>
            </w:r>
          </w:p>
        </w:tc>
        <w:tc>
          <w:tcPr>
            <w:tcW w:w="94" w:type="dxa"/>
            <w:tcBorders/>
            <w:shd w:fill="FFFFFF" w:val="clear"/>
            <w:vAlign w:val="center"/>
          </w:tcPr>
          <w:p>
            <w:pPr>
              <w:pStyle w:val="TableContents"/>
              <w:bidi w:val="0"/>
              <w:spacing w:before="0" w:after="0"/>
              <w:jc w:val="left"/>
              <w:rPr/>
            </w:pPr>
            <w:r>
              <w:rPr/>
              <w:t> </w:t>
            </w:r>
          </w:p>
        </w:tc>
        <w:tc>
          <w:tcPr>
            <w:tcW w:w="196" w:type="dxa"/>
            <w:tcBorders/>
            <w:shd w:fill="FFFFFF" w:val="clear"/>
            <w:vAlign w:val="center"/>
          </w:tcPr>
          <w:p>
            <w:pPr>
              <w:pStyle w:val="TableContents"/>
              <w:bidi w:val="0"/>
              <w:spacing w:before="0" w:after="0"/>
              <w:jc w:val="left"/>
              <w:rPr/>
            </w:pPr>
            <w:r>
              <w:rPr/>
              <w:t> </w:t>
            </w:r>
          </w:p>
        </w:tc>
        <w:tc>
          <w:tcPr>
            <w:tcW w:w="59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4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0.5</w:t>
            </w:r>
          </w:p>
        </w:tc>
        <w:tc>
          <w:tcPr>
            <w:tcW w:w="60" w:type="dxa"/>
            <w:tcBorders/>
            <w:shd w:fill="FFFFFF" w:val="clear"/>
            <w:vAlign w:val="center"/>
          </w:tcPr>
          <w:p>
            <w:pPr>
              <w:pStyle w:val="TableContents"/>
              <w:bidi w:val="0"/>
              <w:spacing w:before="0" w:after="0"/>
              <w:jc w:val="left"/>
              <w:rPr/>
            </w:pPr>
            <w:r>
              <w:rPr/>
              <w:t> </w:t>
            </w:r>
          </w:p>
        </w:tc>
        <w:tc>
          <w:tcPr>
            <w:tcW w:w="93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20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07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3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100" w:type="dxa"/>
            <w:tcBorders/>
            <w:shd w:fill="CCEEFF" w:val="clear"/>
            <w:vAlign w:val="center"/>
          </w:tcPr>
          <w:p>
            <w:pPr>
              <w:pStyle w:val="TableContents"/>
              <w:bidi w:val="0"/>
              <w:spacing w:before="0" w:after="0"/>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3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47"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931" w:type="dxa"/>
            <w:tcBorders/>
            <w:shd w:fill="CCEEFF" w:val="clear"/>
            <w:vAlign w:val="center"/>
          </w:tcPr>
          <w:p>
            <w:pPr>
              <w:pStyle w:val="TableContents"/>
              <w:bidi w:val="0"/>
              <w:spacing w:before="0" w:after="0"/>
              <w:jc w:val="right"/>
              <w:rPr/>
            </w:pPr>
            <w:r>
              <w:rPr/>
              <w:t>—</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9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0.3</w:t>
            </w:r>
          </w:p>
        </w:tc>
        <w:tc>
          <w:tcPr>
            <w:tcW w:w="94" w:type="dxa"/>
            <w:tcBorders/>
            <w:shd w:fill="CCEEFF" w:val="clear"/>
            <w:vAlign w:val="center"/>
          </w:tcPr>
          <w:p>
            <w:pPr>
              <w:pStyle w:val="TableContents"/>
              <w:bidi w:val="0"/>
              <w:spacing w:before="0" w:after="0"/>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9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4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CCEEFF" w:val="clear"/>
            <w:vAlign w:val="center"/>
          </w:tcPr>
          <w:p>
            <w:pPr>
              <w:pStyle w:val="TableContents"/>
              <w:bidi w:val="0"/>
              <w:spacing w:before="0" w:after="0"/>
              <w:jc w:val="left"/>
              <w:rPr/>
            </w:pPr>
            <w:r>
              <w:rPr/>
              <w:t> </w:t>
            </w:r>
          </w:p>
        </w:tc>
        <w:tc>
          <w:tcPr>
            <w:tcW w:w="93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w:t>
            </w:r>
          </w:p>
        </w:tc>
        <w:tc>
          <w:tcPr>
            <w:tcW w:w="20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07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22.7</w:t>
            </w:r>
          </w:p>
        </w:tc>
        <w:tc>
          <w:tcPr>
            <w:tcW w:w="100" w:type="dxa"/>
            <w:tcBorders/>
            <w:shd w:fill="FFFFFF" w:val="clear"/>
            <w:vAlign w:val="center"/>
          </w:tcPr>
          <w:p>
            <w:pPr>
              <w:pStyle w:val="TableContents"/>
              <w:bidi w:val="0"/>
              <w:spacing w:before="0" w:after="0"/>
              <w:jc w:val="left"/>
              <w:rPr/>
            </w:pPr>
            <w:r>
              <w:rPr/>
              <w:t> </w:t>
            </w:r>
          </w:p>
        </w:tc>
        <w:tc>
          <w:tcPr>
            <w:tcW w:w="20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19.1</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w:t>
            </w:r>
          </w:p>
        </w:tc>
        <w:tc>
          <w:tcPr>
            <w:tcW w:w="60" w:type="dxa"/>
            <w:tcBorders/>
            <w:shd w:fill="FFFFFF" w:val="clear"/>
            <w:vAlign w:val="center"/>
          </w:tcPr>
          <w:p>
            <w:pPr>
              <w:pStyle w:val="TableContents"/>
              <w:bidi w:val="0"/>
              <w:spacing w:before="0" w:after="0"/>
              <w:jc w:val="left"/>
              <w:rPr/>
            </w:pPr>
            <w:r>
              <w:rPr/>
              <w:t> </w:t>
            </w:r>
          </w:p>
        </w:tc>
        <w:tc>
          <w:tcPr>
            <w:tcW w:w="93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42.7</w:t>
            </w:r>
          </w:p>
        </w:tc>
        <w:tc>
          <w:tcPr>
            <w:tcW w:w="94" w:type="dxa"/>
            <w:tcBorders/>
            <w:shd w:fill="FFFFFF" w:val="clear"/>
            <w:vAlign w:val="center"/>
          </w:tcPr>
          <w:p>
            <w:pPr>
              <w:pStyle w:val="TableContents"/>
              <w:bidi w:val="0"/>
              <w:spacing w:before="0" w:after="0"/>
              <w:jc w:val="left"/>
              <w:rPr/>
            </w:pPr>
            <w:r>
              <w:rPr/>
              <w:t> </w:t>
            </w:r>
          </w:p>
        </w:tc>
        <w:tc>
          <w:tcPr>
            <w:tcW w:w="19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40.4</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w:t>
            </w:r>
          </w:p>
        </w:tc>
        <w:tc>
          <w:tcPr>
            <w:tcW w:w="60" w:type="dxa"/>
            <w:tcBorders/>
            <w:shd w:fill="FFFFFF" w:val="clear"/>
            <w:vAlign w:val="center"/>
          </w:tcPr>
          <w:p>
            <w:pPr>
              <w:pStyle w:val="TableContents"/>
              <w:bidi w:val="0"/>
              <w:spacing w:before="0" w:after="0"/>
              <w:jc w:val="left"/>
              <w:rPr/>
            </w:pPr>
            <w:r>
              <w:rPr/>
              <w:t> </w:t>
            </w:r>
          </w:p>
        </w:tc>
        <w:tc>
          <w:tcPr>
            <w:tcW w:w="93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20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shd w:fill="FFFFFF" w:val="clear"/>
        <w:bidi w:val="0"/>
        <w:spacing w:lineRule="atLeast" w:line="240" w:before="0" w:after="0"/>
        <w:jc w:val="left"/>
        <w:rPr/>
      </w:pPr>
      <w:r>
        <w:rPr/>
        <w:t> </w:t>
      </w:r>
    </w:p>
    <w:p>
      <w:pPr>
        <w:pStyle w:val="TextBody"/>
        <w:shd w:fill="FFFFFF" w:val="clear"/>
        <w:bidi w:val="0"/>
        <w:spacing w:lineRule="atLeast" w:line="240" w:before="0" w:after="0"/>
        <w:jc w:val="left"/>
        <w:rPr>
          <w:rFonts w:ascii="Times New Roman" w:hAnsi="Times New Roman"/>
          <w:i/>
          <w:sz w:val="20"/>
        </w:rPr>
      </w:pPr>
      <w:r>
        <w:rPr>
          <w:rFonts w:ascii="Times New Roman" w:hAnsi="Times New Roman"/>
          <w:i/>
          <w:sz w:val="20"/>
        </w:rPr>
        <w:t>Corporate operating expenses</w:t>
      </w:r>
    </w:p>
    <w:p>
      <w:pPr>
        <w:pStyle w:val="TextBody"/>
        <w:shd w:fill="FFFFFF" w:val="clear"/>
        <w:bidi w:val="0"/>
        <w:spacing w:lineRule="atLeast" w:line="240" w:before="0" w:after="0"/>
        <w:jc w:val="left"/>
        <w:rPr/>
      </w:pPr>
      <w:r>
        <w:rPr/>
        <w:t> </w:t>
      </w:r>
    </w:p>
    <w:p>
      <w:pPr>
        <w:pStyle w:val="TextBody"/>
        <w:shd w:fill="FFFFFF" w:val="clear"/>
        <w:bidi w:val="0"/>
        <w:spacing w:lineRule="atLeast" w:line="240" w:before="0" w:after="0"/>
        <w:jc w:val="both"/>
        <w:rPr>
          <w:rFonts w:ascii="Times New Roman" w:hAnsi="Times New Roman"/>
          <w:sz w:val="24"/>
        </w:rPr>
      </w:pPr>
      <w:r>
        <w:rPr>
          <w:rFonts w:ascii="Times New Roman" w:hAnsi="Times New Roman"/>
          <w:sz w:val="20"/>
        </w:rPr>
        <w:t>Total Corporate operating expenses were $22.7</w:t>
      </w:r>
      <w:r>
        <w:rPr>
          <w:rFonts w:ascii="Times New Roman" w:hAnsi="Times New Roman"/>
          <w:sz w:val="24"/>
        </w:rPr>
        <w:t xml:space="preserve"> </w:t>
      </w:r>
      <w:r>
        <w:rPr>
          <w:rFonts w:ascii="Times New Roman" w:hAnsi="Times New Roman"/>
          <w:sz w:val="20"/>
        </w:rPr>
        <w:t>million and $42.7</w:t>
      </w:r>
      <w:r>
        <w:rPr>
          <w:rFonts w:ascii="Times New Roman" w:hAnsi="Times New Roman"/>
          <w:sz w:val="24"/>
        </w:rPr>
        <w:t xml:space="preserve"> </w:t>
      </w:r>
      <w:r>
        <w:rPr>
          <w:rFonts w:ascii="Times New Roman" w:hAnsi="Times New Roman"/>
          <w:sz w:val="20"/>
        </w:rPr>
        <w:t>million for the three and six months ended June 30, 2025,</w:t>
      </w:r>
      <w:r>
        <w:rPr>
          <w:rFonts w:ascii="Times New Roman" w:hAnsi="Times New Roman"/>
          <w:sz w:val="24"/>
        </w:rPr>
        <w:t> </w:t>
      </w:r>
      <w:r>
        <w:rPr>
          <w:rFonts w:ascii="Times New Roman" w:hAnsi="Times New Roman"/>
          <w:sz w:val="20"/>
        </w:rPr>
        <w:t>an increase</w:t>
      </w:r>
      <w:r>
        <w:rPr>
          <w:rFonts w:ascii="Times New Roman" w:hAnsi="Times New Roman"/>
          <w:sz w:val="24"/>
        </w:rPr>
        <w:t xml:space="preserve"> </w:t>
      </w:r>
      <w:r>
        <w:rPr>
          <w:rFonts w:ascii="Times New Roman" w:hAnsi="Times New Roman"/>
          <w:sz w:val="20"/>
        </w:rPr>
        <w:t>of $3.6</w:t>
      </w:r>
      <w:r>
        <w:rPr>
          <w:rFonts w:ascii="Times New Roman" w:hAnsi="Times New Roman"/>
          <w:sz w:val="24"/>
        </w:rPr>
        <w:t xml:space="preserve"> </w:t>
      </w:r>
      <w:r>
        <w:rPr>
          <w:rFonts w:ascii="Times New Roman" w:hAnsi="Times New Roman"/>
          <w:sz w:val="20"/>
        </w:rPr>
        <w:t>million or 19% and $2.3</w:t>
      </w:r>
      <w:r>
        <w:rPr>
          <w:rFonts w:ascii="Times New Roman" w:hAnsi="Times New Roman"/>
          <w:sz w:val="24"/>
        </w:rPr>
        <w:t xml:space="preserve"> </w:t>
      </w:r>
      <w:r>
        <w:rPr>
          <w:rFonts w:ascii="Times New Roman" w:hAnsi="Times New Roman"/>
          <w:sz w:val="20"/>
        </w:rPr>
        <w:t>million or 6% compared to the same period</w:t>
      </w:r>
      <w:r>
        <w:rPr>
          <w:rFonts w:ascii="Times New Roman" w:hAnsi="Times New Roman"/>
          <w:sz w:val="24"/>
        </w:rPr>
        <w:t> </w:t>
      </w:r>
      <w:r>
        <w:rPr>
          <w:rFonts w:ascii="Times New Roman" w:hAnsi="Times New Roman"/>
          <w:sz w:val="20"/>
        </w:rPr>
        <w:t>in</w:t>
      </w:r>
      <w:r>
        <w:rPr>
          <w:rFonts w:ascii="Times New Roman" w:hAnsi="Times New Roman"/>
          <w:sz w:val="24"/>
        </w:rPr>
        <w:t> </w:t>
      </w:r>
      <w:r>
        <w:rPr>
          <w:rFonts w:ascii="Times New Roman" w:hAnsi="Times New Roman"/>
          <w:sz w:val="20"/>
        </w:rPr>
        <w:t>2024.</w:t>
      </w:r>
    </w:p>
    <w:p>
      <w:pPr>
        <w:pStyle w:val="TextBody"/>
        <w:bidi w:val="0"/>
        <w:spacing w:lineRule="atLeast" w:line="288"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b/>
          <w:sz w:val="20"/>
        </w:rPr>
      </w:pPr>
      <w:r>
        <w:rPr>
          <w:rFonts w:ascii="Times New Roman" w:hAnsi="Times New Roman"/>
          <w:b/>
          <w:sz w:val="20"/>
        </w:rPr>
        <w:t>OTHER EXPENSE, NET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95"/>
        <w:gridCol w:w="60"/>
        <w:gridCol w:w="125"/>
        <w:gridCol w:w="552"/>
        <w:gridCol w:w="75"/>
        <w:gridCol w:w="158"/>
        <w:gridCol w:w="552"/>
        <w:gridCol w:w="60"/>
        <w:gridCol w:w="125"/>
        <w:gridCol w:w="1192"/>
        <w:gridCol w:w="60"/>
        <w:gridCol w:w="1202"/>
        <w:gridCol w:w="185"/>
        <w:gridCol w:w="60"/>
        <w:gridCol w:w="60"/>
        <w:gridCol w:w="125"/>
        <w:gridCol w:w="526"/>
        <w:gridCol w:w="72"/>
        <w:gridCol w:w="151"/>
        <w:gridCol w:w="526"/>
        <w:gridCol w:w="60"/>
        <w:gridCol w:w="125"/>
        <w:gridCol w:w="1192"/>
        <w:gridCol w:w="60"/>
        <w:gridCol w:w="1202"/>
        <w:gridCol w:w="205"/>
      </w:tblGrid>
      <w:tr>
        <w:trPr/>
        <w:tc>
          <w:tcPr>
            <w:tcW w:w="14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1337" w:type="dxa"/>
            <w:gridSpan w:val="4"/>
            <w:vMerge w:val="restart"/>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119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2"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1275" w:type="dxa"/>
            <w:gridSpan w:val="4"/>
            <w:vMerge w:val="restart"/>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119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2" w:type="dxa"/>
            <w:tcBorders/>
            <w:vAlign w:val="center"/>
          </w:tcPr>
          <w:p>
            <w:pPr>
              <w:pStyle w:val="TableContents"/>
              <w:bidi w:val="0"/>
              <w:spacing w:before="0" w:after="0"/>
              <w:jc w:val="left"/>
              <w:rPr/>
            </w:pPr>
            <w:r>
              <w:rPr/>
              <w:t> </w:t>
            </w:r>
          </w:p>
        </w:tc>
        <w:tc>
          <w:tcPr>
            <w:tcW w:w="205" w:type="dxa"/>
            <w:tcBorders/>
            <w:vAlign w:val="center"/>
          </w:tcPr>
          <w:p>
            <w:pPr>
              <w:pStyle w:val="TableContents"/>
              <w:bidi w:val="0"/>
              <w:spacing w:before="0" w:after="0"/>
              <w:jc w:val="left"/>
              <w:rPr/>
            </w:pPr>
            <w:r>
              <w:rPr/>
              <w:t> </w:t>
            </w:r>
          </w:p>
        </w:tc>
      </w:tr>
      <w:tr>
        <w:trPr/>
        <w:tc>
          <w:tcPr>
            <w:tcW w:w="14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337" w:type="dxa"/>
            <w:gridSpan w:val="4"/>
            <w:vMerge w:val="continue"/>
            <w:tcBorders>
              <w:bottom w:val="single" w:sz="8" w:space="0" w:color="000000"/>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454"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275" w:type="dxa"/>
            <w:gridSpan w:val="4"/>
            <w:vMerge w:val="continue"/>
            <w:tcBorders>
              <w:bottom w:val="single" w:sz="8" w:space="0" w:color="000000"/>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454"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20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495"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5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75" w:type="dxa"/>
            <w:tcBorders/>
            <w:vAlign w:val="center"/>
          </w:tcPr>
          <w:p>
            <w:pPr>
              <w:pStyle w:val="TableContents"/>
              <w:bidi w:val="0"/>
              <w:spacing w:before="0" w:after="0"/>
              <w:jc w:val="left"/>
              <w:rPr/>
            </w:pPr>
            <w:r>
              <w:rPr/>
              <w:t> </w:t>
            </w:r>
          </w:p>
        </w:tc>
        <w:tc>
          <w:tcPr>
            <w:tcW w:w="15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5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9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vAlign w:val="center"/>
          </w:tcPr>
          <w:p>
            <w:pPr>
              <w:pStyle w:val="TableContents"/>
              <w:bidi w:val="0"/>
              <w:spacing w:before="0" w:after="0"/>
              <w:jc w:val="left"/>
              <w:rPr/>
            </w:pPr>
            <w:r>
              <w:rPr/>
              <w:t> </w:t>
            </w:r>
          </w:p>
        </w:tc>
        <w:tc>
          <w:tcPr>
            <w:tcW w:w="120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r>
              <w:rPr>
                <w:rFonts w:ascii="Times New Roman" w:hAnsi="Times New Roman"/>
                <w:b/>
                <w:sz w:val="16"/>
              </w:rPr>
              <w:t>Increase (Decrease) Percent</w:t>
            </w:r>
          </w:p>
        </w:tc>
        <w:tc>
          <w:tcPr>
            <w:tcW w:w="1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2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72" w:type="dxa"/>
            <w:tcBorders/>
            <w:vAlign w:val="center"/>
          </w:tcPr>
          <w:p>
            <w:pPr>
              <w:pStyle w:val="TableContents"/>
              <w:bidi w:val="0"/>
              <w:spacing w:before="0" w:after="0"/>
              <w:jc w:val="left"/>
              <w:rPr/>
            </w:pPr>
            <w:r>
              <w:rPr/>
              <w:t> </w:t>
            </w:r>
          </w:p>
        </w:tc>
        <w:tc>
          <w:tcPr>
            <w:tcW w:w="15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2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9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vAlign w:val="center"/>
          </w:tcPr>
          <w:p>
            <w:pPr>
              <w:pStyle w:val="TableContents"/>
              <w:bidi w:val="0"/>
              <w:spacing w:before="0" w:after="0"/>
              <w:jc w:val="left"/>
              <w:rPr/>
            </w:pPr>
            <w:r>
              <w:rPr/>
              <w:t> </w:t>
            </w:r>
          </w:p>
        </w:tc>
        <w:tc>
          <w:tcPr>
            <w:tcW w:w="120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r>
              <w:rPr>
                <w:rFonts w:ascii="Times New Roman" w:hAnsi="Times New Roman"/>
                <w:b/>
                <w:sz w:val="16"/>
              </w:rPr>
              <w:t>Increase (Decrease) Percent</w:t>
            </w:r>
          </w:p>
        </w:tc>
        <w:tc>
          <w:tcPr>
            <w:tcW w:w="20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r>
      <w:tr>
        <w:trPr/>
        <w:tc>
          <w:tcPr>
            <w:tcW w:w="14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5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6.2</w:t>
            </w:r>
          </w:p>
        </w:tc>
        <w:tc>
          <w:tcPr>
            <w:tcW w:w="75" w:type="dxa"/>
            <w:tcBorders/>
            <w:shd w:fill="CCEEFF" w:val="clear"/>
            <w:vAlign w:val="center"/>
          </w:tcPr>
          <w:p>
            <w:pPr>
              <w:pStyle w:val="TableContents"/>
              <w:bidi w:val="0"/>
              <w:spacing w:before="0" w:after="0"/>
              <w:jc w:val="left"/>
              <w:rPr/>
            </w:pPr>
            <w:r>
              <w:rPr/>
              <w:t> </w:t>
            </w:r>
          </w:p>
        </w:tc>
        <w:tc>
          <w:tcPr>
            <w:tcW w:w="1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5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0.3</w:t>
            </w:r>
          </w:p>
        </w:tc>
        <w:tc>
          <w:tcPr>
            <w:tcW w:w="60" w:type="dxa"/>
            <w:tcBorders/>
            <w:shd w:fill="CCEEFF" w:val="clear"/>
            <w:vAlign w:val="center"/>
          </w:tcPr>
          <w:p>
            <w:pPr>
              <w:pStyle w:val="TableContents"/>
              <w:bidi w:val="0"/>
              <w:spacing w:before="0" w:after="0"/>
              <w:jc w:val="left"/>
              <w:rPr/>
            </w:pPr>
            <w:r>
              <w:rPr/>
              <w:t> </w:t>
            </w:r>
          </w:p>
        </w:tc>
        <w:tc>
          <w:tcPr>
            <w:tcW w:w="120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2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11.5</w:t>
            </w:r>
          </w:p>
        </w:tc>
        <w:tc>
          <w:tcPr>
            <w:tcW w:w="72"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2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2"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0.1</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02"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1</w:t>
            </w:r>
            <w:r>
              <w:rPr>
                <w:rFonts w:ascii="Times New Roman" w:hAnsi="Times New Roman"/>
                <w:sz w:val="20"/>
              </w:rPr>
              <w:t>)</w:t>
            </w:r>
          </w:p>
        </w:tc>
        <w:tc>
          <w:tcPr>
            <w:tcW w:w="20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4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52"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28.2</w:t>
            </w:r>
            <w:r>
              <w:rPr>
                <w:rFonts w:ascii="Times New Roman" w:hAnsi="Times New Roman"/>
                <w:sz w:val="20"/>
              </w:rPr>
              <w:t>)</w:t>
            </w:r>
          </w:p>
        </w:tc>
        <w:tc>
          <w:tcPr>
            <w:tcW w:w="75" w:type="dxa"/>
            <w:tcBorders/>
            <w:shd w:fill="FFFFFF" w:val="clear"/>
            <w:vAlign w:val="center"/>
          </w:tcPr>
          <w:p>
            <w:pPr>
              <w:pStyle w:val="TableContents"/>
              <w:bidi w:val="0"/>
              <w:spacing w:before="0" w:after="0"/>
              <w:jc w:val="left"/>
              <w:rPr/>
            </w:pPr>
            <w:r>
              <w:rPr/>
              <w:t> </w:t>
            </w:r>
          </w:p>
        </w:tc>
        <w:tc>
          <w:tcPr>
            <w:tcW w:w="158" w:type="dxa"/>
            <w:tcBorders/>
            <w:shd w:fill="FFFFFF" w:val="clear"/>
            <w:vAlign w:val="center"/>
          </w:tcPr>
          <w:p>
            <w:pPr>
              <w:pStyle w:val="TableContents"/>
              <w:bidi w:val="0"/>
              <w:spacing w:before="0" w:after="0"/>
              <w:jc w:val="left"/>
              <w:rPr/>
            </w:pPr>
            <w:r>
              <w:rPr/>
              <w:t> </w:t>
            </w:r>
          </w:p>
        </w:tc>
        <w:tc>
          <w:tcPr>
            <w:tcW w:w="552"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20.1</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92"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8.1</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0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40</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26"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47.6</w:t>
            </w:r>
            <w:r>
              <w:rPr>
                <w:rFonts w:ascii="Times New Roman" w:hAnsi="Times New Roman"/>
                <w:sz w:val="20"/>
              </w:rPr>
              <w:t>)</w:t>
            </w:r>
          </w:p>
        </w:tc>
        <w:tc>
          <w:tcPr>
            <w:tcW w:w="72" w:type="dxa"/>
            <w:tcBorders/>
            <w:shd w:fill="FFFFFF" w:val="clear"/>
            <w:vAlign w:val="center"/>
          </w:tcPr>
          <w:p>
            <w:pPr>
              <w:pStyle w:val="TableContents"/>
              <w:bidi w:val="0"/>
              <w:spacing w:before="0" w:after="0"/>
              <w:jc w:val="left"/>
              <w:rPr/>
            </w:pPr>
            <w:r>
              <w:rPr/>
              <w:t> </w:t>
            </w:r>
          </w:p>
        </w:tc>
        <w:tc>
          <w:tcPr>
            <w:tcW w:w="151" w:type="dxa"/>
            <w:tcBorders/>
            <w:shd w:fill="FFFFFF" w:val="clear"/>
            <w:vAlign w:val="center"/>
          </w:tcPr>
          <w:p>
            <w:pPr>
              <w:pStyle w:val="TableContents"/>
              <w:bidi w:val="0"/>
              <w:spacing w:before="0" w:after="0"/>
              <w:jc w:val="left"/>
              <w:rPr/>
            </w:pPr>
            <w:r>
              <w:rPr/>
              <w:t> </w:t>
            </w:r>
          </w:p>
        </w:tc>
        <w:tc>
          <w:tcPr>
            <w:tcW w:w="526"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35.0</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92"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12.6</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0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w:t>
            </w:r>
          </w:p>
        </w:tc>
        <w:tc>
          <w:tcPr>
            <w:tcW w:w="20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4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loss, net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52"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5.7</w:t>
            </w:r>
            <w:r>
              <w:rPr>
                <w:rFonts w:ascii="Times New Roman" w:hAnsi="Times New Roman"/>
                <w:sz w:val="20"/>
              </w:rPr>
              <w:t>)</w:t>
            </w:r>
          </w:p>
        </w:tc>
        <w:tc>
          <w:tcPr>
            <w:tcW w:w="75" w:type="dxa"/>
            <w:tcBorders/>
            <w:shd w:fill="CCEEFF" w:val="clear"/>
            <w:vAlign w:val="center"/>
          </w:tcPr>
          <w:p>
            <w:pPr>
              <w:pStyle w:val="TableContents"/>
              <w:bidi w:val="0"/>
              <w:spacing w:before="0" w:after="0"/>
              <w:jc w:val="left"/>
              <w:rPr/>
            </w:pPr>
            <w:r>
              <w:rPr/>
              <w:t> </w:t>
            </w:r>
          </w:p>
        </w:tc>
        <w:tc>
          <w:tcPr>
            <w:tcW w:w="158" w:type="dxa"/>
            <w:tcBorders/>
            <w:shd w:fill="CCEEFF" w:val="clear"/>
            <w:vAlign w:val="center"/>
          </w:tcPr>
          <w:p>
            <w:pPr>
              <w:pStyle w:val="TableContents"/>
              <w:bidi w:val="0"/>
              <w:spacing w:before="0" w:after="0"/>
              <w:jc w:val="left"/>
              <w:rPr/>
            </w:pPr>
            <w:r>
              <w:rPr/>
              <w:t> </w:t>
            </w:r>
          </w:p>
        </w:tc>
        <w:tc>
          <w:tcPr>
            <w:tcW w:w="55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92"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7.2</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02"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480</w:t>
            </w:r>
            <w:r>
              <w:rPr>
                <w:rFonts w:ascii="Times New Roman" w:hAnsi="Times New Roman"/>
                <w:sz w:val="20"/>
              </w:rPr>
              <w:t>)</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26"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23.8</w:t>
            </w:r>
            <w:r>
              <w:rPr>
                <w:rFonts w:ascii="Times New Roman" w:hAnsi="Times New Roman"/>
                <w:sz w:val="20"/>
              </w:rPr>
              <w:t>)</w:t>
            </w:r>
          </w:p>
        </w:tc>
        <w:tc>
          <w:tcPr>
            <w:tcW w:w="72"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526"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11.0</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92"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12.8</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0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116</w:t>
            </w:r>
          </w:p>
        </w:tc>
        <w:tc>
          <w:tcPr>
            <w:tcW w:w="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4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(loss) gains</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0.4</w:t>
            </w:r>
          </w:p>
        </w:tc>
        <w:tc>
          <w:tcPr>
            <w:tcW w:w="75" w:type="dxa"/>
            <w:tcBorders/>
            <w:shd w:fill="FFFFFF" w:val="clear"/>
            <w:vAlign w:val="center"/>
          </w:tcPr>
          <w:p>
            <w:pPr>
              <w:pStyle w:val="TableContents"/>
              <w:bidi w:val="0"/>
              <w:spacing w:before="0" w:after="0"/>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0.8</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92"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0.4</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02"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50</w:t>
            </w:r>
            <w:r>
              <w:rPr>
                <w:rFonts w:ascii="Times New Roman" w:hAnsi="Times New Roman"/>
                <w:sz w:val="20"/>
              </w:rPr>
              <w:t>)</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2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72" w:type="dxa"/>
            <w:tcBorders/>
            <w:shd w:fill="FFFFFF" w:val="clear"/>
            <w:vAlign w:val="center"/>
          </w:tcPr>
          <w:p>
            <w:pPr>
              <w:pStyle w:val="TableContents"/>
              <w:bidi w:val="0"/>
              <w:spacing w:before="0" w:after="0"/>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2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0.7</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92"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60" w:type="dxa"/>
            <w:tcBorders/>
            <w:shd w:fill="FFFFFF" w:val="clear"/>
            <w:vAlign w:val="center"/>
          </w:tcPr>
          <w:p>
            <w:pPr>
              <w:pStyle w:val="TableContents"/>
              <w:bidi w:val="0"/>
              <w:spacing w:before="0" w:after="0"/>
              <w:jc w:val="left"/>
              <w:rPr/>
            </w:pPr>
            <w:r>
              <w:rPr/>
              <w:t> </w:t>
            </w:r>
          </w:p>
        </w:tc>
        <w:tc>
          <w:tcPr>
            <w:tcW w:w="120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314</w:t>
            </w:r>
          </w:p>
        </w:tc>
        <w:tc>
          <w:tcPr>
            <w:tcW w:w="20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4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 net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5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27.3</w:t>
            </w:r>
            <w:r>
              <w:rPr>
                <w:rFonts w:ascii="Times New Roman" w:hAnsi="Times New Roman"/>
                <w:sz w:val="20"/>
              </w:rPr>
              <w:t>)</w:t>
            </w:r>
          </w:p>
        </w:tc>
        <w:tc>
          <w:tcPr>
            <w:tcW w:w="75" w:type="dxa"/>
            <w:tcBorders/>
            <w:shd w:fill="CCEEFF" w:val="clear"/>
            <w:vAlign w:val="center"/>
          </w:tcPr>
          <w:p>
            <w:pPr>
              <w:pStyle w:val="TableContents"/>
              <w:bidi w:val="0"/>
              <w:spacing w:before="0" w:after="0"/>
              <w:jc w:val="left"/>
              <w:rPr/>
            </w:pPr>
            <w:r>
              <w:rPr/>
              <w:t> </w:t>
            </w:r>
          </w:p>
        </w:tc>
        <w:tc>
          <w:tcPr>
            <w:tcW w:w="15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5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11.9</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15.4</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0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129</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57.0</w:t>
            </w:r>
            <w:r>
              <w:rPr>
                <w:rFonts w:ascii="Times New Roman" w:hAnsi="Times New Roman"/>
                <w:sz w:val="20"/>
              </w:rPr>
              <w:t>)</w:t>
            </w:r>
          </w:p>
        </w:tc>
        <w:tc>
          <w:tcPr>
            <w:tcW w:w="72" w:type="dxa"/>
            <w:tcBorders/>
            <w:shd w:fill="CCEEFF" w:val="clear"/>
            <w:vAlign w:val="center"/>
          </w:tcPr>
          <w:p>
            <w:pPr>
              <w:pStyle w:val="TableContents"/>
              <w:bidi w:val="0"/>
              <w:spacing w:before="0" w:after="0"/>
              <w:jc w:val="left"/>
              <w:rPr/>
            </w:pPr>
            <w:r>
              <w:rPr/>
              <w:t> </w:t>
            </w:r>
          </w:p>
        </w:tc>
        <w:tc>
          <w:tcPr>
            <w:tcW w:w="15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33.7</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23.3</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0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69</w:t>
            </w:r>
          </w:p>
        </w:tc>
        <w:tc>
          <w:tcPr>
            <w:tcW w:w="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i/>
          <w:sz w:val="20"/>
        </w:rPr>
      </w:pPr>
      <w:r>
        <w:rPr>
          <w:rFonts w:ascii="Times New Roman" w:hAnsi="Times New Roman"/>
          <w:i/>
          <w:sz w:val="20"/>
        </w:rPr>
        <w:t>Interest income</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Interest income was $6.2</w:t>
      </w:r>
      <w:r>
        <w:rPr>
          <w:rFonts w:ascii="Times New Roman" w:hAnsi="Times New Roman"/>
          <w:sz w:val="24"/>
        </w:rPr>
        <w:t xml:space="preserve"> </w:t>
      </w:r>
      <w:r>
        <w:rPr>
          <w:rFonts w:ascii="Times New Roman" w:hAnsi="Times New Roman"/>
          <w:sz w:val="20"/>
        </w:rPr>
        <w:t>million for the three months ended June 30, 2025, an increase</w:t>
      </w:r>
      <w:r>
        <w:rPr>
          <w:rFonts w:ascii="Times New Roman" w:hAnsi="Times New Roman"/>
          <w:sz w:val="24"/>
        </w:rPr>
        <w:t xml:space="preserve"> </w:t>
      </w:r>
      <w:r>
        <w:rPr>
          <w:rFonts w:ascii="Times New Roman" w:hAnsi="Times New Roman"/>
          <w:sz w:val="20"/>
        </w:rPr>
        <w:t>of $0.3</w:t>
      </w:r>
      <w:r>
        <w:rPr>
          <w:rFonts w:ascii="Times New Roman" w:hAnsi="Times New Roman"/>
          <w:sz w:val="24"/>
        </w:rPr>
        <w:t xml:space="preserve"> </w:t>
      </w:r>
      <w:r>
        <w:rPr>
          <w:rFonts w:ascii="Times New Roman" w:hAnsi="Times New Roman"/>
          <w:sz w:val="20"/>
        </w:rPr>
        <w:t>million or 5% compared to the same period in 2024. Interest income was $11.5</w:t>
      </w:r>
      <w:r>
        <w:rPr>
          <w:rFonts w:ascii="Times New Roman" w:hAnsi="Times New Roman"/>
          <w:sz w:val="24"/>
        </w:rPr>
        <w:t xml:space="preserve"> </w:t>
      </w:r>
      <w:r>
        <w:rPr>
          <w:rFonts w:ascii="Times New Roman" w:hAnsi="Times New Roman"/>
          <w:sz w:val="20"/>
        </w:rPr>
        <w:t>million for the six months ended June 30, 2025, a decrease $0.1</w:t>
      </w:r>
      <w:r>
        <w:rPr>
          <w:rFonts w:ascii="Times New Roman" w:hAnsi="Times New Roman"/>
          <w:sz w:val="24"/>
        </w:rPr>
        <w:t xml:space="preserve"> </w:t>
      </w:r>
      <w:r>
        <w:rPr>
          <w:rFonts w:ascii="Times New Roman" w:hAnsi="Times New Roman"/>
          <w:sz w:val="20"/>
        </w:rPr>
        <w:t>million or 1% compared to the same period in 2024. This increase for the both the three and six months was driven by an increase in interest rates on our interest bearing bank accounts.</w:t>
      </w:r>
    </w:p>
    <w:p>
      <w:pPr>
        <w:pStyle w:val="TextBody"/>
        <w:bidi w:val="0"/>
        <w:spacing w:lineRule="atLeast" w:line="240" w:before="0" w:after="0"/>
        <w:jc w:val="both"/>
        <w:rPr/>
      </w:pPr>
      <w:r>
        <w:rPr/>
        <w:t> </w:t>
      </w:r>
      <w:r>
        <w:rPr>
          <w:rFonts w:ascii="Times New Roman" w:hAnsi="Times New Roman"/>
          <w:sz w:val="24"/>
        </w:rPr>
        <w:br/>
      </w:r>
      <w:r>
        <w:rPr>
          <w:rFonts w:ascii="Times New Roman" w:hAnsi="Times New Roman"/>
          <w:i/>
          <w:sz w:val="20"/>
        </w:rPr>
        <w:t>Interest expense</w:t>
      </w:r>
    </w:p>
    <w:p>
      <w:pPr>
        <w:pStyle w:val="TextBody"/>
        <w:pBdr/>
        <w:bidi w:val="0"/>
        <w:spacing w:lineRule="atLeast" w:line="240" w:before="0" w:after="0"/>
        <w:jc w:val="both"/>
        <w:rPr>
          <w:rFonts w:ascii="Times New Roman" w:hAnsi="Times New Roman"/>
          <w:sz w:val="24"/>
        </w:rPr>
      </w:pPr>
      <w:r>
        <w:rPr>
          <w:rFonts w:ascii="Times New Roman" w:hAnsi="Times New Roman"/>
          <w:sz w:val="20"/>
        </w:rPr>
        <w:t>Interest expense was $28.2</w:t>
      </w:r>
      <w:r>
        <w:rPr>
          <w:rFonts w:ascii="Times New Roman" w:hAnsi="Times New Roman"/>
          <w:sz w:val="24"/>
        </w:rPr>
        <w:t xml:space="preserve"> </w:t>
      </w:r>
      <w:r>
        <w:rPr>
          <w:rFonts w:ascii="Times New Roman" w:hAnsi="Times New Roman"/>
          <w:sz w:val="20"/>
        </w:rPr>
        <w:t>million for the three months ended June 30, 2025, an increase</w:t>
      </w:r>
      <w:r>
        <w:rPr>
          <w:rFonts w:ascii="Times New Roman" w:hAnsi="Times New Roman"/>
          <w:sz w:val="24"/>
        </w:rPr>
        <w:t xml:space="preserve"> </w:t>
      </w:r>
      <w:r>
        <w:rPr>
          <w:rFonts w:ascii="Times New Roman" w:hAnsi="Times New Roman"/>
          <w:sz w:val="20"/>
        </w:rPr>
        <w:t>of $8.1</w:t>
      </w:r>
      <w:r>
        <w:rPr>
          <w:rFonts w:ascii="Times New Roman" w:hAnsi="Times New Roman"/>
          <w:sz w:val="24"/>
        </w:rPr>
        <w:t xml:space="preserve"> </w:t>
      </w:r>
      <w:r>
        <w:rPr>
          <w:rFonts w:ascii="Times New Roman" w:hAnsi="Times New Roman"/>
          <w:sz w:val="20"/>
        </w:rPr>
        <w:t>million or 40% compared to the same period in 2024. Interest expense was $47.6</w:t>
      </w:r>
      <w:r>
        <w:rPr>
          <w:rFonts w:ascii="Times New Roman" w:hAnsi="Times New Roman"/>
          <w:sz w:val="24"/>
        </w:rPr>
        <w:t xml:space="preserve"> </w:t>
      </w:r>
      <w:r>
        <w:rPr>
          <w:rFonts w:ascii="Times New Roman" w:hAnsi="Times New Roman"/>
          <w:sz w:val="20"/>
        </w:rPr>
        <w:t>million for the six months ended June 30, 2025, an increase</w:t>
      </w:r>
      <w:r>
        <w:rPr>
          <w:rFonts w:ascii="Times New Roman" w:hAnsi="Times New Roman"/>
          <w:sz w:val="24"/>
        </w:rPr>
        <w:t xml:space="preserve"> </w:t>
      </w:r>
      <w:r>
        <w:rPr>
          <w:rFonts w:ascii="Times New Roman" w:hAnsi="Times New Roman"/>
          <w:sz w:val="20"/>
        </w:rPr>
        <w:t>of $12.6</w:t>
      </w:r>
      <w:r>
        <w:rPr>
          <w:rFonts w:ascii="Times New Roman" w:hAnsi="Times New Roman"/>
          <w:sz w:val="24"/>
        </w:rPr>
        <w:t xml:space="preserve"> </w:t>
      </w:r>
      <w:r>
        <w:rPr>
          <w:rFonts w:ascii="Times New Roman" w:hAnsi="Times New Roman"/>
          <w:sz w:val="20"/>
        </w:rPr>
        <w:t>million or 36% compared to the same period in 2024.</w:t>
      </w:r>
      <w:r>
        <w:rPr>
          <w:rFonts w:ascii="Times New Roman" w:hAnsi="Times New Roman"/>
          <w:sz w:val="24"/>
        </w:rPr>
        <w:t> </w:t>
      </w:r>
      <w:r>
        <w:rPr>
          <w:rFonts w:ascii="Times New Roman" w:hAnsi="Times New Roman"/>
          <w:sz w:val="20"/>
        </w:rPr>
        <w:t>This increase was driven by an increase in interest rates on our Credit Facility, and the shift of borrowing from Convertible Notes during the first quarter of 2025 to the Credit Facility.</w:t>
      </w:r>
    </w:p>
    <w:p>
      <w:pPr>
        <w:pStyle w:val="TextBody"/>
        <w:bidi w:val="0"/>
        <w:spacing w:lineRule="atLeast" w:line="240" w:before="0" w:after="0"/>
        <w:jc w:val="left"/>
        <w:rPr>
          <w:rFonts w:ascii="Times New Roman" w:hAnsi="Times New Roman"/>
          <w:sz w:val="24"/>
        </w:rPr>
      </w:pPr>
      <w:r>
        <w:rPr>
          <w:rFonts w:ascii="Times New Roman" w:hAnsi="Times New Roman"/>
          <w:sz w:val="24"/>
        </w:rPr>
        <w:br/>
      </w:r>
      <w:r>
        <w:rPr>
          <w:rFonts w:ascii="Times New Roman" w:hAnsi="Times New Roman"/>
          <w:i/>
          <w:sz w:val="20"/>
        </w:rPr>
        <w:t>Foreign currency exchange loss, net</w:t>
      </w:r>
    </w:p>
    <w:p>
      <w:pPr>
        <w:pStyle w:val="TextBody"/>
        <w:bidi w:val="0"/>
        <w:spacing w:lineRule="atLeast" w:line="240" w:before="0" w:after="0"/>
        <w:jc w:val="both"/>
        <w:rPr/>
      </w:pPr>
      <w:r>
        <w:rPr/>
        <w:t> </w:t>
      </w:r>
      <w:r>
        <w:rPr>
          <w:rFonts w:ascii="Times New Roman" w:hAnsi="Times New Roman"/>
          <w:sz w:val="24"/>
        </w:rPr>
        <w:br/>
      </w:r>
      <w:r>
        <w:rPr>
          <w:rFonts w:ascii="Times New Roman" w:hAnsi="Times New Roman"/>
          <w:sz w:val="20"/>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w:t>
      </w:r>
      <w:r>
        <w:rPr>
          <w:rFonts w:ascii="Times New Roman" w:hAnsi="Times New Roman"/>
          <w:sz w:val="24"/>
        </w:rPr>
        <w:t> </w:t>
      </w:r>
    </w:p>
    <w:p>
      <w:pPr>
        <w:pStyle w:val="TextBody"/>
        <w:bidi w:val="0"/>
        <w:spacing w:lineRule="atLeast" w:line="240" w:before="0" w:after="0"/>
        <w:jc w:val="both"/>
        <w:rPr/>
      </w:pPr>
      <w:r>
        <w:rPr/>
        <w:t> </w:t>
      </w:r>
      <w:r>
        <w:rPr>
          <w:rFonts w:ascii="Times New Roman" w:hAnsi="Times New Roman"/>
          <w:sz w:val="24"/>
        </w:rPr>
        <w:br/>
      </w:r>
      <w:r>
        <w:rPr>
          <w:rFonts w:ascii="Times New Roman" w:hAnsi="Times New Roman"/>
          <w:sz w:val="20"/>
        </w:rPr>
        <w:t>We recorded net foreign currency exchange loss of $5.7</w:t>
      </w:r>
      <w:r>
        <w:rPr>
          <w:rFonts w:ascii="Times New Roman" w:hAnsi="Times New Roman"/>
          <w:sz w:val="24"/>
        </w:rPr>
        <w:t xml:space="preserve"> </w:t>
      </w:r>
      <w:r>
        <w:rPr>
          <w:rFonts w:ascii="Times New Roman" w:hAnsi="Times New Roman"/>
          <w:sz w:val="20"/>
        </w:rPr>
        <w:t>million and $23.8</w:t>
      </w:r>
      <w:r>
        <w:rPr>
          <w:rFonts w:ascii="Times New Roman" w:hAnsi="Times New Roman"/>
          <w:sz w:val="24"/>
        </w:rPr>
        <w:t xml:space="preserve"> </w:t>
      </w:r>
      <w:r>
        <w:rPr>
          <w:rFonts w:ascii="Times New Roman" w:hAnsi="Times New Roman"/>
          <w:sz w:val="20"/>
        </w:rPr>
        <w:t>million for the three and six months ended June 30, 2025, compared to net foreign currency exchange income of $1.5</w:t>
      </w:r>
      <w:r>
        <w:rPr>
          <w:rFonts w:ascii="Times New Roman" w:hAnsi="Times New Roman"/>
          <w:sz w:val="24"/>
        </w:rPr>
        <w:t xml:space="preserve"> </w:t>
      </w:r>
      <w:r>
        <w:rPr>
          <w:rFonts w:ascii="Times New Roman" w:hAnsi="Times New Roman"/>
          <w:sz w:val="20"/>
        </w:rPr>
        <w:t>million and loss of $11.0</w:t>
      </w:r>
      <w:r>
        <w:rPr>
          <w:rFonts w:ascii="Times New Roman" w:hAnsi="Times New Roman"/>
          <w:sz w:val="24"/>
        </w:rPr>
        <w:t xml:space="preserve"> </w:t>
      </w:r>
      <w:r>
        <w:rPr>
          <w:rFonts w:ascii="Times New Roman" w:hAnsi="Times New Roman"/>
          <w:sz w:val="20"/>
        </w:rPr>
        <w:t>million for the same periods in 2024. These realized and unrealized foreign currency exchange losses reflect the fluctuation in the value of the U.S. dollar against the currencies of the countries in which we operated during the respective period.</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Other gains (losses)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other gains mainly relate to a discrete non-cash investment gain.</w:t>
      </w:r>
    </w:p>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b/>
          <w:sz w:val="20"/>
        </w:rPr>
      </w:pPr>
      <w:r>
        <w:rPr>
          <w:rFonts w:ascii="Times New Roman" w:hAnsi="Times New Roman"/>
          <w:b/>
          <w:sz w:val="20"/>
        </w:rPr>
        <w:t xml:space="preserve">INCOME TAX EXPENSE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Company's effective income tax rate was 25.6% and 23.0% for the</w:t>
      </w:r>
      <w:r>
        <w:rPr>
          <w:rFonts w:ascii="Times New Roman" w:hAnsi="Times New Roman"/>
          <w:sz w:val="24"/>
        </w:rPr>
        <w:t> </w:t>
      </w:r>
      <w:r>
        <w:rPr>
          <w:rFonts w:ascii="Times New Roman" w:hAnsi="Times New Roman"/>
          <w:sz w:val="20"/>
        </w:rPr>
        <w:t>three and six months ended June 30, 2025, compared to 32.0%</w:t>
      </w:r>
      <w:r>
        <w:rPr>
          <w:rFonts w:ascii="Times New Roman" w:hAnsi="Times New Roman"/>
          <w:sz w:val="24"/>
        </w:rPr>
        <w:t> </w:t>
      </w:r>
      <w:r>
        <w:rPr>
          <w:rFonts w:ascii="Times New Roman" w:hAnsi="Times New Roman"/>
          <w:sz w:val="20"/>
        </w:rPr>
        <w:t>and 33.5% for the same period ended</w:t>
      </w:r>
      <w:r>
        <w:rPr>
          <w:rFonts w:ascii="Times New Roman" w:hAnsi="Times New Roman"/>
          <w:sz w:val="24"/>
        </w:rPr>
        <w:t> </w:t>
      </w:r>
      <w:r>
        <w:rPr>
          <w:rFonts w:ascii="Times New Roman" w:hAnsi="Times New Roman"/>
          <w:sz w:val="20"/>
        </w:rPr>
        <w:t>June 30, 2024.</w:t>
      </w:r>
      <w:r>
        <w:rPr>
          <w:rFonts w:ascii="Times New Roman" w:hAnsi="Times New Roman"/>
          <w:sz w:val="24"/>
        </w:rPr>
        <w:t> </w:t>
      </w:r>
      <w:r>
        <w:rPr>
          <w:rFonts w:ascii="Times New Roman" w:hAnsi="Times New Roman"/>
          <w:sz w:val="20"/>
        </w:rPr>
        <w:t>The Company's effective income tax rate</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three months ended June 30, 2025</w:t>
      </w:r>
      <w:r>
        <w:rPr>
          <w:rFonts w:ascii="Times New Roman" w:hAnsi="Times New Roman"/>
          <w:sz w:val="24"/>
        </w:rPr>
        <w:t xml:space="preserve"> </w:t>
      </w:r>
      <w:r>
        <w:rPr>
          <w:rFonts w:ascii="Times New Roman" w:hAnsi="Times New Roman"/>
          <w:sz w:val="20"/>
        </w:rPr>
        <w:t>was higher than the applicable statutory income tax rate of 21% as a result of certain of its foreign earnings being subject to higher local statutory tax rates.</w:t>
      </w:r>
      <w:r>
        <w:rPr>
          <w:rFonts w:ascii="Times New Roman" w:hAnsi="Times New Roman"/>
          <w:sz w:val="24"/>
        </w:rPr>
        <w:t> </w:t>
      </w:r>
      <w:r>
        <w:rPr>
          <w:rFonts w:ascii="Times New Roman" w:hAnsi="Times New Roman"/>
          <w:sz w:val="20"/>
        </w:rPr>
        <w:t>Our effective income tax rate for the</w:t>
      </w:r>
      <w:r>
        <w:rPr>
          <w:rFonts w:ascii="Times New Roman" w:hAnsi="Times New Roman"/>
          <w:sz w:val="24"/>
        </w:rPr>
        <w:t> </w:t>
      </w:r>
      <w:r>
        <w:rPr>
          <w:rFonts w:ascii="Times New Roman" w:hAnsi="Times New Roman"/>
          <w:sz w:val="20"/>
        </w:rPr>
        <w:t>three</w:t>
      </w:r>
      <w:r>
        <w:rPr>
          <w:rFonts w:ascii="Times New Roman" w:hAnsi="Times New Roman"/>
          <w:sz w:val="24"/>
        </w:rPr>
        <w:t> </w:t>
      </w:r>
      <w:r>
        <w:rPr>
          <w:rFonts w:ascii="Times New Roman" w:hAnsi="Times New Roman"/>
          <w:sz w:val="20"/>
        </w:rPr>
        <w:t>months ended</w:t>
      </w:r>
      <w:r>
        <w:rPr>
          <w:rFonts w:ascii="Times New Roman" w:hAnsi="Times New Roman"/>
          <w:sz w:val="24"/>
        </w:rPr>
        <w:t> </w:t>
      </w:r>
      <w:r>
        <w:rPr>
          <w:rFonts w:ascii="Times New Roman" w:hAnsi="Times New Roman"/>
          <w:sz w:val="20"/>
        </w:rPr>
        <w:t>June 30, 2024</w:t>
      </w:r>
      <w:r>
        <w:rPr>
          <w:rFonts w:ascii="Times New Roman" w:hAnsi="Times New Roman"/>
          <w:sz w:val="24"/>
        </w:rPr>
        <w:t> </w:t>
      </w:r>
      <w:r>
        <w:rPr>
          <w:rFonts w:ascii="Times New Roman" w:hAnsi="Times New Roman"/>
          <w:sz w:val="20"/>
        </w:rPr>
        <w:t>was higher than the applicable statutory income tax rate of</w:t>
      </w:r>
      <w:r>
        <w:rPr>
          <w:rFonts w:ascii="Times New Roman" w:hAnsi="Times New Roman"/>
          <w:sz w:val="24"/>
        </w:rPr>
        <w:t> </w:t>
      </w:r>
      <w:r>
        <w:rPr>
          <w:rFonts w:ascii="Times New Roman" w:hAnsi="Times New Roman"/>
          <w:sz w:val="20"/>
        </w:rPr>
        <w:t>21% mainly as a result of certain foreign earnings being subject to higher local statutory tax rates and our U.S. deferred tax activity.</w:t>
      </w:r>
    </w:p>
    <w:p>
      <w:pPr>
        <w:pStyle w:val="TextBody"/>
        <w:bidi w:val="0"/>
        <w:spacing w:lineRule="atLeast" w:line="240" w:before="0" w:after="0"/>
        <w:jc w:val="both"/>
        <w:rPr/>
      </w:pPr>
      <w:r>
        <w:rPr/>
        <w:t> </w:t>
      </w:r>
    </w:p>
    <w:p>
      <w:pPr>
        <w:pStyle w:val="TextBody"/>
        <w:bidi w:val="0"/>
        <w:spacing w:lineRule="auto" w:line="276" w:before="0" w:after="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b/>
          <w:sz w:val="20"/>
        </w:rPr>
      </w:pPr>
      <w:r>
        <w:rPr>
          <w:rFonts w:ascii="Times New Roman" w:hAnsi="Times New Roman"/>
          <w:b/>
          <w:sz w:val="20"/>
        </w:rPr>
        <w:t>NET INCOME (LOSS) ATTRIBUTABLE TO NONCONTROLLING INTERESTS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Noncontrolling interests represent the elimination of net income or loss attributable to the minority shareholders’ portion of the following consolidated subsidiaries that are not wholly owned:</w:t>
      </w:r>
    </w:p>
    <w:p>
      <w:pPr>
        <w:pStyle w:val="TextBody"/>
        <w:bidi w:val="0"/>
        <w:spacing w:lineRule="atLeast" w:line="240" w:before="0" w:after="0"/>
        <w:jc w:val="both"/>
        <w:rPr/>
      </w:pPr>
      <w:r>
        <w:rPr/>
        <w:t> </w:t>
      </w:r>
    </w:p>
    <w:tbl>
      <w:tblPr>
        <w:tblW w:w="6000" w:type="dxa"/>
        <w:jc w:val="left"/>
        <w:tblInd w:w="0" w:type="dxa"/>
        <w:tblLayout w:type="fixed"/>
        <w:tblCellMar>
          <w:top w:w="0" w:type="dxa"/>
          <w:left w:w="0" w:type="dxa"/>
          <w:bottom w:w="28" w:type="dxa"/>
          <w:right w:w="0" w:type="dxa"/>
        </w:tblCellMar>
      </w:tblPr>
      <w:tblGrid>
        <w:gridCol w:w="2900"/>
        <w:gridCol w:w="60"/>
        <w:gridCol w:w="60"/>
        <w:gridCol w:w="1130"/>
        <w:gridCol w:w="60"/>
        <w:gridCol w:w="60"/>
        <w:gridCol w:w="1730"/>
      </w:tblGrid>
      <w:tr>
        <w:trPr/>
        <w:tc>
          <w:tcPr>
            <w:tcW w:w="2900" w:type="dxa"/>
            <w:tcBorders>
              <w:bottom w:val="single" w:sz="8" w:space="0" w:color="000000"/>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Subsidiary</w:t>
            </w:r>
          </w:p>
        </w:tc>
        <w:tc>
          <w:tcPr>
            <w:tcW w:w="60" w:type="dxa"/>
            <w:tcBorders/>
            <w:tcMar>
              <w:bottom w:w="0" w:type="dxa"/>
            </w:tcMar>
            <w:vAlign w:val="center"/>
          </w:tcPr>
          <w:p>
            <w:pPr>
              <w:pStyle w:val="TableContents"/>
              <w:bidi w:val="0"/>
              <w:spacing w:before="0" w:after="0"/>
              <w:jc w:val="left"/>
              <w:rPr/>
            </w:pPr>
            <w:r>
              <w:rPr/>
              <w:t> </w:t>
            </w:r>
          </w:p>
        </w:tc>
        <w:tc>
          <w:tcPr>
            <w:tcW w:w="60" w:type="dxa"/>
            <w:tcBorders>
              <w:bottom w:val="single" w:sz="8" w:space="0" w:color="000000"/>
            </w:tcBorders>
            <w:vAlign w:val="center"/>
          </w:tcPr>
          <w:p>
            <w:pPr>
              <w:pStyle w:val="TableContents"/>
              <w:bidi w:val="0"/>
              <w:spacing w:before="0" w:after="0"/>
              <w:jc w:val="left"/>
              <w:rPr/>
            </w:pPr>
            <w:r>
              <w:rPr/>
              <w:t> </w:t>
            </w:r>
          </w:p>
        </w:tc>
        <w:tc>
          <w:tcPr>
            <w:tcW w:w="1130"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Percent Owned</w:t>
            </w:r>
          </w:p>
        </w:tc>
        <w:tc>
          <w:tcPr>
            <w:tcW w:w="6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730"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Segment - Country</w:t>
            </w:r>
          </w:p>
        </w:tc>
      </w:tr>
      <w:tr>
        <w:trPr/>
        <w:tc>
          <w:tcPr>
            <w:tcW w:w="2900"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LATAM ATM Solutions (Prosegur)</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130" w:type="dxa"/>
            <w:tcBorders>
              <w:top w:val="single" w:sz="8" w:space="0" w:color="000000"/>
            </w:tcBorders>
            <w:shd w:fill="CCEEFF" w:val="clear"/>
            <w:tcMar>
              <w:top w:w="28" w:type="dxa"/>
              <w:bottom w:w="0" w:type="dxa"/>
            </w:tcMar>
            <w:vAlign w:val="center"/>
          </w:tcPr>
          <w:p>
            <w:pPr>
              <w:pStyle w:val="TableContents"/>
              <w:bidi w:val="0"/>
              <w:spacing w:before="0" w:after="0"/>
              <w:jc w:val="center"/>
              <w:rPr>
                <w:sz w:val="20"/>
              </w:rPr>
            </w:pPr>
            <w:r>
              <w:rPr>
                <w:sz w:val="20"/>
              </w:rPr>
              <w:t>51</w:t>
            </w: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730" w:type="dxa"/>
            <w:tcBorders>
              <w:top w:val="single" w:sz="8" w:space="0" w:color="000000"/>
            </w:tcBorders>
            <w:shd w:fill="CCEEFF" w:val="clear"/>
            <w:tcMar>
              <w:top w:w="28"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EFT - South America</w:t>
            </w:r>
          </w:p>
        </w:tc>
      </w:tr>
      <w:tr>
        <w:trPr/>
        <w:tc>
          <w:tcPr>
            <w:tcW w:w="290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Euronet China</w:t>
            </w:r>
          </w:p>
        </w:tc>
        <w:tc>
          <w:tcPr>
            <w:tcW w:w="6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130" w:type="dxa"/>
            <w:tcBorders/>
            <w:shd w:fill="FFFFFF" w:val="clear"/>
            <w:tcMar>
              <w:bottom w:w="0" w:type="dxa"/>
            </w:tcMar>
            <w:vAlign w:val="center"/>
          </w:tcPr>
          <w:p>
            <w:pPr>
              <w:pStyle w:val="TableContents"/>
              <w:bidi w:val="0"/>
              <w:spacing w:before="0" w:after="0"/>
              <w:jc w:val="center"/>
              <w:rPr>
                <w:sz w:val="20"/>
              </w:rPr>
            </w:pPr>
            <w:r>
              <w:rPr>
                <w:sz w:val="20"/>
              </w:rPr>
              <w:t>85</w:t>
            </w: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730" w:type="dxa"/>
            <w:tcBorders/>
            <w:shd w:fill="FFFF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EFT - China</w:t>
            </w:r>
          </w:p>
        </w:tc>
      </w:tr>
      <w:tr>
        <w:trPr/>
        <w:tc>
          <w:tcPr>
            <w:tcW w:w="290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Euronet Pakistan</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130" w:type="dxa"/>
            <w:tcBorders/>
            <w:shd w:fill="CCEEFF" w:val="clear"/>
            <w:tcMar>
              <w:bottom w:w="0" w:type="dxa"/>
            </w:tcMar>
            <w:vAlign w:val="center"/>
          </w:tcPr>
          <w:p>
            <w:pPr>
              <w:pStyle w:val="TableContents"/>
              <w:bidi w:val="0"/>
              <w:spacing w:before="0" w:after="0"/>
              <w:jc w:val="center"/>
              <w:rPr>
                <w:sz w:val="20"/>
              </w:rPr>
            </w:pPr>
            <w:r>
              <w:rPr>
                <w:sz w:val="20"/>
              </w:rPr>
              <w:t>70</w:t>
            </w: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730"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EFT - Pakistan</w:t>
            </w:r>
          </w:p>
        </w:tc>
      </w:tr>
      <w:tr>
        <w:trPr/>
        <w:tc>
          <w:tcPr>
            <w:tcW w:w="290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Unidos Co., Ltd.</w:t>
            </w:r>
          </w:p>
        </w:tc>
        <w:tc>
          <w:tcPr>
            <w:tcW w:w="6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130" w:type="dxa"/>
            <w:tcBorders/>
            <w:shd w:fill="FFFFFF" w:val="clear"/>
            <w:tcMar>
              <w:bottom w:w="0" w:type="dxa"/>
            </w:tcMar>
            <w:vAlign w:val="center"/>
          </w:tcPr>
          <w:p>
            <w:pPr>
              <w:pStyle w:val="TableContents"/>
              <w:bidi w:val="0"/>
              <w:spacing w:before="0" w:after="0"/>
              <w:jc w:val="center"/>
              <w:rPr>
                <w:sz w:val="20"/>
              </w:rPr>
            </w:pPr>
            <w:r>
              <w:rPr>
                <w:sz w:val="20"/>
              </w:rPr>
              <w:t>60</w:t>
            </w: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730" w:type="dxa"/>
            <w:tcBorders/>
            <w:shd w:fill="FFFF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MT - Japan</w:t>
            </w:r>
          </w:p>
        </w:tc>
      </w:tr>
    </w:tbl>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b/>
          <w:sz w:val="20"/>
        </w:rPr>
      </w:pPr>
      <w:r>
        <w:rPr>
          <w:rFonts w:ascii="Times New Roman" w:hAnsi="Times New Roman"/>
          <w:b/>
          <w:sz w:val="20"/>
        </w:rPr>
        <w:t>NET INCOME (LOSS) ATTRIBUTABLE TO EURONET</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Net income attributable to Euronet was $97.6</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 three months ended June 30, 2025, an increase</w:t>
      </w:r>
      <w:r>
        <w:rPr>
          <w:rFonts w:ascii="Times New Roman" w:hAnsi="Times New Roman"/>
          <w:sz w:val="24"/>
        </w:rPr>
        <w:t xml:space="preserve"> </w:t>
      </w:r>
      <w:r>
        <w:rPr>
          <w:rFonts w:ascii="Times New Roman" w:hAnsi="Times New Roman"/>
          <w:sz w:val="20"/>
        </w:rPr>
        <w:t>of $14.5</w:t>
      </w:r>
      <w:r>
        <w:rPr>
          <w:rFonts w:ascii="Times New Roman" w:hAnsi="Times New Roman"/>
          <w:sz w:val="24"/>
        </w:rPr>
        <w:t xml:space="preserve"> </w:t>
      </w:r>
      <w:r>
        <w:rPr>
          <w:rFonts w:ascii="Times New Roman" w:hAnsi="Times New Roman"/>
          <w:sz w:val="20"/>
        </w:rPr>
        <w:t>million or 17% compared to the same period in</w:t>
      </w:r>
      <w:r>
        <w:rPr>
          <w:rFonts w:ascii="Times New Roman" w:hAnsi="Times New Roman"/>
          <w:sz w:val="24"/>
        </w:rPr>
        <w:t> </w:t>
      </w:r>
      <w:r>
        <w:rPr>
          <w:rFonts w:ascii="Times New Roman" w:hAnsi="Times New Roman"/>
          <w:sz w:val="20"/>
        </w:rPr>
        <w:t>2024. The increase in net income was primarily attributable to the $88.1</w:t>
      </w:r>
      <w:r>
        <w:rPr>
          <w:rFonts w:ascii="Times New Roman" w:hAnsi="Times New Roman"/>
          <w:sz w:val="24"/>
        </w:rPr>
        <w:t xml:space="preserve"> </w:t>
      </w:r>
      <w:r>
        <w:rPr>
          <w:rFonts w:ascii="Times New Roman" w:hAnsi="Times New Roman"/>
          <w:sz w:val="20"/>
        </w:rPr>
        <w:t>million increase</w:t>
      </w:r>
      <w:r>
        <w:rPr>
          <w:rFonts w:ascii="Times New Roman" w:hAnsi="Times New Roman"/>
          <w:sz w:val="24"/>
        </w:rPr>
        <w:t xml:space="preserve"> </w:t>
      </w:r>
      <w:r>
        <w:rPr>
          <w:rFonts w:ascii="Times New Roman" w:hAnsi="Times New Roman"/>
          <w:sz w:val="20"/>
        </w:rPr>
        <w:t>in revenues, largely driven by successful</w:t>
      </w:r>
      <w:r>
        <w:rPr>
          <w:rFonts w:ascii="Times New Roman" w:hAnsi="Times New Roman"/>
          <w:sz w:val="24"/>
        </w:rPr>
        <w:t> </w:t>
      </w:r>
      <w:r>
        <w:rPr>
          <w:rFonts w:ascii="Times New Roman" w:hAnsi="Times New Roman"/>
          <w:sz w:val="20"/>
        </w:rPr>
        <w:t>business operations. The increased revenues led to a $48.3</w:t>
      </w:r>
      <w:r>
        <w:rPr>
          <w:rFonts w:ascii="Times New Roman" w:hAnsi="Times New Roman"/>
          <w:sz w:val="24"/>
        </w:rPr>
        <w:t xml:space="preserve"> </w:t>
      </w:r>
      <w:r>
        <w:rPr>
          <w:rFonts w:ascii="Times New Roman" w:hAnsi="Times New Roman"/>
          <w:sz w:val="20"/>
        </w:rPr>
        <w:t>million increase</w:t>
      </w:r>
      <w:r>
        <w:rPr>
          <w:rFonts w:ascii="Times New Roman" w:hAnsi="Times New Roman"/>
          <w:sz w:val="24"/>
        </w:rPr>
        <w:t xml:space="preserve"> </w:t>
      </w:r>
      <w:r>
        <w:rPr>
          <w:rFonts w:ascii="Times New Roman" w:hAnsi="Times New Roman"/>
          <w:sz w:val="20"/>
        </w:rPr>
        <w:t>in gross profit. The increase in gross profit was partially offset by a $15.5</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increase</w:t>
      </w:r>
      <w:r>
        <w:rPr>
          <w:rFonts w:ascii="Times New Roman" w:hAnsi="Times New Roman"/>
          <w:sz w:val="24"/>
        </w:rPr>
        <w:t xml:space="preserve"> </w:t>
      </w:r>
      <w:r>
        <w:rPr>
          <w:rFonts w:ascii="Times New Roman" w:hAnsi="Times New Roman"/>
          <w:sz w:val="20"/>
        </w:rPr>
        <w:t>in salaries and benefits expense, an $8.4</w:t>
      </w:r>
      <w:r>
        <w:rPr>
          <w:rFonts w:ascii="Times New Roman" w:hAnsi="Times New Roman"/>
          <w:sz w:val="24"/>
        </w:rPr>
        <w:t> </w:t>
      </w:r>
      <w:r>
        <w:rPr>
          <w:rFonts w:ascii="Times New Roman" w:hAnsi="Times New Roman"/>
          <w:sz w:val="20"/>
        </w:rPr>
        <w:t>million increase</w:t>
      </w:r>
      <w:r>
        <w:rPr>
          <w:rFonts w:ascii="Times New Roman" w:hAnsi="Times New Roman"/>
          <w:sz w:val="24"/>
        </w:rPr>
        <w:t xml:space="preserve"> </w:t>
      </w:r>
      <w:r>
        <w:rPr>
          <w:rFonts w:ascii="Times New Roman" w:hAnsi="Times New Roman"/>
          <w:sz w:val="20"/>
        </w:rPr>
        <w:t>in selling, general and administrative</w:t>
      </w:r>
      <w:r>
        <w:rPr>
          <w:rFonts w:ascii="Times New Roman" w:hAnsi="Times New Roman"/>
          <w:sz w:val="24"/>
        </w:rPr>
        <w:t> </w:t>
      </w:r>
      <w:r>
        <w:rPr>
          <w:rFonts w:ascii="Times New Roman" w:hAnsi="Times New Roman"/>
          <w:sz w:val="20"/>
        </w:rPr>
        <w:t>expenses, an $8.1</w:t>
      </w:r>
      <w:r>
        <w:rPr>
          <w:rFonts w:ascii="Times New Roman" w:hAnsi="Times New Roman"/>
          <w:sz w:val="24"/>
        </w:rPr>
        <w:t> </w:t>
      </w:r>
      <w:r>
        <w:rPr>
          <w:rFonts w:ascii="Times New Roman" w:hAnsi="Times New Roman"/>
          <w:sz w:val="20"/>
        </w:rPr>
        <w:t>million increase in interest expense and a $7.2</w:t>
      </w:r>
      <w:r>
        <w:rPr>
          <w:rFonts w:ascii="Times New Roman" w:hAnsi="Times New Roman"/>
          <w:sz w:val="24"/>
        </w:rPr>
        <w:t> </w:t>
      </w:r>
      <w:r>
        <w:rPr>
          <w:rFonts w:ascii="Times New Roman" w:hAnsi="Times New Roman"/>
          <w:sz w:val="20"/>
        </w:rPr>
        <w:t xml:space="preserve">million loss in foreign currency exchange.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Net income attributable to Euronet was $136.0</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 six months ended June 30, 2025, an increase</w:t>
      </w:r>
      <w:r>
        <w:rPr>
          <w:rFonts w:ascii="Times New Roman" w:hAnsi="Times New Roman"/>
          <w:sz w:val="24"/>
        </w:rPr>
        <w:t xml:space="preserve"> </w:t>
      </w:r>
      <w:r>
        <w:rPr>
          <w:rFonts w:ascii="Times New Roman" w:hAnsi="Times New Roman"/>
          <w:sz w:val="20"/>
        </w:rPr>
        <w:t>of $26.7</w:t>
      </w:r>
      <w:r>
        <w:rPr>
          <w:rFonts w:ascii="Times New Roman" w:hAnsi="Times New Roman"/>
          <w:sz w:val="24"/>
        </w:rPr>
        <w:t xml:space="preserve"> </w:t>
      </w:r>
      <w:r>
        <w:rPr>
          <w:rFonts w:ascii="Times New Roman" w:hAnsi="Times New Roman"/>
          <w:sz w:val="20"/>
        </w:rPr>
        <w:t>million or 24% compared to the same period in</w:t>
      </w:r>
      <w:r>
        <w:rPr>
          <w:rFonts w:ascii="Times New Roman" w:hAnsi="Times New Roman"/>
          <w:sz w:val="24"/>
        </w:rPr>
        <w:t> </w:t>
      </w:r>
      <w:r>
        <w:rPr>
          <w:rFonts w:ascii="Times New Roman" w:hAnsi="Times New Roman"/>
          <w:sz w:val="20"/>
        </w:rPr>
        <w:t>2024. The increase in net income was primarily attributable to the 146.6</w:t>
      </w:r>
      <w:r>
        <w:rPr>
          <w:rFonts w:ascii="Times New Roman" w:hAnsi="Times New Roman"/>
          <w:sz w:val="24"/>
        </w:rPr>
        <w:t xml:space="preserve"> </w:t>
      </w:r>
      <w:r>
        <w:rPr>
          <w:rFonts w:ascii="Times New Roman" w:hAnsi="Times New Roman"/>
          <w:sz w:val="20"/>
        </w:rPr>
        <w:t>million increase</w:t>
      </w:r>
      <w:r>
        <w:rPr>
          <w:rFonts w:ascii="Times New Roman" w:hAnsi="Times New Roman"/>
          <w:sz w:val="24"/>
        </w:rPr>
        <w:t xml:space="preserve"> </w:t>
      </w:r>
      <w:r>
        <w:rPr>
          <w:rFonts w:ascii="Times New Roman" w:hAnsi="Times New Roman"/>
          <w:sz w:val="20"/>
        </w:rPr>
        <w:t>in revenues, largely driven by successful</w:t>
      </w:r>
      <w:r>
        <w:rPr>
          <w:rFonts w:ascii="Times New Roman" w:hAnsi="Times New Roman"/>
          <w:sz w:val="24"/>
        </w:rPr>
        <w:t> </w:t>
      </w:r>
      <w:r>
        <w:rPr>
          <w:rFonts w:ascii="Times New Roman" w:hAnsi="Times New Roman"/>
          <w:sz w:val="20"/>
        </w:rPr>
        <w:t>business operations. The increased revenues led to a $79.5</w:t>
      </w:r>
      <w:r>
        <w:rPr>
          <w:rFonts w:ascii="Times New Roman" w:hAnsi="Times New Roman"/>
          <w:sz w:val="24"/>
        </w:rPr>
        <w:t xml:space="preserve"> </w:t>
      </w:r>
      <w:r>
        <w:rPr>
          <w:rFonts w:ascii="Times New Roman" w:hAnsi="Times New Roman"/>
          <w:sz w:val="20"/>
        </w:rPr>
        <w:t>million increase</w:t>
      </w:r>
      <w:r>
        <w:rPr>
          <w:rFonts w:ascii="Times New Roman" w:hAnsi="Times New Roman"/>
          <w:sz w:val="24"/>
        </w:rPr>
        <w:t xml:space="preserve"> </w:t>
      </w:r>
      <w:r>
        <w:rPr>
          <w:rFonts w:ascii="Times New Roman" w:hAnsi="Times New Roman"/>
          <w:sz w:val="20"/>
        </w:rPr>
        <w:t>in gross profit. The increase in gross profit was partially offset by a $24.9</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increase</w:t>
      </w:r>
      <w:r>
        <w:rPr>
          <w:rFonts w:ascii="Times New Roman" w:hAnsi="Times New Roman"/>
          <w:sz w:val="24"/>
        </w:rPr>
        <w:t xml:space="preserve"> </w:t>
      </w:r>
      <w:r>
        <w:rPr>
          <w:rFonts w:ascii="Times New Roman" w:hAnsi="Times New Roman"/>
          <w:sz w:val="20"/>
        </w:rPr>
        <w:t>in salaries and benefits expense, a $19.5</w:t>
      </w:r>
      <w:r>
        <w:rPr>
          <w:rFonts w:ascii="Times New Roman" w:hAnsi="Times New Roman"/>
          <w:sz w:val="24"/>
        </w:rPr>
        <w:t> </w:t>
      </w:r>
      <w:r>
        <w:rPr>
          <w:rFonts w:ascii="Times New Roman" w:hAnsi="Times New Roman"/>
          <w:sz w:val="20"/>
        </w:rPr>
        <w:t>million increase</w:t>
      </w:r>
      <w:r>
        <w:rPr>
          <w:rFonts w:ascii="Times New Roman" w:hAnsi="Times New Roman"/>
          <w:sz w:val="24"/>
        </w:rPr>
        <w:t xml:space="preserve"> </w:t>
      </w:r>
      <w:r>
        <w:rPr>
          <w:rFonts w:ascii="Times New Roman" w:hAnsi="Times New Roman"/>
          <w:sz w:val="20"/>
        </w:rPr>
        <w:t>in selling, general and administrative</w:t>
      </w:r>
      <w:r>
        <w:rPr>
          <w:rFonts w:ascii="Times New Roman" w:hAnsi="Times New Roman"/>
          <w:sz w:val="24"/>
        </w:rPr>
        <w:t> </w:t>
      </w:r>
      <w:r>
        <w:rPr>
          <w:rFonts w:ascii="Times New Roman" w:hAnsi="Times New Roman"/>
          <w:sz w:val="20"/>
        </w:rPr>
        <w:t>expenses, a $12.6</w:t>
      </w:r>
      <w:r>
        <w:rPr>
          <w:rFonts w:ascii="Times New Roman" w:hAnsi="Times New Roman"/>
          <w:sz w:val="24"/>
        </w:rPr>
        <w:t> </w:t>
      </w:r>
      <w:r>
        <w:rPr>
          <w:rFonts w:ascii="Times New Roman" w:hAnsi="Times New Roman"/>
          <w:sz w:val="20"/>
        </w:rPr>
        <w:t>million increase in interest expense and a $12.8</w:t>
      </w:r>
      <w:r>
        <w:rPr>
          <w:rFonts w:ascii="Times New Roman" w:hAnsi="Times New Roman"/>
          <w:sz w:val="24"/>
        </w:rPr>
        <w:t> </w:t>
      </w:r>
      <w:r>
        <w:rPr>
          <w:rFonts w:ascii="Times New Roman" w:hAnsi="Times New Roman"/>
          <w:sz w:val="20"/>
        </w:rPr>
        <w:t>million loss in foreign currency exchange.</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sz w:val="20"/>
        </w:rPr>
      </w:pPr>
      <w:r>
        <w:rPr>
          <w:rFonts w:ascii="Times New Roman" w:hAnsi="Times New Roman"/>
          <w:b/>
          <w:sz w:val="20"/>
        </w:rPr>
        <w:t>LIQUIDITY AND CAPITAL RESOURCES</w:t>
      </w:r>
    </w:p>
    <w:p>
      <w:pPr>
        <w:pStyle w:val="TextBody"/>
        <w:bidi w:val="0"/>
        <w:spacing w:lineRule="atLeast" w:line="240" w:before="0" w:after="0"/>
        <w:jc w:val="left"/>
        <w:rPr>
          <w:rFonts w:ascii="Times New Roman" w:hAnsi="Times New Roman"/>
          <w:sz w:val="24"/>
        </w:rPr>
      </w:pPr>
      <w:r>
        <w:rPr>
          <w:rFonts w:ascii="Times New Roman" w:hAnsi="Times New Roman"/>
          <w:sz w:val="24"/>
        </w:rPr>
        <w:br/>
      </w:r>
      <w:r>
        <w:rPr>
          <w:rFonts w:ascii="Times New Roman" w:hAnsi="Times New Roman"/>
          <w:i/>
          <w:sz w:val="20"/>
        </w:rPr>
        <w:t>Working capital</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As of</w:t>
      </w:r>
      <w:r>
        <w:rPr>
          <w:rFonts w:ascii="Times New Roman" w:hAnsi="Times New Roman"/>
          <w:sz w:val="24"/>
        </w:rPr>
        <w:t> </w:t>
      </w:r>
      <w:r>
        <w:rPr>
          <w:rFonts w:ascii="Times New Roman" w:hAnsi="Times New Roman"/>
          <w:sz w:val="20"/>
        </w:rPr>
        <w:t>June 30, 2025, we had working capital of $601.1</w:t>
      </w:r>
      <w:r>
        <w:rPr>
          <w:rFonts w:ascii="Times New Roman" w:hAnsi="Times New Roman"/>
          <w:sz w:val="24"/>
        </w:rPr>
        <w:t xml:space="preserve"> </w:t>
      </w:r>
      <w:r>
        <w:rPr>
          <w:rFonts w:ascii="Times New Roman" w:hAnsi="Times New Roman"/>
          <w:sz w:val="20"/>
        </w:rPr>
        <w:t>million, which is calculated as the difference between total current assets and total current liabilities, compared to working capital of $810.5</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as of</w:t>
      </w:r>
      <w:r>
        <w:rPr>
          <w:rFonts w:ascii="Times New Roman" w:hAnsi="Times New Roman"/>
          <w:sz w:val="24"/>
        </w:rPr>
        <w:t> </w:t>
      </w:r>
      <w:r>
        <w:rPr>
          <w:rFonts w:ascii="Times New Roman" w:hAnsi="Times New Roman"/>
          <w:sz w:val="20"/>
        </w:rPr>
        <w:t>December 31, 2024. Our ratio of current assets to current liabilities was</w:t>
      </w:r>
      <w:r>
        <w:rPr>
          <w:rFonts w:ascii="Times New Roman" w:hAnsi="Times New Roman"/>
          <w:sz w:val="24"/>
        </w:rPr>
        <w:t> </w:t>
      </w:r>
      <w:r>
        <w:rPr>
          <w:rFonts w:ascii="Times New Roman" w:hAnsi="Times New Roman"/>
          <w:sz w:val="20"/>
        </w:rPr>
        <w:t>1.15</w:t>
      </w:r>
      <w:r>
        <w:rPr>
          <w:rFonts w:ascii="Times New Roman" w:hAnsi="Times New Roman"/>
          <w:sz w:val="24"/>
        </w:rPr>
        <w:t> </w:t>
      </w:r>
      <w:r>
        <w:rPr>
          <w:rFonts w:ascii="Times New Roman" w:hAnsi="Times New Roman"/>
          <w:sz w:val="20"/>
        </w:rPr>
        <w:t>and 1.25</w:t>
      </w:r>
      <w:r>
        <w:rPr>
          <w:rFonts w:ascii="Times New Roman" w:hAnsi="Times New Roman"/>
          <w:sz w:val="24"/>
        </w:rPr>
        <w:t> </w:t>
      </w:r>
      <w:r>
        <w:rPr>
          <w:rFonts w:ascii="Times New Roman" w:hAnsi="Times New Roman"/>
          <w:sz w:val="20"/>
        </w:rPr>
        <w:t>at</w:t>
      </w:r>
      <w:r>
        <w:rPr>
          <w:rFonts w:ascii="Times New Roman" w:hAnsi="Times New Roman"/>
          <w:sz w:val="24"/>
        </w:rPr>
        <w:t> </w:t>
      </w:r>
      <w:r>
        <w:rPr>
          <w:rFonts w:ascii="Times New Roman" w:hAnsi="Times New Roman"/>
          <w:sz w:val="20"/>
        </w:rPr>
        <w:t>June 30, 2025</w:t>
      </w:r>
      <w:r>
        <w:rPr>
          <w:rFonts w:ascii="Times New Roman" w:hAnsi="Times New Roman"/>
          <w:sz w:val="24"/>
        </w:rPr>
        <w:t> </w:t>
      </w:r>
      <w:r>
        <w:rPr>
          <w:rFonts w:ascii="Times New Roman" w:hAnsi="Times New Roman"/>
          <w:sz w:val="20"/>
        </w:rPr>
        <w:t>and</w:t>
      </w:r>
      <w:r>
        <w:rPr>
          <w:rFonts w:ascii="Times New Roman" w:hAnsi="Times New Roman"/>
          <w:sz w:val="24"/>
        </w:rPr>
        <w:t> </w:t>
      </w:r>
      <w:r>
        <w:rPr>
          <w:rFonts w:ascii="Times New Roman" w:hAnsi="Times New Roman"/>
          <w:sz w:val="20"/>
        </w:rPr>
        <w:t>December 31, 2024, respectively.</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in order to cover weekends and banking holidays. As a result, we may report more or less working capital for the Money Transfer Segment based solely upon the day on which the reporting period ends. The epay Segment produces positive working capital, some of which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our revolving credit facilities, uncommitted credit agreements and cash flows from operations. As of</w:t>
      </w:r>
      <w:r>
        <w:rPr>
          <w:rFonts w:ascii="Times New Roman" w:hAnsi="Times New Roman"/>
          <w:sz w:val="24"/>
        </w:rPr>
        <w:t> </w:t>
      </w:r>
      <w:r>
        <w:rPr>
          <w:rFonts w:ascii="Times New Roman" w:hAnsi="Times New Roman"/>
          <w:sz w:val="20"/>
        </w:rPr>
        <w:t>June 30, 2025, we had $937.4</w:t>
      </w:r>
      <w:r>
        <w:rPr>
          <w:rFonts w:ascii="Times New Roman" w:hAnsi="Times New Roman"/>
          <w:sz w:val="24"/>
        </w:rPr>
        <w:t xml:space="preserve"> </w:t>
      </w:r>
      <w:r>
        <w:rPr>
          <w:rFonts w:ascii="Times New Roman" w:hAnsi="Times New Roman"/>
          <w:sz w:val="20"/>
        </w:rPr>
        <w:t>million of our own cash in use or designated for use in our ATM network, which is recorded in ATM cash on Euronet's Consolidated Balance Sheet. ATM cash increased $293.6</w:t>
      </w:r>
      <w:r>
        <w:rPr>
          <w:rFonts w:ascii="Times New Roman" w:hAnsi="Times New Roman"/>
          <w:sz w:val="24"/>
        </w:rPr>
        <w:t xml:space="preserve"> </w:t>
      </w:r>
      <w:r>
        <w:rPr>
          <w:rFonts w:ascii="Times New Roman" w:hAnsi="Times New Roman"/>
          <w:sz w:val="20"/>
        </w:rPr>
        <w:t>million from $643.8</w:t>
      </w:r>
      <w:r>
        <w:rPr>
          <w:rFonts w:ascii="Times New Roman" w:hAnsi="Times New Roman"/>
          <w:sz w:val="24"/>
        </w:rPr>
        <w:t xml:space="preserve"> </w:t>
      </w:r>
      <w:r>
        <w:rPr>
          <w:rFonts w:ascii="Times New Roman" w:hAnsi="Times New Roman"/>
          <w:sz w:val="20"/>
        </w:rPr>
        <w:t>million as of December 31, 2024</w:t>
      </w:r>
      <w:r>
        <w:rPr>
          <w:rFonts w:ascii="Times New Roman" w:hAnsi="Times New Roman"/>
          <w:sz w:val="24"/>
        </w:rPr>
        <w:t xml:space="preserve"> </w:t>
      </w:r>
      <w:r>
        <w:rPr>
          <w:rFonts w:ascii="Times New Roman" w:hAnsi="Times New Roman"/>
          <w:sz w:val="20"/>
        </w:rPr>
        <w:t>to $937.4</w:t>
      </w:r>
      <w:r>
        <w:rPr>
          <w:rFonts w:ascii="Times New Roman" w:hAnsi="Times New Roman"/>
          <w:sz w:val="24"/>
        </w:rPr>
        <w:t xml:space="preserve"> </w:t>
      </w:r>
      <w:r>
        <w:rPr>
          <w:rFonts w:ascii="Times New Roman" w:hAnsi="Times New Roman"/>
          <w:sz w:val="20"/>
        </w:rPr>
        <w:t>million as of June 30, 2025</w:t>
      </w:r>
      <w:r>
        <w:rPr>
          <w:rFonts w:ascii="Times New Roman" w:hAnsi="Times New Roman"/>
          <w:sz w:val="24"/>
        </w:rPr>
        <w:t> </w:t>
      </w:r>
      <w:r>
        <w:rPr>
          <w:rFonts w:ascii="Times New Roman" w:hAnsi="Times New Roman"/>
          <w:sz w:val="20"/>
        </w:rPr>
        <w:t>as a result of the increase in the number of active ATMs</w:t>
      </w:r>
      <w:r>
        <w:rPr>
          <w:rFonts w:ascii="Times New Roman" w:hAnsi="Times New Roman"/>
          <w:sz w:val="24"/>
        </w:rPr>
        <w:t> </w:t>
      </w:r>
      <w:r>
        <w:rPr>
          <w:rFonts w:ascii="Times New Roman" w:hAnsi="Times New Roman"/>
          <w:sz w:val="20"/>
        </w:rPr>
        <w:t>as of June 30, 2025</w:t>
      </w:r>
      <w:r>
        <w:rPr>
          <w:rFonts w:ascii="Times New Roman" w:hAnsi="Times New Roman"/>
          <w:sz w:val="24"/>
        </w:rPr>
        <w:t xml:space="preserve"> </w:t>
      </w:r>
      <w:r>
        <w:rPr>
          <w:rFonts w:ascii="Times New Roman" w:hAnsi="Times New Roman"/>
          <w:sz w:val="20"/>
        </w:rPr>
        <w:t>compared to December 31, 2024.</w:t>
      </w:r>
      <w:r>
        <w:rPr>
          <w:rFonts w:ascii="Times New Roman" w:hAnsi="Times New Roman"/>
          <w:sz w:val="24"/>
        </w:rPr>
        <w:t> </w:t>
      </w:r>
      <w:r>
        <w:rPr>
          <w:rFonts w:ascii="Times New Roman" w:hAnsi="Times New Roman"/>
          <w:sz w:val="20"/>
        </w:rPr>
        <w:t>The Company has $1,329.3</w:t>
      </w:r>
      <w:r>
        <w:rPr>
          <w:rFonts w:ascii="Times New Roman" w:hAnsi="Times New Roman"/>
          <w:sz w:val="24"/>
        </w:rPr>
        <w:t xml:space="preserve"> </w:t>
      </w:r>
      <w:r>
        <w:rPr>
          <w:rFonts w:ascii="Times New Roman" w:hAnsi="Times New Roman"/>
          <w:sz w:val="20"/>
        </w:rPr>
        <w:t>million of unrestricted cash as of June 30, 2025</w:t>
      </w:r>
      <w:r>
        <w:rPr>
          <w:rFonts w:ascii="Times New Roman" w:hAnsi="Times New Roman"/>
          <w:sz w:val="24"/>
        </w:rPr>
        <w:t xml:space="preserve"> </w:t>
      </w:r>
      <w:r>
        <w:rPr>
          <w:rFonts w:ascii="Times New Roman" w:hAnsi="Times New Roman"/>
          <w:sz w:val="20"/>
        </w:rPr>
        <w:t>compared to $1,278.8</w:t>
      </w:r>
      <w:r>
        <w:rPr>
          <w:rFonts w:ascii="Times New Roman" w:hAnsi="Times New Roman"/>
          <w:sz w:val="24"/>
        </w:rPr>
        <w:t xml:space="preserve"> </w:t>
      </w:r>
      <w:r>
        <w:rPr>
          <w:rFonts w:ascii="Times New Roman" w:hAnsi="Times New Roman"/>
          <w:sz w:val="20"/>
        </w:rPr>
        <w:t>million as of December 31, 2024. Including the $937.4</w:t>
      </w:r>
      <w:r>
        <w:rPr>
          <w:rFonts w:ascii="Times New Roman" w:hAnsi="Times New Roman"/>
          <w:sz w:val="24"/>
        </w:rPr>
        <w:t xml:space="preserve"> </w:t>
      </w:r>
      <w:r>
        <w:rPr>
          <w:rFonts w:ascii="Times New Roman" w:hAnsi="Times New Roman"/>
          <w:sz w:val="20"/>
        </w:rPr>
        <w:t>million of cash in ATMs at June 30, 2025, we have access to $2,920.9</w:t>
      </w:r>
      <w:r>
        <w:rPr>
          <w:rFonts w:ascii="Times New Roman" w:hAnsi="Times New Roman"/>
          <w:sz w:val="24"/>
        </w:rPr>
        <w:t> </w:t>
      </w:r>
      <w:r>
        <w:rPr>
          <w:rFonts w:ascii="Times New Roman" w:hAnsi="Times New Roman"/>
          <w:sz w:val="20"/>
        </w:rPr>
        <w:t>million in available cash, and $884.2</w:t>
      </w:r>
      <w:r>
        <w:rPr>
          <w:rFonts w:ascii="Times New Roman" w:hAnsi="Times New Roman"/>
          <w:sz w:val="24"/>
        </w:rPr>
        <w:t xml:space="preserve"> </w:t>
      </w:r>
      <w:r>
        <w:rPr>
          <w:rFonts w:ascii="Times New Roman" w:hAnsi="Times New Roman"/>
          <w:sz w:val="20"/>
        </w:rPr>
        <w:t>million available under the Credit Facility.</w:t>
      </w:r>
    </w:p>
    <w:p>
      <w:pPr>
        <w:pStyle w:val="TextBody"/>
        <w:bidi w:val="0"/>
        <w:spacing w:lineRule="atLeast" w:line="240" w:before="0" w:after="0"/>
        <w:jc w:val="both"/>
        <w:rPr/>
      </w:pPr>
      <w:r>
        <w:rPr/>
        <w:t> </w:t>
      </w:r>
    </w:p>
    <w:p>
      <w:pPr>
        <w:pStyle w:val="TextBody"/>
        <w:bidi w:val="0"/>
        <w:spacing w:lineRule="auto" w:line="276" w:before="0" w:after="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sz w:val="24"/>
        </w:rPr>
      </w:pPr>
      <w:r>
        <w:rPr>
          <w:rFonts w:ascii="Times New Roman" w:hAnsi="Times New Roman"/>
          <w:sz w:val="20"/>
        </w:rPr>
        <w:t>The following table identifies cash and cash equivalents provided by/(used in) our operating, investing and financing activities for the</w:t>
      </w:r>
      <w:r>
        <w:rPr>
          <w:rFonts w:ascii="Times New Roman" w:hAnsi="Times New Roman"/>
          <w:sz w:val="24"/>
        </w:rPr>
        <w:t> </w:t>
      </w:r>
      <w:r>
        <w:rPr>
          <w:rFonts w:ascii="Times New Roman" w:hAnsi="Times New Roman"/>
          <w:sz w:val="20"/>
        </w:rPr>
        <w:t>six months ended June 30, 2025</w:t>
      </w:r>
      <w:r>
        <w:rPr>
          <w:rFonts w:ascii="Times New Roman" w:hAnsi="Times New Roman"/>
          <w:sz w:val="24"/>
        </w:rPr>
        <w:t xml:space="preserve"> </w:t>
      </w:r>
      <w:r>
        <w:rPr>
          <w:rFonts w:ascii="Times New Roman" w:hAnsi="Times New Roman"/>
          <w:sz w:val="20"/>
        </w:rPr>
        <w:t>and</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(in millions):</w:t>
      </w:r>
    </w:p>
    <w:p>
      <w:pPr>
        <w:pStyle w:val="TextBody"/>
        <w:bidi w:val="0"/>
        <w:spacing w:lineRule="atLeast" w:line="24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8037"/>
        <w:gridCol w:w="60"/>
        <w:gridCol w:w="125"/>
        <w:gridCol w:w="742"/>
        <w:gridCol w:w="89"/>
        <w:gridCol w:w="185"/>
        <w:gridCol w:w="889"/>
        <w:gridCol w:w="78"/>
      </w:tblGrid>
      <w:tr>
        <w:trPr/>
        <w:tc>
          <w:tcPr>
            <w:tcW w:w="803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905"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w:t>
            </w:r>
          </w:p>
        </w:tc>
        <w:tc>
          <w:tcPr>
            <w:tcW w:w="78" w:type="dxa"/>
            <w:tcBorders/>
            <w:vAlign w:val="center"/>
          </w:tcPr>
          <w:p>
            <w:pPr>
              <w:pStyle w:val="TableContents"/>
              <w:bidi w:val="0"/>
              <w:spacing w:before="0" w:after="0"/>
              <w:jc w:val="left"/>
              <w:rPr/>
            </w:pPr>
            <w:r>
              <w:rPr/>
              <w:t> </w:t>
            </w:r>
          </w:p>
        </w:tc>
      </w:tr>
      <w:tr>
        <w:trPr/>
        <w:tc>
          <w:tcPr>
            <w:tcW w:w="8037"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Liquidity</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4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89" w:type="dxa"/>
            <w:tcBorders/>
            <w:vAlign w:val="center"/>
          </w:tcPr>
          <w:p>
            <w:pPr>
              <w:pStyle w:val="TableContents"/>
              <w:bidi w:val="0"/>
              <w:spacing w:before="0" w:after="0"/>
              <w:jc w:val="left"/>
              <w:rPr/>
            </w:pPr>
            <w:r>
              <w:rPr/>
              <w:t> </w:t>
            </w:r>
          </w:p>
        </w:tc>
        <w:tc>
          <w:tcPr>
            <w:tcW w:w="1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8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78" w:type="dxa"/>
            <w:tcBorders/>
            <w:vAlign w:val="center"/>
          </w:tcPr>
          <w:p>
            <w:pPr>
              <w:pStyle w:val="TableContents"/>
              <w:bidi w:val="0"/>
              <w:spacing w:before="0" w:after="0"/>
              <w:jc w:val="left"/>
              <w:rPr/>
            </w:pPr>
            <w:r>
              <w:rPr/>
              <w:t> </w:t>
            </w:r>
          </w:p>
        </w:tc>
      </w:tr>
      <w:tr>
        <w:trPr/>
        <w:tc>
          <w:tcPr>
            <w:tcW w:w="803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provided by (used in):</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42"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89" w:type="dxa"/>
            <w:tcBorders/>
            <w:shd w:fill="CCEEFF" w:val="clear"/>
            <w:vAlign w:val="center"/>
          </w:tcPr>
          <w:p>
            <w:pPr>
              <w:pStyle w:val="TableContents"/>
              <w:bidi w:val="0"/>
              <w:spacing w:before="0" w:after="0"/>
              <w:jc w:val="left"/>
              <w:rPr/>
            </w:pPr>
            <w:r>
              <w:rPr/>
              <w:t> </w:t>
            </w:r>
          </w:p>
        </w:tc>
        <w:tc>
          <w:tcPr>
            <w:tcW w:w="18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88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8" w:type="dxa"/>
            <w:tcBorders/>
            <w:shd w:fill="CCEEFF" w:val="clear"/>
            <w:vAlign w:val="center"/>
          </w:tcPr>
          <w:p>
            <w:pPr>
              <w:pStyle w:val="TableContents"/>
              <w:bidi w:val="0"/>
              <w:spacing w:before="0" w:after="0"/>
              <w:jc w:val="left"/>
              <w:rPr/>
            </w:pPr>
            <w:r>
              <w:rPr/>
              <w:t> </w:t>
            </w:r>
          </w:p>
        </w:tc>
      </w:tr>
      <w:tr>
        <w:trPr/>
        <w:tc>
          <w:tcPr>
            <w:tcW w:w="8037"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Operating activities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184.6</w:t>
            </w:r>
          </w:p>
        </w:tc>
        <w:tc>
          <w:tcPr>
            <w:tcW w:w="89" w:type="dxa"/>
            <w:tcBorders/>
            <w:shd w:fill="FFFFFF" w:val="clear"/>
            <w:vAlign w:val="center"/>
          </w:tcPr>
          <w:p>
            <w:pPr>
              <w:pStyle w:val="TableContents"/>
              <w:bidi w:val="0"/>
              <w:spacing w:before="0" w:after="0"/>
              <w:jc w:val="left"/>
              <w:rPr/>
            </w:pPr>
            <w:r>
              <w:rPr/>
              <w:t> </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212.2</w:t>
            </w:r>
          </w:p>
        </w:tc>
        <w:tc>
          <w:tcPr>
            <w:tcW w:w="78" w:type="dxa"/>
            <w:tcBorders/>
            <w:shd w:fill="FFFFFF" w:val="clear"/>
            <w:vAlign w:val="center"/>
          </w:tcPr>
          <w:p>
            <w:pPr>
              <w:pStyle w:val="TableContents"/>
              <w:bidi w:val="0"/>
              <w:spacing w:before="0" w:after="0"/>
              <w:jc w:val="left"/>
              <w:rPr/>
            </w:pPr>
            <w:r>
              <w:rPr/>
              <w:t> </w:t>
            </w:r>
          </w:p>
        </w:tc>
      </w:tr>
      <w:tr>
        <w:trPr/>
        <w:tc>
          <w:tcPr>
            <w:tcW w:w="8037"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Investing activities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42"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88.9</w:t>
            </w:r>
            <w:r>
              <w:rPr>
                <w:rFonts w:ascii="Times New Roman" w:hAnsi="Times New Roman"/>
                <w:sz w:val="20"/>
              </w:rPr>
              <w:t>)</w:t>
            </w:r>
          </w:p>
        </w:tc>
        <w:tc>
          <w:tcPr>
            <w:tcW w:w="89" w:type="dxa"/>
            <w:tcBorders/>
            <w:shd w:fill="CCEEFF" w:val="clear"/>
            <w:vAlign w:val="center"/>
          </w:tcPr>
          <w:p>
            <w:pPr>
              <w:pStyle w:val="TableContents"/>
              <w:bidi w:val="0"/>
              <w:spacing w:before="0" w:after="0"/>
              <w:jc w:val="left"/>
              <w:rPr/>
            </w:pPr>
            <w:r>
              <w:rPr/>
              <w:t> </w:t>
            </w:r>
          </w:p>
        </w:tc>
        <w:tc>
          <w:tcPr>
            <w:tcW w:w="185" w:type="dxa"/>
            <w:tcBorders/>
            <w:shd w:fill="CCEEFF" w:val="clear"/>
            <w:vAlign w:val="center"/>
          </w:tcPr>
          <w:p>
            <w:pPr>
              <w:pStyle w:val="TableContents"/>
              <w:bidi w:val="0"/>
              <w:spacing w:before="0" w:after="0"/>
              <w:jc w:val="left"/>
              <w:rPr/>
            </w:pPr>
            <w:r>
              <w:rPr/>
              <w:t> </w:t>
            </w:r>
          </w:p>
        </w:tc>
        <w:tc>
          <w:tcPr>
            <w:tcW w:w="889"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155.2</w:t>
            </w:r>
            <w:r>
              <w:rPr>
                <w:rFonts w:ascii="Times New Roman" w:hAnsi="Times New Roman"/>
                <w:sz w:val="20"/>
              </w:rPr>
              <w:t>)</w:t>
            </w:r>
          </w:p>
        </w:tc>
        <w:tc>
          <w:tcPr>
            <w:tcW w:w="78" w:type="dxa"/>
            <w:tcBorders/>
            <w:shd w:fill="CCEEFF" w:val="clear"/>
            <w:vAlign w:val="center"/>
          </w:tcPr>
          <w:p>
            <w:pPr>
              <w:pStyle w:val="TableContents"/>
              <w:bidi w:val="0"/>
              <w:spacing w:before="0" w:after="0"/>
              <w:jc w:val="left"/>
              <w:rPr/>
            </w:pPr>
            <w:r>
              <w:rPr/>
              <w:t> </w:t>
            </w:r>
          </w:p>
        </w:tc>
      </w:tr>
      <w:tr>
        <w:trPr/>
        <w:tc>
          <w:tcPr>
            <w:tcW w:w="8037"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Financing activities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4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79.2</w:t>
            </w:r>
          </w:p>
        </w:tc>
        <w:tc>
          <w:tcPr>
            <w:tcW w:w="89" w:type="dxa"/>
            <w:tcBorders/>
            <w:shd w:fill="FFFFFF" w:val="clear"/>
            <w:vAlign w:val="center"/>
          </w:tcPr>
          <w:p>
            <w:pPr>
              <w:pStyle w:val="TableContents"/>
              <w:bidi w:val="0"/>
              <w:spacing w:before="0" w:after="0"/>
              <w:jc w:val="left"/>
              <w:rPr/>
            </w:pPr>
            <w:r>
              <w:rPr/>
              <w:t> </w:t>
            </w:r>
          </w:p>
        </w:tc>
        <w:tc>
          <w:tcPr>
            <w:tcW w:w="185" w:type="dxa"/>
            <w:tcBorders/>
            <w:shd w:fill="FFFFFF" w:val="clear"/>
            <w:vAlign w:val="center"/>
          </w:tcPr>
          <w:p>
            <w:pPr>
              <w:pStyle w:val="TableContents"/>
              <w:bidi w:val="0"/>
              <w:spacing w:before="0" w:after="0"/>
              <w:jc w:val="left"/>
              <w:rPr/>
            </w:pPr>
            <w:r>
              <w:rPr/>
              <w:t> </w:t>
            </w:r>
          </w:p>
        </w:tc>
        <w:tc>
          <w:tcPr>
            <w:tcW w:w="88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304.4</w:t>
            </w:r>
          </w:p>
        </w:tc>
        <w:tc>
          <w:tcPr>
            <w:tcW w:w="78" w:type="dxa"/>
            <w:tcBorders/>
            <w:shd w:fill="FFFFFF" w:val="clear"/>
            <w:vAlign w:val="center"/>
          </w:tcPr>
          <w:p>
            <w:pPr>
              <w:pStyle w:val="TableContents"/>
              <w:bidi w:val="0"/>
              <w:spacing w:before="0" w:after="0"/>
              <w:jc w:val="left"/>
              <w:rPr/>
            </w:pPr>
            <w:r>
              <w:rPr/>
              <w:t> </w:t>
            </w:r>
          </w:p>
        </w:tc>
      </w:tr>
      <w:tr>
        <w:trPr/>
        <w:tc>
          <w:tcPr>
            <w:tcW w:w="803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 (decrease) foreign currency exchange rate changes on cash and cash equivalents and restricted cash</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42"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257.8</w:t>
            </w:r>
          </w:p>
        </w:tc>
        <w:tc>
          <w:tcPr>
            <w:tcW w:w="89" w:type="dxa"/>
            <w:tcBorders/>
            <w:shd w:fill="CCEEFF" w:val="clear"/>
            <w:vAlign w:val="center"/>
          </w:tcPr>
          <w:p>
            <w:pPr>
              <w:pStyle w:val="TableContents"/>
              <w:bidi w:val="0"/>
              <w:spacing w:before="0" w:after="0"/>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89"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53.2</w:t>
            </w:r>
            <w:r>
              <w:rPr>
                <w:rFonts w:ascii="Times New Roman" w:hAnsi="Times New Roman"/>
                <w:sz w:val="20"/>
              </w:rPr>
              <w:t>)</w:t>
            </w:r>
          </w:p>
        </w:tc>
        <w:tc>
          <w:tcPr>
            <w:tcW w:w="78" w:type="dxa"/>
            <w:tcBorders/>
            <w:shd w:fill="CCEEFF" w:val="clear"/>
            <w:vAlign w:val="center"/>
          </w:tcPr>
          <w:p>
            <w:pPr>
              <w:pStyle w:val="TableContents"/>
              <w:bidi w:val="0"/>
              <w:spacing w:before="0" w:after="0"/>
              <w:jc w:val="left"/>
              <w:rPr/>
            </w:pPr>
            <w:r>
              <w:rPr/>
              <w:t> </w:t>
            </w:r>
          </w:p>
        </w:tc>
      </w:tr>
      <w:tr>
        <w:trPr/>
        <w:tc>
          <w:tcPr>
            <w:tcW w:w="803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 (decrease) in cash and cash equivalents and restricted cash</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432.7</w:t>
            </w:r>
          </w:p>
        </w:tc>
        <w:tc>
          <w:tcPr>
            <w:tcW w:w="89" w:type="dxa"/>
            <w:tcBorders/>
            <w:shd w:fill="FFFFFF" w:val="clear"/>
            <w:vAlign w:val="center"/>
          </w:tcPr>
          <w:p>
            <w:pPr>
              <w:pStyle w:val="TableContents"/>
              <w:bidi w:val="0"/>
              <w:spacing w:before="0" w:after="0"/>
              <w:jc w:val="left"/>
              <w:rPr/>
            </w:pPr>
            <w:r>
              <w:rPr/>
              <w:t> </w:t>
            </w:r>
          </w:p>
        </w:tc>
        <w:tc>
          <w:tcPr>
            <w:tcW w:w="18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308.2</w:t>
            </w:r>
          </w:p>
        </w:tc>
        <w:tc>
          <w:tcPr>
            <w:tcW w:w="78" w:type="dxa"/>
            <w:tcBorders/>
            <w:shd w:fill="FFFFFF" w:val="clear"/>
            <w:vAlign w:val="center"/>
          </w:tcPr>
          <w:p>
            <w:pPr>
              <w:pStyle w:val="TableContents"/>
              <w:bidi w:val="0"/>
              <w:spacing w:before="0" w:after="0"/>
              <w:jc w:val="left"/>
              <w:rPr/>
            </w:pPr>
            <w:r>
              <w:rPr/>
              <w:t> </w:t>
            </w:r>
          </w:p>
        </w:tc>
      </w:tr>
    </w:tbl>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i/>
          <w:sz w:val="20"/>
        </w:rPr>
      </w:pPr>
      <w:r>
        <w:rPr>
          <w:rFonts w:ascii="Times New Roman" w:hAnsi="Times New Roman"/>
          <w:i/>
          <w:sz w:val="20"/>
        </w:rPr>
        <w:t>Operating activity cash flow</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Cash flows provided by operating activities were $184.6</w:t>
      </w:r>
      <w:r>
        <w:rPr>
          <w:rFonts w:ascii="Times New Roman" w:hAnsi="Times New Roman"/>
          <w:sz w:val="24"/>
        </w:rPr>
        <w:t xml:space="preserve"> </w:t>
      </w:r>
      <w:r>
        <w:rPr>
          <w:rFonts w:ascii="Times New Roman" w:hAnsi="Times New Roman"/>
          <w:sz w:val="20"/>
        </w:rPr>
        <w:t>million for the six months ended June 30, 2025</w:t>
      </w:r>
      <w:r>
        <w:rPr>
          <w:rFonts w:ascii="Times New Roman" w:hAnsi="Times New Roman"/>
          <w:sz w:val="24"/>
        </w:rPr>
        <w:t xml:space="preserve"> </w:t>
      </w:r>
      <w:r>
        <w:rPr>
          <w:rFonts w:ascii="Times New Roman" w:hAnsi="Times New Roman"/>
          <w:sz w:val="20"/>
        </w:rPr>
        <w:t>compared to $212.2</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 same period in</w:t>
      </w:r>
      <w:r>
        <w:rPr>
          <w:rFonts w:ascii="Times New Roman" w:hAnsi="Times New Roman"/>
          <w:sz w:val="24"/>
        </w:rPr>
        <w:t> </w:t>
      </w:r>
      <w:r>
        <w:rPr>
          <w:rFonts w:ascii="Times New Roman" w:hAnsi="Times New Roman"/>
          <w:sz w:val="20"/>
        </w:rPr>
        <w:t>2024. The net</w:t>
      </w:r>
      <w:r>
        <w:rPr>
          <w:rFonts w:ascii="Times New Roman" w:hAnsi="Times New Roman"/>
          <w:sz w:val="24"/>
        </w:rPr>
        <w:t> </w:t>
      </w:r>
      <w:r>
        <w:rPr>
          <w:rFonts w:ascii="Times New Roman" w:hAnsi="Times New Roman"/>
          <w:sz w:val="20"/>
        </w:rPr>
        <w:t>increase in operating cash flows was primarily due to an increase in net income</w:t>
      </w:r>
      <w:r>
        <w:rPr>
          <w:rFonts w:ascii="Times New Roman" w:hAnsi="Times New Roman"/>
          <w:sz w:val="24"/>
        </w:rPr>
        <w:t> </w:t>
      </w:r>
      <w:r>
        <w:rPr>
          <w:rFonts w:ascii="Times New Roman" w:hAnsi="Times New Roman"/>
          <w:sz w:val="20"/>
        </w:rPr>
        <w:t>and partially offset by a decrease in deferred income taxes</w:t>
      </w:r>
      <w:r>
        <w:rPr>
          <w:rFonts w:ascii="Times New Roman" w:hAnsi="Times New Roman"/>
          <w:sz w:val="24"/>
        </w:rPr>
        <w:t> </w:t>
      </w:r>
      <w:r>
        <w:rPr>
          <w:rFonts w:ascii="Times New Roman" w:hAnsi="Times New Roman"/>
          <w:sz w:val="20"/>
        </w:rPr>
        <w:t>as a result of our U.S. deferred tax activity on the repurchase of Convertible Notes and decrease in other working capital fluctuations.</w:t>
      </w:r>
    </w:p>
    <w:p>
      <w:pPr>
        <w:pStyle w:val="TextBody"/>
        <w:bidi w:val="0"/>
        <w:spacing w:lineRule="atLeast" w:line="240" w:before="0" w:after="0"/>
        <w:jc w:val="left"/>
        <w:rPr>
          <w:rFonts w:ascii="Times New Roman" w:hAnsi="Times New Roman"/>
          <w:sz w:val="24"/>
        </w:rPr>
      </w:pPr>
      <w:r>
        <w:rPr>
          <w:rFonts w:ascii="Times New Roman" w:hAnsi="Times New Roman"/>
          <w:sz w:val="24"/>
        </w:rPr>
        <w:br/>
      </w:r>
      <w:r>
        <w:rPr>
          <w:rFonts w:ascii="Times New Roman" w:hAnsi="Times New Roman"/>
          <w:i/>
          <w:sz w:val="20"/>
        </w:rPr>
        <w:t>Investing activity cash flow</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Cash flows used in investing activities were $88.9</w:t>
      </w:r>
      <w:r>
        <w:rPr>
          <w:rFonts w:ascii="Times New Roman" w:hAnsi="Times New Roman"/>
          <w:sz w:val="24"/>
        </w:rPr>
        <w:t xml:space="preserve"> </w:t>
      </w:r>
      <w:r>
        <w:rPr>
          <w:rFonts w:ascii="Times New Roman" w:hAnsi="Times New Roman"/>
          <w:sz w:val="20"/>
        </w:rPr>
        <w:t>million for the six months ended June 30, 2025</w:t>
      </w:r>
      <w:r>
        <w:rPr>
          <w:rFonts w:ascii="Times New Roman" w:hAnsi="Times New Roman"/>
          <w:sz w:val="24"/>
        </w:rPr>
        <w:t xml:space="preserve"> </w:t>
      </w:r>
      <w:r>
        <w:rPr>
          <w:rFonts w:ascii="Times New Roman" w:hAnsi="Times New Roman"/>
          <w:sz w:val="20"/>
        </w:rPr>
        <w:t>compared to</w:t>
      </w:r>
      <w:r>
        <w:rPr>
          <w:rFonts w:ascii="Times New Roman" w:hAnsi="Times New Roman"/>
          <w:sz w:val="24"/>
        </w:rPr>
        <w:t> </w:t>
      </w:r>
      <w:r>
        <w:rPr>
          <w:rFonts w:ascii="Times New Roman" w:hAnsi="Times New Roman"/>
          <w:sz w:val="20"/>
        </w:rPr>
        <w:t>$155.2</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 same period in</w:t>
      </w:r>
      <w:r>
        <w:rPr>
          <w:rFonts w:ascii="Times New Roman" w:hAnsi="Times New Roman"/>
          <w:sz w:val="24"/>
        </w:rPr>
        <w:t> </w:t>
      </w:r>
      <w:r>
        <w:rPr>
          <w:rFonts w:ascii="Times New Roman" w:hAnsi="Times New Roman"/>
          <w:sz w:val="20"/>
        </w:rPr>
        <w:t>2024. The decrease in cash used in investing activities is primarily due to the acquisition of Infinitum</w:t>
      </w:r>
      <w:r>
        <w:rPr>
          <w:rFonts w:ascii="Times New Roman" w:hAnsi="Times New Roman"/>
          <w:sz w:val="24"/>
        </w:rPr>
        <w:t> </w:t>
      </w:r>
      <w:r>
        <w:rPr>
          <w:rFonts w:ascii="Times New Roman" w:hAnsi="Times New Roman"/>
          <w:sz w:val="20"/>
        </w:rPr>
        <w:t xml:space="preserve">in 2024, partially offset by the Convertible Note Receivable issued to Marker Trax Digital, LLC in 2025. </w:t>
      </w:r>
    </w:p>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i/>
          <w:sz w:val="20"/>
        </w:rPr>
      </w:pPr>
      <w:r>
        <w:rPr>
          <w:rFonts w:ascii="Times New Roman" w:hAnsi="Times New Roman"/>
          <w:i/>
          <w:sz w:val="20"/>
        </w:rPr>
        <w:t>Financing activity cash flow</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Cash flows provided by financing activities were $79.2</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 six months ended June 30, 2025</w:t>
      </w:r>
      <w:r>
        <w:rPr>
          <w:rFonts w:ascii="Times New Roman" w:hAnsi="Times New Roman"/>
          <w:sz w:val="24"/>
        </w:rPr>
        <w:t xml:space="preserve"> </w:t>
      </w:r>
      <w:r>
        <w:rPr>
          <w:rFonts w:ascii="Times New Roman" w:hAnsi="Times New Roman"/>
          <w:sz w:val="20"/>
        </w:rPr>
        <w:t>compared to cash flows provided by financing activities of $304.4</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 same period in</w:t>
      </w:r>
      <w:r>
        <w:rPr>
          <w:rFonts w:ascii="Times New Roman" w:hAnsi="Times New Roman"/>
          <w:sz w:val="24"/>
        </w:rPr>
        <w:t> </w:t>
      </w:r>
      <w:r>
        <w:rPr>
          <w:rFonts w:ascii="Times New Roman" w:hAnsi="Times New Roman"/>
          <w:sz w:val="20"/>
        </w:rPr>
        <w:t>2024. Our borrowing activities on the Credit Facility</w:t>
      </w:r>
      <w:r>
        <w:rPr>
          <w:rFonts w:ascii="Times New Roman" w:hAnsi="Times New Roman"/>
          <w:sz w:val="24"/>
        </w:rPr>
        <w:t> </w:t>
      </w:r>
      <w:r>
        <w:rPr>
          <w:rFonts w:ascii="Times New Roman" w:hAnsi="Times New Roman"/>
          <w:sz w:val="20"/>
        </w:rPr>
        <w:t>for the six months ended June 30, 2025</w:t>
      </w:r>
      <w:r>
        <w:rPr>
          <w:rFonts w:ascii="Times New Roman" w:hAnsi="Times New Roman"/>
          <w:sz w:val="24"/>
        </w:rPr>
        <w:t xml:space="preserve"> </w:t>
      </w:r>
      <w:r>
        <w:rPr>
          <w:rFonts w:ascii="Times New Roman" w:hAnsi="Times New Roman"/>
          <w:sz w:val="20"/>
        </w:rPr>
        <w:t>consisted of net borrowings</w:t>
      </w:r>
      <w:r>
        <w:rPr>
          <w:rFonts w:ascii="Times New Roman" w:hAnsi="Times New Roman"/>
          <w:sz w:val="24"/>
        </w:rPr>
        <w:t> </w:t>
      </w:r>
      <w:r>
        <w:rPr>
          <w:rFonts w:ascii="Times New Roman" w:hAnsi="Times New Roman"/>
          <w:sz w:val="20"/>
        </w:rPr>
        <w:t>of $444.0</w:t>
      </w:r>
      <w:r>
        <w:rPr>
          <w:rFonts w:ascii="Times New Roman" w:hAnsi="Times New Roman"/>
          <w:sz w:val="24"/>
        </w:rPr>
        <w:t xml:space="preserve"> </w:t>
      </w:r>
      <w:r>
        <w:rPr>
          <w:rFonts w:ascii="Times New Roman" w:hAnsi="Times New Roman"/>
          <w:sz w:val="20"/>
        </w:rPr>
        <w:t>million compared to net borrowings of $140.3</w:t>
      </w:r>
      <w:r>
        <w:rPr>
          <w:rFonts w:ascii="Times New Roman" w:hAnsi="Times New Roman"/>
          <w:sz w:val="24"/>
        </w:rPr>
        <w:t xml:space="preserve"> </w:t>
      </w:r>
      <w:r>
        <w:rPr>
          <w:rFonts w:ascii="Times New Roman" w:hAnsi="Times New Roman"/>
          <w:sz w:val="20"/>
        </w:rPr>
        <w:t>million for the same period in 2024. The increase in net borrowings on the Credit Facility,</w:t>
      </w:r>
      <w:r>
        <w:rPr>
          <w:rFonts w:ascii="Times New Roman" w:hAnsi="Times New Roman"/>
          <w:sz w:val="24"/>
        </w:rPr>
        <w:t> </w:t>
      </w:r>
      <w:r>
        <w:rPr>
          <w:rFonts w:ascii="Times New Roman" w:hAnsi="Times New Roman"/>
          <w:sz w:val="20"/>
        </w:rPr>
        <w:t>during the</w:t>
      </w:r>
      <w:r>
        <w:rPr>
          <w:rFonts w:ascii="Times New Roman" w:hAnsi="Times New Roman"/>
          <w:sz w:val="24"/>
        </w:rPr>
        <w:t> </w:t>
      </w:r>
      <w:r>
        <w:rPr>
          <w:rFonts w:ascii="Times New Roman" w:hAnsi="Times New Roman"/>
          <w:sz w:val="20"/>
        </w:rPr>
        <w:t>six months ended June 30, 2025, is primarily the result of</w:t>
      </w:r>
      <w:r>
        <w:rPr>
          <w:rFonts w:ascii="Times New Roman" w:hAnsi="Times New Roman"/>
          <w:sz w:val="24"/>
        </w:rPr>
        <w:t> </w:t>
      </w:r>
      <w:r>
        <w:rPr>
          <w:rFonts w:ascii="Times New Roman" w:hAnsi="Times New Roman"/>
          <w:sz w:val="20"/>
        </w:rPr>
        <w:t>cash for the repurchase of the convertible notes and the repurchase of shares.</w:t>
      </w:r>
    </w:p>
    <w:p>
      <w:pPr>
        <w:pStyle w:val="TextBody"/>
        <w:bidi w:val="0"/>
        <w:spacing w:lineRule="atLeast" w:line="240" w:before="0" w:after="0"/>
        <w:jc w:val="both"/>
        <w:rPr/>
      </w:pPr>
      <w:r>
        <w:rPr/>
        <w:t> </w:t>
      </w:r>
    </w:p>
    <w:p>
      <w:pPr>
        <w:pStyle w:val="TextBody"/>
        <w:bidi w:val="0"/>
        <w:spacing w:lineRule="atLeast" w:line="240" w:before="0" w:after="180"/>
        <w:jc w:val="both"/>
        <w:rPr>
          <w:rFonts w:ascii="Times New Roman" w:hAnsi="Times New Roman"/>
          <w:i/>
          <w:sz w:val="20"/>
        </w:rPr>
      </w:pPr>
      <w:r>
        <w:rPr>
          <w:rFonts w:ascii="Times New Roman" w:hAnsi="Times New Roman"/>
          <w:i/>
          <w:sz w:val="20"/>
        </w:rPr>
        <w:t>Effect of exchange rates on cash, cash equivalents and restricted cash</w:t>
      </w:r>
    </w:p>
    <w:p>
      <w:pPr>
        <w:pStyle w:val="TextBody"/>
        <w:bidi w:val="0"/>
        <w:spacing w:lineRule="atLeast" w:line="240" w:before="0" w:after="0"/>
        <w:jc w:val="both"/>
        <w:rPr>
          <w:rFonts w:ascii="Times New Roman" w:hAnsi="Times New Roman"/>
          <w:sz w:val="24"/>
        </w:rPr>
      </w:pPr>
      <w:r>
        <w:rPr>
          <w:rFonts w:ascii="Times New Roman" w:hAnsi="Times New Roman"/>
          <w:sz w:val="20"/>
        </w:rPr>
        <w:t>Fluctuations in foreign currency exchange rates impacted cash, cash equivalents, and restricted cash by $434.8</w:t>
      </w:r>
      <w:r>
        <w:rPr>
          <w:rFonts w:ascii="Times New Roman" w:hAnsi="Times New Roman"/>
          <w:sz w:val="24"/>
        </w:rPr>
        <w:t xml:space="preserve"> </w:t>
      </w:r>
      <w:r>
        <w:rPr>
          <w:rFonts w:ascii="Times New Roman" w:hAnsi="Times New Roman"/>
          <w:sz w:val="20"/>
        </w:rPr>
        <w:t>million and ($558.7) million for the six months ended June 30, 2025</w:t>
      </w:r>
      <w:r>
        <w:rPr>
          <w:rFonts w:ascii="Times New Roman" w:hAnsi="Times New Roman"/>
          <w:sz w:val="24"/>
        </w:rPr>
        <w:t xml:space="preserve"> </w:t>
      </w:r>
      <w:r>
        <w:rPr>
          <w:rFonts w:ascii="Times New Roman" w:hAnsi="Times New Roman"/>
          <w:sz w:val="20"/>
        </w:rPr>
        <w:t>and 2024, respectively. The positive impact in 2025 was primarily driven by the weakening of</w:t>
      </w:r>
      <w:r>
        <w:rPr>
          <w:rFonts w:ascii="Times New Roman" w:hAnsi="Times New Roman"/>
          <w:sz w:val="24"/>
        </w:rPr>
        <w:t xml:space="preserve">  </w:t>
      </w:r>
      <w:r>
        <w:rPr>
          <w:rFonts w:ascii="Times New Roman" w:hAnsi="Times New Roman"/>
          <w:sz w:val="20"/>
        </w:rPr>
        <w:t>the U.S. dollar compared to euro.</w:t>
      </w:r>
    </w:p>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i/>
          <w:sz w:val="20"/>
        </w:rPr>
      </w:pPr>
      <w:r>
        <w:rPr>
          <w:rFonts w:ascii="Times New Roman" w:hAnsi="Times New Roman"/>
          <w:i/>
          <w:sz w:val="20"/>
        </w:rPr>
        <w:t>Other sources of capital</w:t>
      </w:r>
    </w:p>
    <w:p>
      <w:pPr>
        <w:pStyle w:val="TextBody"/>
        <w:bidi w:val="0"/>
        <w:spacing w:lineRule="atLeast" w:line="240" w:before="120" w:after="0"/>
        <w:jc w:val="both"/>
        <w:rPr>
          <w:rFonts w:ascii="Times New Roman" w:hAnsi="Times New Roman"/>
          <w:sz w:val="24"/>
        </w:rPr>
      </w:pPr>
      <w:r>
        <w:rPr>
          <w:rFonts w:ascii="Times New Roman" w:hAnsi="Times New Roman"/>
          <w:sz w:val="20"/>
          <w:u w:val="single"/>
        </w:rPr>
        <w:t>Credit Facility</w:t>
      </w:r>
      <w:r>
        <w:rPr>
          <w:rFonts w:ascii="Times New Roman" w:hAnsi="Times New Roman"/>
          <w:sz w:val="24"/>
        </w:rPr>
        <w:t xml:space="preserve"> </w:t>
      </w:r>
      <w:r>
        <w:rPr>
          <w:rFonts w:ascii="Times New Roman" w:hAnsi="Times New Roman"/>
          <w:sz w:val="20"/>
        </w:rPr>
        <w:t>- On December 17, 2024, the Company amended its revolving credit agreement (the “Credit Facility”) to increase the facility from $1.25 billion to $1.9 billion and to extend the expiration to December 17, 2029. The amended Credit Facility includes a multi-currency borrowing tranche totaling $1,685 million and a U.S. dollar borrowing tranche totaling $215 million. The amended Credit Facility also removes the credit spread adjustment on SOFR and SONIA borrowings. All other terms remain substantially the same as the previous Credit Facility. The multi-currency tranche of the revolving Credit Facility contains a sublimit of up to $500 million for the issuance of letters of credit, a $75 million sublimit for U.S. dollar swingline loans and a $75 million sublimit for swingline loans in euros or British pounds sterling. The multi-currency tranche of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Borrowings under the revolving Credit Facility (other than swing line loans) bear interest based on a margin over a secured financing rate or the base rate, as selected by the Company, which varies from 0.875% to 1.375%, in each case based, on the Company’s current credit rating. The applicable margin for borrowings under the Credit Facility, based on the Company’s current credit rating is 1.075%.</w:t>
      </w:r>
      <w:r>
        <w:rPr>
          <w:rFonts w:ascii="Times New Roman" w:hAnsi="Times New Roman"/>
          <w:sz w:val="24"/>
        </w:rPr>
        <w:t xml:space="preserve">  </w:t>
      </w:r>
      <w:r>
        <w:rPr>
          <w:rFonts w:ascii="Times New Roman" w:hAnsi="Times New Roman"/>
          <w:sz w:val="20"/>
        </w:rPr>
        <w:t>In addition, the Company pays a facility fee on the total commitments made under the revolving Credit Facility, which varies from 0.125% to 0.250%. As of June 30, 2025, the stand-by letters of credit interest charge was 1.25% per annum.</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As of</w:t>
      </w:r>
      <w:r>
        <w:rPr>
          <w:rFonts w:ascii="Times New Roman" w:hAnsi="Times New Roman"/>
          <w:sz w:val="24"/>
        </w:rPr>
        <w:t> </w:t>
      </w:r>
      <w:r>
        <w:rPr>
          <w:rFonts w:ascii="Times New Roman" w:hAnsi="Times New Roman"/>
          <w:sz w:val="20"/>
        </w:rPr>
        <w:t>June 30, 2025, we had $965.1</w:t>
      </w:r>
      <w:r>
        <w:rPr>
          <w:rFonts w:ascii="Times New Roman" w:hAnsi="Times New Roman"/>
          <w:sz w:val="24"/>
        </w:rPr>
        <w:t xml:space="preserve"> </w:t>
      </w:r>
      <w:r>
        <w:rPr>
          <w:rFonts w:ascii="Times New Roman" w:hAnsi="Times New Roman"/>
          <w:sz w:val="20"/>
        </w:rPr>
        <w:t>million of</w:t>
      </w:r>
      <w:r>
        <w:rPr>
          <w:rFonts w:ascii="Times New Roman" w:hAnsi="Times New Roman"/>
          <w:sz w:val="24"/>
        </w:rPr>
        <w:t> </w:t>
      </w:r>
      <w:r>
        <w:rPr>
          <w:rFonts w:ascii="Times New Roman" w:hAnsi="Times New Roman"/>
          <w:sz w:val="20"/>
        </w:rPr>
        <w:t>borrowings and $50.7</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of stand-by letters of credit outstanding under the Credit Facility. The remaining $884.2</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under the Credit Facility was available for borrowing.</w:t>
      </w:r>
    </w:p>
    <w:p>
      <w:pPr>
        <w:pStyle w:val="TextBody"/>
        <w:bidi w:val="0"/>
        <w:spacing w:lineRule="atLeast" w:line="240" w:before="0" w:after="0"/>
        <w:jc w:val="both"/>
        <w:rPr/>
      </w:pPr>
      <w:r>
        <w:rPr/>
        <w:t> </w:t>
      </w:r>
    </w:p>
    <w:p>
      <w:pPr>
        <w:pStyle w:val="TextBody"/>
        <w:bidi w:val="0"/>
        <w:spacing w:lineRule="auto" w:line="276" w:before="0" w:after="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spacing w:lineRule="atLeast" w:line="240" w:before="0" w:after="200"/>
        <w:jc w:val="both"/>
        <w:rPr>
          <w:rFonts w:ascii="Times New Roman" w:hAnsi="Times New Roman"/>
          <w:sz w:val="24"/>
        </w:rPr>
      </w:pPr>
      <w:r>
        <w:rPr>
          <w:rFonts w:ascii="Times New Roman" w:hAnsi="Times New Roman"/>
          <w:sz w:val="20"/>
          <w:u w:val="single"/>
        </w:rPr>
        <w:t>Convertible debt</w:t>
      </w:r>
      <w:r>
        <w:rPr>
          <w:rFonts w:ascii="Times New Roman" w:hAnsi="Times New Roman"/>
          <w:sz w:val="24"/>
        </w:rPr>
        <w:t> </w:t>
      </w:r>
      <w:r>
        <w:rPr>
          <w:rFonts w:ascii="Times New Roman" w:hAnsi="Times New Roman"/>
          <w:sz w:val="20"/>
        </w:rPr>
        <w:t>- On March 18, 2019, we completed the sale of $525.0</w:t>
      </w:r>
      <w:r>
        <w:rPr>
          <w:rFonts w:ascii="Times New Roman" w:hAnsi="Times New Roman"/>
          <w:sz w:val="24"/>
        </w:rPr>
        <w:t> </w:t>
      </w:r>
      <w:r>
        <w:rPr>
          <w:rFonts w:ascii="Times New Roman" w:hAnsi="Times New Roman"/>
          <w:sz w:val="20"/>
        </w:rPr>
        <w:t>million in principal amount of Convertible Senior Notes due</w:t>
      </w:r>
      <w:r>
        <w:rPr>
          <w:rFonts w:ascii="Times New Roman" w:hAnsi="Times New Roman"/>
          <w:sz w:val="24"/>
        </w:rPr>
        <w:t> </w:t>
      </w:r>
      <w:r>
        <w:rPr>
          <w:rFonts w:ascii="Times New Roman" w:hAnsi="Times New Roman"/>
          <w:sz w:val="20"/>
        </w:rPr>
        <w:t>2049</w:t>
      </w:r>
      <w:r>
        <w:rPr>
          <w:rFonts w:ascii="Times New Roman" w:hAnsi="Times New Roman"/>
          <w:sz w:val="24"/>
        </w:rPr>
        <w:t> </w:t>
      </w:r>
      <w:r>
        <w:rPr>
          <w:rFonts w:ascii="Times New Roman" w:hAnsi="Times New Roman"/>
          <w:sz w:val="20"/>
        </w:rPr>
        <w:t>(“Convertible Notes”). The Convertible Notes were issued pursuant to an indenture, dated as of March 18, 2019 (the “Indenture”), by and between us and U.S. Bank National Association,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Convertible Notes have the option to require us to repurchase for cash all or part of their Convertible Notes on each of March 15, 2025, 2029, 2034, 2039 and 2044 at a repurchase price equal to 100% of the principal amount of the Convertible Notes to be repurchased, plus accrued and unpaid interest to, but excluding, the relevant repurchase date. In connection with the issuance of the Convertible Notes, we recorded $12.8 million in debt issuance costs, which were amortized through March 1, 2025.</w:t>
      </w:r>
      <w:r>
        <w:rPr>
          <w:rFonts w:ascii="Times New Roman" w:hAnsi="Times New Roman"/>
          <w:sz w:val="24"/>
        </w:rPr>
        <w:t> </w:t>
      </w:r>
      <w:r>
        <w:rPr>
          <w:rFonts w:ascii="Times New Roman" w:hAnsi="Times New Roman"/>
          <w:sz w:val="20"/>
        </w:rPr>
        <w:t>Almost all of the holders exercised their repurchase option in March 2025 and we repurchased $491.8 million of the Convertible Notes with a combination of cash on hand and a borrowing under our Credit Facility.</w:t>
      </w:r>
      <w:r>
        <w:rPr>
          <w:rFonts w:ascii="Times New Roman" w:hAnsi="Times New Roman"/>
          <w:sz w:val="24"/>
        </w:rPr>
        <w:t> </w:t>
      </w:r>
      <w:r>
        <w:rPr>
          <w:rFonts w:ascii="Times New Roman" w:hAnsi="Times New Roman"/>
          <w:sz w:val="20"/>
        </w:rPr>
        <w:t>As of June 30, 2025, $33.2</w:t>
      </w:r>
      <w:r>
        <w:rPr>
          <w:rFonts w:ascii="Times New Roman" w:hAnsi="Times New Roman"/>
          <w:sz w:val="24"/>
        </w:rPr>
        <w:t> </w:t>
      </w:r>
      <w:r>
        <w:rPr>
          <w:rFonts w:ascii="Times New Roman" w:hAnsi="Times New Roman"/>
          <w:sz w:val="20"/>
        </w:rPr>
        <w:t>million of the Convertible</w:t>
      </w:r>
      <w:r>
        <w:rPr>
          <w:rFonts w:ascii="Times New Roman" w:hAnsi="Times New Roman"/>
          <w:sz w:val="24"/>
        </w:rPr>
        <w:t> </w:t>
      </w:r>
      <w:r>
        <w:rPr>
          <w:rFonts w:ascii="Times New Roman" w:hAnsi="Times New Roman"/>
          <w:sz w:val="20"/>
        </w:rPr>
        <w:t xml:space="preserve">Notes remain outstanding. </w:t>
      </w:r>
    </w:p>
    <w:p>
      <w:pPr>
        <w:pStyle w:val="TextBody"/>
        <w:bidi w:val="0"/>
        <w:spacing w:lineRule="atLeast" w:line="240" w:before="200" w:after="200"/>
        <w:jc w:val="both"/>
        <w:rPr>
          <w:rFonts w:ascii="Times New Roman" w:hAnsi="Times New Roman"/>
          <w:sz w:val="24"/>
        </w:rPr>
      </w:pPr>
      <w:r>
        <w:rPr>
          <w:rFonts w:ascii="Times New Roman" w:hAnsi="Times New Roman"/>
          <w:sz w:val="20"/>
          <w:u w:val="single"/>
        </w:rPr>
        <w:t>Senior Notes</w:t>
      </w:r>
      <w:r>
        <w:rPr>
          <w:rFonts w:ascii="Times New Roman" w:hAnsi="Times New Roman"/>
          <w:sz w:val="24"/>
        </w:rPr>
        <w:t> </w:t>
      </w:r>
      <w:r>
        <w:rPr>
          <w:rFonts w:ascii="Times New Roman" w:hAnsi="Times New Roman"/>
          <w:sz w:val="20"/>
        </w:rPr>
        <w:t>- On May 22, 2019, we completed the sale of €600 million ($669.9 million) aggregate principal amount of Senior Notes that expire on May 2026 (the “Senior Notes”). The Senior Notes accrue interest at a rate of 1.375% per year, payable annually in arrears on May 22 of each year, until maturity or earlier redemption. As of</w:t>
      </w:r>
      <w:r>
        <w:rPr>
          <w:rFonts w:ascii="Times New Roman" w:hAnsi="Times New Roman"/>
          <w:sz w:val="24"/>
        </w:rPr>
        <w:t> </w:t>
      </w:r>
      <w:r>
        <w:rPr>
          <w:rFonts w:ascii="Times New Roman" w:hAnsi="Times New Roman"/>
          <w:sz w:val="20"/>
        </w:rPr>
        <w:t>June 30, 2025, we have outstanding €600 million ($707.2</w:t>
      </w:r>
      <w:r>
        <w:rPr>
          <w:rFonts w:ascii="Times New Roman" w:hAnsi="Times New Roman"/>
          <w:sz w:val="24"/>
        </w:rPr>
        <w:t> </w:t>
      </w:r>
      <w:r>
        <w:rPr>
          <w:rFonts w:ascii="Times New Roman" w:hAnsi="Times New Roman"/>
          <w:sz w:val="20"/>
        </w:rPr>
        <w:t>million) principal amount of the Senior Notes. In addition, we may redeem some or all of these notes on or after February 22, 2026 at their principal amount plus any accrued and unpaid interest.</w:t>
      </w:r>
    </w:p>
    <w:p>
      <w:pPr>
        <w:pStyle w:val="TextBody"/>
        <w:bidi w:val="0"/>
        <w:spacing w:lineRule="atLeast" w:line="240" w:before="0" w:after="200"/>
        <w:jc w:val="both"/>
        <w:rPr>
          <w:rFonts w:ascii="Times New Roman" w:hAnsi="Times New Roman"/>
          <w:sz w:val="24"/>
        </w:rPr>
      </w:pPr>
      <w:r>
        <w:rPr>
          <w:rFonts w:ascii="Times New Roman" w:hAnsi="Times New Roman"/>
          <w:sz w:val="20"/>
          <w:u w:val="single"/>
        </w:rPr>
        <w:t>Uncommitted</w:t>
      </w:r>
      <w:r>
        <w:rPr>
          <w:rFonts w:ascii="Times New Roman" w:hAnsi="Times New Roman"/>
          <w:sz w:val="24"/>
          <w:u w:val="single"/>
        </w:rPr>
        <w:t> </w:t>
      </w:r>
      <w:r>
        <w:rPr>
          <w:rFonts w:ascii="Times New Roman" w:hAnsi="Times New Roman"/>
          <w:sz w:val="20"/>
          <w:u w:val="single"/>
        </w:rPr>
        <w:t>Credit Agreement</w:t>
      </w:r>
      <w:r>
        <w:rPr>
          <w:rFonts w:ascii="Times New Roman" w:hAnsi="Times New Roman"/>
          <w:sz w:val="24"/>
        </w:rPr>
        <w:t> </w:t>
      </w:r>
      <w:r>
        <w:rPr>
          <w:rFonts w:ascii="Times New Roman" w:hAnsi="Times New Roman"/>
          <w:sz w:val="20"/>
        </w:rPr>
        <w:t>-</w:t>
      </w:r>
      <w:r>
        <w:rPr>
          <w:rFonts w:ascii="Times New Roman" w:hAnsi="Times New Roman"/>
          <w:sz w:val="24"/>
        </w:rPr>
        <w:t> </w:t>
      </w:r>
      <w:r>
        <w:rPr>
          <w:rFonts w:ascii="Times New Roman" w:hAnsi="Times New Roman"/>
          <w:sz w:val="20"/>
        </w:rPr>
        <w:t>On June 20, 2025, the Company entered into an Uncommitted Loan Agreement,</w:t>
      </w:r>
      <w:r>
        <w:rPr>
          <w:rFonts w:ascii="Times New Roman" w:hAnsi="Times New Roman"/>
          <w:sz w:val="24"/>
        </w:rPr>
        <w:t> </w:t>
      </w:r>
      <w:r>
        <w:rPr>
          <w:rFonts w:ascii="Times New Roman" w:hAnsi="Times New Roman"/>
          <w:sz w:val="20"/>
        </w:rPr>
        <w:t>fully drawn and outstanding at June 30, 2025,</w:t>
      </w:r>
      <w:r>
        <w:rPr>
          <w:rFonts w:ascii="Times New Roman" w:hAnsi="Times New Roman"/>
          <w:sz w:val="24"/>
        </w:rPr>
        <w:t> </w:t>
      </w:r>
      <w:r>
        <w:rPr>
          <w:rFonts w:ascii="Times New Roman" w:hAnsi="Times New Roman"/>
          <w:sz w:val="20"/>
        </w:rPr>
        <w:t>for the sole purpose of providing vault cash for</w:t>
      </w:r>
      <w:r>
        <w:rPr>
          <w:rFonts w:ascii="Times New Roman" w:hAnsi="Times New Roman"/>
          <w:sz w:val="24"/>
        </w:rPr>
        <w:t> </w:t>
      </w:r>
      <w:r>
        <w:rPr>
          <w:rFonts w:ascii="Times New Roman" w:hAnsi="Times New Roman"/>
          <w:sz w:val="20"/>
        </w:rPr>
        <w:t>ATMs,</w:t>
      </w:r>
      <w:r>
        <w:rPr>
          <w:rFonts w:ascii="Times New Roman" w:hAnsi="Times New Roman"/>
          <w:sz w:val="24"/>
        </w:rPr>
        <w:t> </w:t>
      </w:r>
      <w:r>
        <w:rPr>
          <w:rFonts w:ascii="Times New Roman" w:hAnsi="Times New Roman"/>
          <w:sz w:val="20"/>
        </w:rPr>
        <w:t>that expires no later than</w:t>
      </w:r>
      <w:r>
        <w:rPr>
          <w:rFonts w:ascii="Times New Roman" w:hAnsi="Times New Roman"/>
          <w:sz w:val="24"/>
        </w:rPr>
        <w:t> </w:t>
      </w:r>
      <w:r>
        <w:rPr>
          <w:rFonts w:ascii="Times New Roman" w:hAnsi="Times New Roman"/>
          <w:sz w:val="20"/>
        </w:rPr>
        <w:t>June 19, 2026.</w:t>
      </w:r>
      <w:r>
        <w:rPr>
          <w:rFonts w:ascii="Times New Roman" w:hAnsi="Times New Roman"/>
          <w:sz w:val="24"/>
        </w:rPr>
        <w:t xml:space="preserve">  </w:t>
      </w:r>
      <w:r>
        <w:rPr>
          <w:rFonts w:ascii="Times New Roman" w:hAnsi="Times New Roman"/>
          <w:sz w:val="20"/>
        </w:rPr>
        <w:t>The amount of this Uncommitted Line of Credit shall be no more than (i) on or before September 30, 2025, Four Hundred Million Dollars $400 million and (ii) on and after October 1, 2025, $250 million. The loan had an outstanding balance of $</w:t>
      </w:r>
      <w:r>
        <w:rPr>
          <w:rFonts w:ascii="Times New Roman" w:hAnsi="Times New Roman"/>
          <w:sz w:val="22"/>
        </w:rPr>
        <w:t>400</w:t>
      </w:r>
      <w:r>
        <w:rPr>
          <w:rFonts w:ascii="Times New Roman" w:hAnsi="Times New Roman"/>
          <w:sz w:val="24"/>
        </w:rPr>
        <w:t> </w:t>
      </w:r>
      <w:r>
        <w:rPr>
          <w:rFonts w:ascii="Times New Roman" w:hAnsi="Times New Roman"/>
          <w:sz w:val="20"/>
        </w:rPr>
        <w:t>million at</w:t>
      </w:r>
      <w:r>
        <w:rPr>
          <w:rFonts w:ascii="Times New Roman" w:hAnsi="Times New Roman"/>
          <w:sz w:val="24"/>
        </w:rPr>
        <w:t> </w:t>
      </w:r>
      <w:r>
        <w:rPr>
          <w:rFonts w:ascii="Times New Roman" w:hAnsi="Times New Roman"/>
          <w:sz w:val="20"/>
        </w:rPr>
        <w:t>June 30, 2025.</w:t>
      </w:r>
      <w:r>
        <w:rPr>
          <w:rFonts w:ascii="Times New Roman" w:hAnsi="Times New Roman"/>
          <w:sz w:val="24"/>
        </w:rPr>
        <w:t> </w:t>
      </w:r>
      <w:r>
        <w:rPr>
          <w:rFonts w:ascii="Times New Roman" w:hAnsi="Times New Roman"/>
          <w:sz w:val="20"/>
        </w:rPr>
        <w:t>The loan is a Prime Rate Loan, a</w:t>
      </w:r>
      <w:r>
        <w:rPr>
          <w:rFonts w:ascii="Times New Roman" w:hAnsi="Times New Roman"/>
          <w:sz w:val="24"/>
        </w:rPr>
        <w:t> </w:t>
      </w:r>
      <w:r>
        <w:rPr>
          <w:rFonts w:ascii="Times New Roman" w:hAnsi="Times New Roman"/>
          <w:sz w:val="22"/>
        </w:rPr>
        <w:t>Daily SOFR Rate Loan</w:t>
      </w:r>
      <w:r>
        <w:rPr>
          <w:rFonts w:ascii="Times New Roman" w:hAnsi="Times New Roman"/>
          <w:sz w:val="24"/>
        </w:rPr>
        <w:t> </w:t>
      </w:r>
      <w:r>
        <w:rPr>
          <w:rFonts w:ascii="Times New Roman" w:hAnsi="Times New Roman"/>
          <w:sz w:val="20"/>
        </w:rPr>
        <w:t>plus</w:t>
      </w:r>
      <w:r>
        <w:rPr>
          <w:rFonts w:ascii="Times New Roman" w:hAnsi="Times New Roman"/>
          <w:sz w:val="24"/>
        </w:rPr>
        <w:t> </w:t>
      </w:r>
      <w:r>
        <w:rPr>
          <w:rFonts w:ascii="Times New Roman" w:hAnsi="Times New Roman"/>
          <w:sz w:val="22"/>
        </w:rPr>
        <w:t>1.00</w:t>
      </w:r>
      <w:r>
        <w:rPr>
          <w:rFonts w:ascii="Times New Roman" w:hAnsi="Times New Roman"/>
          <w:sz w:val="20"/>
        </w:rPr>
        <w:t>% or shall bear interest at the rate agreed to by the Bank and the Company at the time such loan is made. The weighted-average interest rate from loan inception date to</w:t>
      </w:r>
      <w:r>
        <w:rPr>
          <w:rFonts w:ascii="Times New Roman" w:hAnsi="Times New Roman"/>
          <w:sz w:val="24"/>
        </w:rPr>
        <w:t> </w:t>
      </w:r>
      <w:r>
        <w:rPr>
          <w:rFonts w:ascii="Times New Roman" w:hAnsi="Times New Roman"/>
          <w:sz w:val="20"/>
        </w:rPr>
        <w:t>June</w:t>
      </w:r>
      <w:r>
        <w:rPr>
          <w:rFonts w:ascii="Times New Roman" w:hAnsi="Times New Roman"/>
          <w:sz w:val="24"/>
        </w:rPr>
        <w:t> </w:t>
      </w:r>
      <w:r>
        <w:rPr>
          <w:rFonts w:ascii="Times New Roman" w:hAnsi="Times New Roman"/>
          <w:sz w:val="20"/>
        </w:rPr>
        <w:t>30, 2025, was</w:t>
      </w:r>
      <w:r>
        <w:rPr>
          <w:rFonts w:ascii="Times New Roman" w:hAnsi="Times New Roman"/>
          <w:sz w:val="24"/>
        </w:rPr>
        <w:t> </w:t>
      </w:r>
      <w:r>
        <w:rPr>
          <w:rFonts w:ascii="Times New Roman" w:hAnsi="Times New Roman"/>
          <w:sz w:val="22"/>
        </w:rPr>
        <w:t>5.32</w:t>
      </w:r>
      <w:r>
        <w:rPr>
          <w:rFonts w:ascii="Times New Roman" w:hAnsi="Times New Roman"/>
          <w:sz w:val="20"/>
        </w:rPr>
        <w:t>%.</w:t>
      </w:r>
      <w:r>
        <w:rPr>
          <w:rFonts w:ascii="Times New Roman" w:hAnsi="Times New Roman"/>
          <w:sz w:val="24"/>
        </w:rPr>
        <w:t> </w:t>
      </w:r>
      <w:r>
        <w:rPr>
          <w:rFonts w:ascii="Times New Roman" w:hAnsi="Times New Roman"/>
          <w:sz w:val="20"/>
        </w:rPr>
        <w:t>On June 27, 2025, the Company entered into an Uncommitted Loan Agreement for $300</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fully drawn and outstanding at June 30, 2025,</w:t>
      </w:r>
      <w:r>
        <w:rPr>
          <w:rFonts w:ascii="Times New Roman" w:hAnsi="Times New Roman"/>
          <w:sz w:val="24"/>
        </w:rPr>
        <w:t> </w:t>
      </w:r>
      <w:r>
        <w:rPr>
          <w:rFonts w:ascii="Times New Roman" w:hAnsi="Times New Roman"/>
          <w:sz w:val="20"/>
        </w:rPr>
        <w:t>for the sole purpose of providing vault cash for</w:t>
      </w:r>
      <w:r>
        <w:rPr>
          <w:rFonts w:ascii="Times New Roman" w:hAnsi="Times New Roman"/>
          <w:sz w:val="24"/>
        </w:rPr>
        <w:t> </w:t>
      </w:r>
      <w:r>
        <w:rPr>
          <w:rFonts w:ascii="Times New Roman" w:hAnsi="Times New Roman"/>
          <w:sz w:val="20"/>
        </w:rPr>
        <w:t>ATMs,</w:t>
      </w:r>
      <w:r>
        <w:rPr>
          <w:rFonts w:ascii="Times New Roman" w:hAnsi="Times New Roman"/>
          <w:sz w:val="24"/>
        </w:rPr>
        <w:t> </w:t>
      </w:r>
      <w:r>
        <w:rPr>
          <w:rFonts w:ascii="Times New Roman" w:hAnsi="Times New Roman"/>
          <w:sz w:val="20"/>
        </w:rPr>
        <w:t>that expires no later than</w:t>
      </w:r>
      <w:r>
        <w:rPr>
          <w:rFonts w:ascii="Times New Roman" w:hAnsi="Times New Roman"/>
          <w:sz w:val="24"/>
        </w:rPr>
        <w:t> </w:t>
      </w:r>
      <w:r>
        <w:rPr>
          <w:rFonts w:ascii="Times New Roman" w:hAnsi="Times New Roman"/>
          <w:sz w:val="20"/>
        </w:rPr>
        <w:t>November 30, 2025.</w:t>
      </w:r>
      <w:r>
        <w:rPr>
          <w:rFonts w:ascii="Times New Roman" w:hAnsi="Times New Roman"/>
          <w:sz w:val="24"/>
        </w:rPr>
        <w:t> </w:t>
      </w:r>
      <w:r>
        <w:rPr>
          <w:rFonts w:ascii="Times New Roman" w:hAnsi="Times New Roman"/>
          <w:sz w:val="20"/>
        </w:rPr>
        <w:t>The loan is a Prime Rate Loan, a</w:t>
      </w:r>
      <w:r>
        <w:rPr>
          <w:rFonts w:ascii="Times New Roman" w:hAnsi="Times New Roman"/>
          <w:sz w:val="24"/>
        </w:rPr>
        <w:t> </w:t>
      </w:r>
      <w:r>
        <w:rPr>
          <w:rFonts w:ascii="Times New Roman" w:hAnsi="Times New Roman"/>
          <w:sz w:val="20"/>
        </w:rPr>
        <w:t>Daily Simple SOFR Rate Loan</w:t>
      </w:r>
      <w:r>
        <w:rPr>
          <w:rFonts w:ascii="Times New Roman" w:hAnsi="Times New Roman"/>
          <w:sz w:val="24"/>
        </w:rPr>
        <w:t> </w:t>
      </w:r>
      <w:r>
        <w:rPr>
          <w:rFonts w:ascii="Times New Roman" w:hAnsi="Times New Roman"/>
          <w:sz w:val="20"/>
        </w:rPr>
        <w:t>plus</w:t>
      </w:r>
      <w:r>
        <w:rPr>
          <w:rFonts w:ascii="Times New Roman" w:hAnsi="Times New Roman"/>
          <w:sz w:val="24"/>
        </w:rPr>
        <w:t> </w:t>
      </w:r>
      <w:r>
        <w:rPr>
          <w:rFonts w:ascii="Times New Roman" w:hAnsi="Times New Roman"/>
          <w:sz w:val="20"/>
        </w:rPr>
        <w:t>1.25% or shall bear interest at the rate agreed to by the Bank and the Borrower at the time such Loan is made.</w:t>
      </w:r>
      <w:r>
        <w:rPr>
          <w:rFonts w:ascii="Times New Roman" w:hAnsi="Times New Roman"/>
          <w:sz w:val="24"/>
        </w:rPr>
        <w:t> </w:t>
      </w:r>
      <w:r>
        <w:rPr>
          <w:rFonts w:ascii="Times New Roman" w:hAnsi="Times New Roman"/>
          <w:sz w:val="20"/>
        </w:rPr>
        <w:t>The weighted-average interest rate from the loan inception date to June 30, 2025 was</w:t>
      </w:r>
      <w:r>
        <w:rPr>
          <w:rFonts w:ascii="Times New Roman" w:hAnsi="Times New Roman"/>
          <w:sz w:val="24"/>
        </w:rPr>
        <w:t> </w:t>
      </w:r>
      <w:r>
        <w:rPr>
          <w:rFonts w:ascii="Times New Roman" w:hAnsi="Times New Roman"/>
          <w:sz w:val="20"/>
        </w:rPr>
        <w:t>5.54%.</w:t>
      </w:r>
    </w:p>
    <w:p>
      <w:pPr>
        <w:pStyle w:val="TextBody"/>
        <w:bidi w:val="0"/>
        <w:spacing w:lineRule="atLeast" w:line="240" w:before="0" w:after="0"/>
        <w:jc w:val="both"/>
        <w:rPr>
          <w:rFonts w:ascii="Times New Roman" w:hAnsi="Times New Roman"/>
          <w:sz w:val="24"/>
        </w:rPr>
      </w:pPr>
      <w:r>
        <w:rPr>
          <w:rFonts w:ascii="Times New Roman" w:hAnsi="Times New Roman"/>
          <w:sz w:val="20"/>
          <w:u w:val="single"/>
        </w:rPr>
        <w:t>Other debt obligations</w:t>
      </w:r>
      <w:r>
        <w:rPr>
          <w:rFonts w:ascii="Times New Roman" w:hAnsi="Times New Roman"/>
          <w:sz w:val="24"/>
        </w:rPr>
        <w:t xml:space="preserve"> — </w:t>
      </w:r>
      <w:r>
        <w:rPr>
          <w:rFonts w:ascii="Times New Roman" w:hAnsi="Times New Roman"/>
          <w:sz w:val="20"/>
        </w:rPr>
        <w:t>Certain of our subsidiaries have available credit lines and overdraft facilities to generally supplement short-term working capital requirements, when necessary. On October 9, 2024, the Company completed a facility of MYR</w:t>
      </w:r>
      <w:r>
        <w:rPr>
          <w:rFonts w:ascii="Times New Roman" w:hAnsi="Times New Roman"/>
          <w:sz w:val="24"/>
        </w:rPr>
        <w:t> </w:t>
      </w:r>
      <w:r>
        <w:rPr>
          <w:rFonts w:ascii="Times New Roman" w:hAnsi="Times New Roman"/>
          <w:sz w:val="20"/>
        </w:rPr>
        <w:t>100</w:t>
      </w:r>
      <w:r>
        <w:rPr>
          <w:rFonts w:ascii="Times New Roman" w:hAnsi="Times New Roman"/>
          <w:sz w:val="24"/>
        </w:rPr>
        <w:t> </w:t>
      </w:r>
      <w:r>
        <w:rPr>
          <w:rFonts w:ascii="Times New Roman" w:hAnsi="Times New Roman"/>
          <w:sz w:val="20"/>
        </w:rPr>
        <w:t>million and an overdraft facility of MYR</w:t>
      </w:r>
      <w:r>
        <w:rPr>
          <w:rFonts w:ascii="Times New Roman" w:hAnsi="Times New Roman"/>
          <w:sz w:val="24"/>
        </w:rPr>
        <w:t> </w:t>
      </w:r>
      <w:r>
        <w:rPr>
          <w:rFonts w:ascii="Times New Roman" w:hAnsi="Times New Roman"/>
          <w:sz w:val="20"/>
        </w:rPr>
        <w:t>140</w:t>
      </w:r>
      <w:r>
        <w:rPr>
          <w:rFonts w:ascii="Times New Roman" w:hAnsi="Times New Roman"/>
          <w:sz w:val="24"/>
        </w:rPr>
        <w:t> </w:t>
      </w:r>
      <w:r>
        <w:rPr>
          <w:rFonts w:ascii="Times New Roman" w:hAnsi="Times New Roman"/>
          <w:sz w:val="20"/>
        </w:rPr>
        <w:t>million for its Malaysian business.</w:t>
      </w:r>
      <w:r>
        <w:rPr>
          <w:rFonts w:ascii="Times New Roman" w:hAnsi="Times New Roman"/>
          <w:sz w:val="24"/>
        </w:rPr>
        <w:t> </w:t>
      </w:r>
      <w:r>
        <w:rPr>
          <w:rFonts w:ascii="Times New Roman" w:hAnsi="Times New Roman"/>
          <w:sz w:val="20"/>
        </w:rPr>
        <w:t>Each advance under this facility shall be made for a term of 1 month or such other period of up to 12 months. As of</w:t>
      </w:r>
      <w:r>
        <w:rPr>
          <w:rFonts w:ascii="Times New Roman" w:hAnsi="Times New Roman"/>
          <w:sz w:val="24"/>
        </w:rPr>
        <w:t> </w:t>
      </w:r>
      <w:r>
        <w:rPr>
          <w:rFonts w:ascii="Times New Roman" w:hAnsi="Times New Roman"/>
          <w:sz w:val="20"/>
        </w:rPr>
        <w:t>June 30, 2025</w:t>
      </w:r>
      <w:r>
        <w:rPr>
          <w:rFonts w:ascii="Times New Roman" w:hAnsi="Times New Roman"/>
          <w:sz w:val="24"/>
        </w:rPr>
        <w:t> </w:t>
      </w:r>
      <w:r>
        <w:rPr>
          <w:rFonts w:ascii="Times New Roman" w:hAnsi="Times New Roman"/>
          <w:sz w:val="20"/>
        </w:rPr>
        <w:t>$23.8 million was borrowed under this facility. Including the Malaysian facility, there was a total of $36.2</w:t>
      </w:r>
      <w:r>
        <w:rPr>
          <w:rFonts w:ascii="Times New Roman" w:hAnsi="Times New Roman"/>
          <w:sz w:val="24"/>
        </w:rPr>
        <w:t xml:space="preserve"> </w:t>
      </w:r>
      <w:r>
        <w:rPr>
          <w:rFonts w:ascii="Times New Roman" w:hAnsi="Times New Roman"/>
          <w:sz w:val="20"/>
        </w:rPr>
        <w:t>million outstanding under our subsidiaries credit lines and overdraft facilities as of</w:t>
      </w:r>
      <w:r>
        <w:rPr>
          <w:rFonts w:ascii="Times New Roman" w:hAnsi="Times New Roman"/>
          <w:sz w:val="24"/>
        </w:rPr>
        <w:t> </w:t>
      </w:r>
      <w:r>
        <w:rPr>
          <w:rFonts w:ascii="Times New Roman" w:hAnsi="Times New Roman"/>
          <w:sz w:val="20"/>
        </w:rPr>
        <w:t>June 30, 2025.</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Other uses of capital</w:t>
      </w:r>
    </w:p>
    <w:p>
      <w:pPr>
        <w:pStyle w:val="TextBody"/>
        <w:bidi w:val="0"/>
        <w:spacing w:lineRule="atLeast" w:line="240" w:before="120" w:after="200"/>
        <w:jc w:val="both"/>
        <w:rPr>
          <w:rFonts w:ascii="Times New Roman" w:hAnsi="Times New Roman"/>
          <w:sz w:val="24"/>
        </w:rPr>
      </w:pPr>
      <w:r>
        <w:rPr>
          <w:rFonts w:ascii="Times New Roman" w:hAnsi="Times New Roman"/>
          <w:sz w:val="20"/>
          <w:u w:val="single"/>
        </w:rPr>
        <w:t>Capital expenditures and needs</w:t>
      </w:r>
      <w:r>
        <w:rPr>
          <w:rFonts w:ascii="Times New Roman" w:hAnsi="Times New Roman"/>
          <w:sz w:val="24"/>
        </w:rPr>
        <w:t> </w:t>
      </w:r>
      <w:r>
        <w:rPr>
          <w:rFonts w:ascii="Times New Roman" w:hAnsi="Times New Roman"/>
          <w:sz w:val="20"/>
        </w:rPr>
        <w:t>- Total capital expenditures for the six months ended June 30, 2025</w:t>
      </w:r>
      <w:r>
        <w:rPr>
          <w:rFonts w:ascii="Times New Roman" w:hAnsi="Times New Roman"/>
          <w:sz w:val="24"/>
        </w:rPr>
        <w:t xml:space="preserve"> </w:t>
      </w:r>
      <w:r>
        <w:rPr>
          <w:rFonts w:ascii="Times New Roman" w:hAnsi="Times New Roman"/>
          <w:sz w:val="20"/>
        </w:rPr>
        <w:t>were $57.8</w:t>
      </w:r>
      <w:r>
        <w:rPr>
          <w:rFonts w:ascii="Times New Roman" w:hAnsi="Times New Roman"/>
          <w:sz w:val="24"/>
        </w:rPr>
        <w:t xml:space="preserve"> </w:t>
      </w:r>
      <w:r>
        <w:rPr>
          <w:rFonts w:ascii="Times New Roman" w:hAnsi="Times New Roman"/>
          <w:sz w:val="20"/>
        </w:rPr>
        <w:t>million. These capital expenditures were primarily for the purchase and installation of ATMs in key under-penetrated markets, the purchase of POS terminals for the epay and Money Transfer Segments, and office, data center and company store computer equipment and software. Total capital expenditures for 2025</w:t>
      </w:r>
      <w:r>
        <w:rPr>
          <w:rFonts w:ascii="Times New Roman" w:hAnsi="Times New Roman"/>
          <w:sz w:val="24"/>
        </w:rPr>
        <w:t> </w:t>
      </w:r>
      <w:r>
        <w:rPr>
          <w:rFonts w:ascii="Times New Roman" w:hAnsi="Times New Roman"/>
          <w:sz w:val="20"/>
        </w:rPr>
        <w:t>are currently estimated to range from approximately $85</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to</w:t>
      </w:r>
      <w:r>
        <w:rPr>
          <w:rFonts w:ascii="Times New Roman" w:hAnsi="Times New Roman"/>
          <w:sz w:val="24"/>
        </w:rPr>
        <w:t> </w:t>
      </w:r>
      <w:r>
        <w:rPr>
          <w:rFonts w:ascii="Times New Roman" w:hAnsi="Times New Roman"/>
          <w:sz w:val="20"/>
        </w:rPr>
        <w:t>$95</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At current and projected cash flow levels, we anticipate that cash generated from operations, together with cash on hand and amounts available under our Credit Facility and other existing and potential future financings will be sufficient to meet our debt (including our uncommitted credit facilities),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pStyle w:val="TextBody"/>
        <w:bidi w:val="0"/>
        <w:spacing w:lineRule="atLeast" w:line="240" w:before="200" w:after="200"/>
        <w:jc w:val="both"/>
        <w:rPr>
          <w:rFonts w:ascii="Times New Roman" w:hAnsi="Times New Roman"/>
          <w:i/>
          <w:sz w:val="20"/>
        </w:rPr>
      </w:pPr>
      <w:r>
        <w:rPr>
          <w:rFonts w:ascii="Times New Roman" w:hAnsi="Times New Roman"/>
          <w:i/>
          <w:sz w:val="20"/>
        </w:rPr>
        <w:t>Inflation and functional currencies</w:t>
      </w:r>
    </w:p>
    <w:p>
      <w:pPr>
        <w:pStyle w:val="TextBody"/>
        <w:bidi w:val="0"/>
        <w:spacing w:lineRule="atLeast" w:line="240" w:before="120" w:after="0"/>
        <w:jc w:val="both"/>
        <w:rPr>
          <w:rFonts w:ascii="Times New Roman" w:hAnsi="Times New Roman"/>
          <w:sz w:val="24"/>
        </w:rPr>
      </w:pPr>
      <w:r>
        <w:rPr>
          <w:rFonts w:ascii="Times New Roman" w:hAnsi="Times New Roman"/>
          <w:sz w:val="20"/>
        </w:rPr>
        <w:t>Historically, the countries in which we operate have experienced low and stable inflation. Therefore, the local currency in each of these markets is the functional currency. We have seen indications</w:t>
      </w:r>
      <w:r>
        <w:rPr>
          <w:rFonts w:ascii="Times New Roman" w:hAnsi="Times New Roman"/>
          <w:sz w:val="24"/>
        </w:rPr>
        <w:t> </w:t>
      </w:r>
      <w:r>
        <w:rPr>
          <w:rFonts w:ascii="Times New Roman" w:hAnsi="Times New Roman"/>
          <w:sz w:val="20"/>
        </w:rPr>
        <w:t>that the current inflationary period will put pressure on our results of operations and our financial position. We have seen some signs of inflation impacting discretionary spend items, such as gaming products, in our</w:t>
      </w:r>
      <w:r>
        <w:rPr>
          <w:rFonts w:ascii="Times New Roman" w:hAnsi="Times New Roman"/>
          <w:sz w:val="24"/>
        </w:rPr>
        <w:t> </w:t>
      </w:r>
      <w:r>
        <w:rPr>
          <w:rFonts w:ascii="Times New Roman" w:hAnsi="Times New Roman"/>
          <w:sz w:val="20"/>
        </w:rPr>
        <w:t>epay</w:t>
      </w:r>
      <w:r>
        <w:rPr>
          <w:rFonts w:ascii="Times New Roman" w:hAnsi="Times New Roman"/>
          <w:sz w:val="24"/>
        </w:rPr>
        <w:t> </w:t>
      </w:r>
      <w:r>
        <w:rPr>
          <w:rFonts w:ascii="Times New Roman" w:hAnsi="Times New Roman"/>
          <w:sz w:val="20"/>
        </w:rPr>
        <w:t>business, discretionary travel expenditures in EFT, as well as some pressure on send amounts in money transfer.</w:t>
      </w:r>
      <w:r>
        <w:rPr>
          <w:rFonts w:ascii="Times New Roman" w:hAnsi="Times New Roman"/>
          <w:sz w:val="24"/>
        </w:rPr>
        <w:t>  </w:t>
      </w:r>
      <w:r>
        <w:rPr>
          <w:rFonts w:ascii="Times New Roman" w:hAnsi="Times New Roman"/>
          <w:sz w:val="20"/>
        </w:rPr>
        <w:t>As a consequence of this inflationary period, we expect to see increasing expenses forthcoming. We continually review inflation and the functional currency in each of the countries where we operate.</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spacing w:lineRule="atLeast" w:line="288" w:before="0" w:after="200"/>
        <w:jc w:val="left"/>
        <w:rPr>
          <w:rFonts w:ascii="Times New Roman" w:hAnsi="Times New Roman"/>
          <w:b/>
          <w:sz w:val="20"/>
        </w:rPr>
      </w:pPr>
      <w:r>
        <w:rPr>
          <w:rFonts w:ascii="Times New Roman" w:hAnsi="Times New Roman"/>
          <w:b/>
          <w:sz w:val="20"/>
        </w:rPr>
        <w:t>OFF BALANCE SHEET ARRANGEMENTS.</w:t>
      </w:r>
    </w:p>
    <w:p>
      <w:pPr>
        <w:pStyle w:val="TextBody"/>
        <w:bidi w:val="0"/>
        <w:spacing w:lineRule="atLeast" w:line="240" w:before="200" w:after="200"/>
        <w:jc w:val="both"/>
        <w:rPr>
          <w:rFonts w:ascii="Times New Roman" w:hAnsi="Times New Roman"/>
          <w:sz w:val="24"/>
        </w:rPr>
      </w:pPr>
      <w:r>
        <w:rPr>
          <w:rFonts w:ascii="Times New Roman" w:hAnsi="Times New Roman"/>
          <w:sz w:val="20"/>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w:t>
      </w:r>
      <w:r>
        <w:rPr>
          <w:rFonts w:ascii="Times New Roman" w:hAnsi="Times New Roman"/>
          <w:sz w:val="24"/>
        </w:rPr>
        <w:t> </w:t>
      </w:r>
      <w:r>
        <w:rPr>
          <w:rFonts w:ascii="Times New Roman" w:hAnsi="Times New Roman"/>
          <w:sz w:val="20"/>
        </w:rPr>
        <w:t>June 30, 2025, there were no material changes from the disclosure in our Annual Report on Form 10-K for the year ended</w:t>
      </w:r>
      <w:r>
        <w:rPr>
          <w:rFonts w:ascii="Times New Roman" w:hAnsi="Times New Roman"/>
          <w:sz w:val="24"/>
        </w:rPr>
        <w:t> </w:t>
      </w:r>
      <w:r>
        <w:rPr>
          <w:rFonts w:ascii="Times New Roman" w:hAnsi="Times New Roman"/>
          <w:sz w:val="20"/>
        </w:rPr>
        <w:t>December 31, 2024. To date, we are not aware of any significant claims made by the indemnified parties or parties to whom we have provided guarantees on behalf of our subsidiaries and, accordingly, no liabilities have been recorded as of</w:t>
      </w:r>
      <w:r>
        <w:rPr>
          <w:rFonts w:ascii="Times New Roman" w:hAnsi="Times New Roman"/>
          <w:sz w:val="24"/>
        </w:rPr>
        <w:t> </w:t>
      </w:r>
      <w:r>
        <w:rPr>
          <w:rFonts w:ascii="Times New Roman" w:hAnsi="Times New Roman"/>
          <w:sz w:val="20"/>
        </w:rPr>
        <w:t>June 30, 2025. See also Note 15, Commitments, to the unaudited consolidated financial statements included elsewhere in this report.</w:t>
      </w:r>
    </w:p>
    <w:p>
      <w:pPr>
        <w:pStyle w:val="TextBody"/>
        <w:bidi w:val="0"/>
        <w:spacing w:lineRule="atLeast" w:line="288" w:before="200" w:after="200"/>
        <w:jc w:val="left"/>
        <w:rPr>
          <w:rFonts w:ascii="Times New Roman" w:hAnsi="Times New Roman"/>
          <w:b/>
          <w:sz w:val="20"/>
        </w:rPr>
      </w:pPr>
      <w:r>
        <w:rPr>
          <w:rFonts w:ascii="Times New Roman" w:hAnsi="Times New Roman"/>
          <w:b/>
          <w:sz w:val="20"/>
        </w:rPr>
        <w:t>CONTRACTUAL OBLIGATIONS</w:t>
      </w:r>
    </w:p>
    <w:p>
      <w:pPr>
        <w:pStyle w:val="TextBody"/>
        <w:bidi w:val="0"/>
        <w:spacing w:lineRule="atLeast" w:line="240" w:before="200" w:after="0"/>
        <w:jc w:val="both"/>
        <w:rPr>
          <w:rFonts w:ascii="Times New Roman" w:hAnsi="Times New Roman"/>
          <w:sz w:val="24"/>
        </w:rPr>
      </w:pPr>
      <w:r>
        <w:rPr>
          <w:rFonts w:ascii="Times New Roman" w:hAnsi="Times New Roman"/>
          <w:sz w:val="20"/>
        </w:rPr>
        <w:t>As of</w:t>
      </w:r>
      <w:r>
        <w:rPr>
          <w:rFonts w:ascii="Times New Roman" w:hAnsi="Times New Roman"/>
          <w:sz w:val="24"/>
        </w:rPr>
        <w:t> </w:t>
      </w:r>
      <w:r>
        <w:rPr>
          <w:rFonts w:ascii="Times New Roman" w:hAnsi="Times New Roman"/>
          <w:sz w:val="20"/>
        </w:rPr>
        <w:t>June 30, 2025, there have been no material changes outside the ordinary course of business in our future contractual obligations from the amounts reported within our</w:t>
      </w:r>
      <w:r>
        <w:rPr>
          <w:rFonts w:ascii="Times New Roman" w:hAnsi="Times New Roman"/>
          <w:sz w:val="24"/>
        </w:rPr>
        <w:t> </w:t>
      </w:r>
      <w:r>
        <w:rPr>
          <w:rFonts w:ascii="Times New Roman" w:hAnsi="Times New Roman"/>
          <w:sz w:val="20"/>
        </w:rPr>
        <w:t>Annual Report on Form 10-K for the year ended</w:t>
      </w:r>
      <w:r>
        <w:rPr>
          <w:rFonts w:ascii="Times New Roman" w:hAnsi="Times New Roman"/>
          <w:sz w:val="24"/>
        </w:rPr>
        <w:t> </w:t>
      </w:r>
      <w:r>
        <w:rPr>
          <w:rFonts w:ascii="Times New Roman" w:hAnsi="Times New Roman"/>
          <w:sz w:val="20"/>
        </w:rPr>
        <w:t>December 31, 2024.</w:t>
      </w:r>
      <w:r>
        <w:rPr>
          <w:rFonts w:ascii="Times New Roman" w:hAnsi="Times New Roman"/>
          <w:sz w:val="24"/>
        </w:rPr>
        <w:t> </w:t>
      </w:r>
      <w:bookmarkStart w:id="16" w:name="TOC_c1f09d06c45d2c66493b"/>
      <w:bookmarkEnd w:id="16"/>
    </w:p>
    <w:p>
      <w:pPr>
        <w:pStyle w:val="TextBody"/>
        <w:bidi w:val="0"/>
        <w:spacing w:lineRule="atLeast" w:line="240" w:before="200" w:after="0"/>
        <w:jc w:val="both"/>
        <w:rPr>
          <w:rFonts w:ascii="Times New Roman" w:hAnsi="Times New Roman"/>
          <w:b/>
          <w:sz w:val="20"/>
        </w:rPr>
      </w:pPr>
      <w:r>
        <w:rPr>
          <w:rFonts w:ascii="Times New Roman" w:hAnsi="Times New Roman"/>
          <w:b/>
          <w:sz w:val="20"/>
        </w:rPr>
        <w:t>ITEM 3. QUANTITATIVE AND QUALITATIVE DISCLOSURES ABOUT MARKET RISK</w:t>
      </w:r>
    </w:p>
    <w:p>
      <w:pPr>
        <w:pStyle w:val="TextBody"/>
        <w:bidi w:val="0"/>
        <w:spacing w:lineRule="atLeast" w:line="240" w:before="0" w:after="0"/>
        <w:jc w:val="left"/>
        <w:rPr>
          <w:rFonts w:ascii="Times New Roman" w:hAnsi="Times New Roman"/>
          <w:sz w:val="24"/>
        </w:rPr>
      </w:pPr>
      <w:r>
        <w:rPr>
          <w:rFonts w:ascii="Times New Roman" w:hAnsi="Times New Roman"/>
          <w:sz w:val="24"/>
        </w:rPr>
        <w:br/>
      </w:r>
      <w:r>
        <w:rPr>
          <w:rFonts w:ascii="Times New Roman" w:hAnsi="Times New Roman"/>
          <w:i/>
          <w:sz w:val="20"/>
        </w:rPr>
        <w:t>Interest rate risk</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As of June 30, 2025, our total debt outstanding, excluding unamortized debt issuance costs, was $2,441.7</w:t>
      </w:r>
      <w:r>
        <w:rPr>
          <w:rFonts w:ascii="Times New Roman" w:hAnsi="Times New Roman"/>
          <w:sz w:val="24"/>
        </w:rPr>
        <w:t xml:space="preserve"> </w:t>
      </w:r>
      <w:r>
        <w:rPr>
          <w:rFonts w:ascii="Times New Roman" w:hAnsi="Times New Roman"/>
          <w:sz w:val="20"/>
        </w:rPr>
        <w:t>million. Of this amount, $33.2</w:t>
      </w:r>
      <w:r>
        <w:rPr>
          <w:rFonts w:ascii="Times New Roman" w:hAnsi="Times New Roman"/>
          <w:sz w:val="24"/>
        </w:rPr>
        <w:t xml:space="preserve"> </w:t>
      </w:r>
      <w:r>
        <w:rPr>
          <w:rFonts w:ascii="Times New Roman" w:hAnsi="Times New Roman"/>
          <w:sz w:val="20"/>
        </w:rPr>
        <w:t>million, net of debt discounts, or 1%</w:t>
      </w:r>
      <w:r>
        <w:rPr>
          <w:rFonts w:ascii="Times New Roman" w:hAnsi="Times New Roman"/>
          <w:sz w:val="24"/>
        </w:rPr>
        <w:t> </w:t>
      </w:r>
      <w:r>
        <w:rPr>
          <w:rFonts w:ascii="Times New Roman" w:hAnsi="Times New Roman"/>
          <w:sz w:val="20"/>
        </w:rPr>
        <w:t>of our total debt obligations, relates to our contingent Convertible Notes that have a fixed coupon rate. Our $33.2</w:t>
      </w:r>
      <w:r>
        <w:rPr>
          <w:rFonts w:ascii="Times New Roman" w:hAnsi="Times New Roman"/>
          <w:sz w:val="24"/>
        </w:rPr>
        <w:t xml:space="preserve"> </w:t>
      </w:r>
      <w:r>
        <w:rPr>
          <w:rFonts w:ascii="Times New Roman" w:hAnsi="Times New Roman"/>
          <w:sz w:val="20"/>
        </w:rPr>
        <w:t>million outstanding principal amount of Convertible Notes accrue cash interest at a rate of 0.75% of the principal amount per annum. Based on quoted market prices, as of</w:t>
      </w:r>
      <w:r>
        <w:rPr>
          <w:rFonts w:ascii="Times New Roman" w:hAnsi="Times New Roman"/>
          <w:sz w:val="24"/>
        </w:rPr>
        <w:t> </w:t>
      </w:r>
      <w:r>
        <w:rPr>
          <w:rFonts w:ascii="Times New Roman" w:hAnsi="Times New Roman"/>
          <w:sz w:val="20"/>
        </w:rPr>
        <w:t>June 30, 2025, the fair value of our fixed rate Convertible Notes was $31.6</w:t>
      </w:r>
      <w:r>
        <w:rPr>
          <w:rFonts w:ascii="Times New Roman" w:hAnsi="Times New Roman"/>
          <w:sz w:val="24"/>
        </w:rPr>
        <w:t xml:space="preserve"> </w:t>
      </w:r>
      <w:r>
        <w:rPr>
          <w:rFonts w:ascii="Times New Roman" w:hAnsi="Times New Roman"/>
          <w:sz w:val="20"/>
        </w:rPr>
        <w:t>million, compared to a carrying value of $33.2</w:t>
      </w:r>
      <w:r>
        <w:rPr>
          <w:rFonts w:ascii="Times New Roman" w:hAnsi="Times New Roman"/>
          <w:sz w:val="24"/>
        </w:rPr>
        <w:t xml:space="preserve"> </w:t>
      </w:r>
      <w:r>
        <w:rPr>
          <w:rFonts w:ascii="Times New Roman" w:hAnsi="Times New Roman"/>
          <w:sz w:val="20"/>
        </w:rPr>
        <w:t>million. Further, as of</w:t>
      </w:r>
      <w:r>
        <w:rPr>
          <w:rFonts w:ascii="Times New Roman" w:hAnsi="Times New Roman"/>
          <w:sz w:val="24"/>
        </w:rPr>
        <w:t> </w:t>
      </w:r>
      <w:r>
        <w:rPr>
          <w:rFonts w:ascii="Times New Roman" w:hAnsi="Times New Roman"/>
          <w:sz w:val="20"/>
        </w:rPr>
        <w:t>June 30, 2025</w:t>
      </w:r>
      <w:r>
        <w:rPr>
          <w:rFonts w:ascii="Times New Roman" w:hAnsi="Times New Roman"/>
          <w:sz w:val="24"/>
        </w:rPr>
        <w:t> </w:t>
      </w:r>
      <w:r>
        <w:rPr>
          <w:rFonts w:ascii="Times New Roman" w:hAnsi="Times New Roman"/>
          <w:sz w:val="20"/>
        </w:rPr>
        <w:t>we had $965.1</w:t>
      </w:r>
      <w:r>
        <w:rPr>
          <w:rFonts w:ascii="Times New Roman" w:hAnsi="Times New Roman"/>
          <w:sz w:val="24"/>
        </w:rPr>
        <w:t xml:space="preserve"> </w:t>
      </w:r>
      <w:r>
        <w:rPr>
          <w:rFonts w:ascii="Times New Roman" w:hAnsi="Times New Roman"/>
          <w:sz w:val="20"/>
        </w:rPr>
        <w:t>million of</w:t>
      </w:r>
      <w:r>
        <w:rPr>
          <w:rFonts w:ascii="Times New Roman" w:hAnsi="Times New Roman"/>
          <w:sz w:val="24"/>
        </w:rPr>
        <w:t> </w:t>
      </w:r>
      <w:r>
        <w:rPr>
          <w:rFonts w:ascii="Times New Roman" w:hAnsi="Times New Roman"/>
          <w:sz w:val="20"/>
        </w:rPr>
        <w:t>borrowings under our Credit Facility, or 40%</w:t>
      </w:r>
      <w:r>
        <w:rPr>
          <w:rFonts w:ascii="Times New Roman" w:hAnsi="Times New Roman"/>
          <w:sz w:val="24"/>
        </w:rPr>
        <w:t> </w:t>
      </w:r>
      <w:r>
        <w:rPr>
          <w:rFonts w:ascii="Times New Roman" w:hAnsi="Times New Roman"/>
          <w:sz w:val="20"/>
        </w:rPr>
        <w:t>of our total debt obligations.</w:t>
      </w:r>
      <w:r>
        <w:rPr>
          <w:rFonts w:ascii="Times New Roman" w:hAnsi="Times New Roman"/>
          <w:sz w:val="24"/>
        </w:rPr>
        <w:t> </w:t>
      </w:r>
      <w:r>
        <w:rPr>
          <w:rFonts w:ascii="Times New Roman" w:hAnsi="Times New Roman"/>
          <w:sz w:val="20"/>
        </w:rPr>
        <w:t>If we were to maintain these borrowings for one year and maximize the potential borrowings available under the Credit Facility for one year, a 1% (100 basis points) increase in the applicable interest rate would result in additional interest expense to the Company of approximately $9.7</w:t>
      </w:r>
      <w:r>
        <w:rPr>
          <w:rFonts w:ascii="Times New Roman" w:hAnsi="Times New Roman"/>
          <w:sz w:val="24"/>
        </w:rPr>
        <w:t> </w:t>
      </w:r>
      <w:r>
        <w:rPr>
          <w:rFonts w:ascii="Times New Roman" w:hAnsi="Times New Roman"/>
          <w:sz w:val="20"/>
        </w:rPr>
        <w:t>million. The carrying values of the Credit Facility approximates fair value because interest as of June 30, 2025, was based on SOFR that resets at various intervals of less than one year.</w:t>
      </w:r>
      <w:r>
        <w:rPr>
          <w:rFonts w:ascii="Times New Roman" w:hAnsi="Times New Roman"/>
          <w:sz w:val="24"/>
        </w:rPr>
        <w:t> </w:t>
      </w:r>
      <w:r>
        <w:rPr>
          <w:rFonts w:ascii="Times New Roman" w:hAnsi="Times New Roman"/>
          <w:sz w:val="20"/>
        </w:rPr>
        <w:t>Additionally, $707.2</w:t>
      </w:r>
      <w:r>
        <w:rPr>
          <w:rFonts w:ascii="Times New Roman" w:hAnsi="Times New Roman"/>
          <w:sz w:val="24"/>
        </w:rPr>
        <w:t xml:space="preserve"> </w:t>
      </w:r>
      <w:r>
        <w:rPr>
          <w:rFonts w:ascii="Times New Roman" w:hAnsi="Times New Roman"/>
          <w:sz w:val="20"/>
        </w:rPr>
        <w:t>million, or 29%</w:t>
      </w:r>
      <w:r>
        <w:rPr>
          <w:rFonts w:ascii="Times New Roman" w:hAnsi="Times New Roman"/>
          <w:sz w:val="24"/>
        </w:rPr>
        <w:t> </w:t>
      </w:r>
      <w:r>
        <w:rPr>
          <w:rFonts w:ascii="Times New Roman" w:hAnsi="Times New Roman"/>
          <w:sz w:val="20"/>
        </w:rPr>
        <w:t>of our total debt obligations, relates to Senior Notes having a fixed coupon rate. Our $707.2</w:t>
      </w:r>
      <w:r>
        <w:rPr>
          <w:rFonts w:ascii="Times New Roman" w:hAnsi="Times New Roman"/>
          <w:sz w:val="24"/>
        </w:rPr>
        <w:t xml:space="preserve"> </w:t>
      </w:r>
      <w:r>
        <w:rPr>
          <w:rFonts w:ascii="Times New Roman" w:hAnsi="Times New Roman"/>
          <w:sz w:val="20"/>
        </w:rPr>
        <w:t>million outstanding principal amount of Senior Notes accrue cash interest at a rate of 1.375% of the principal amount per annum. Based on quoted market prices, as of</w:t>
      </w:r>
      <w:r>
        <w:rPr>
          <w:rFonts w:ascii="Times New Roman" w:hAnsi="Times New Roman"/>
          <w:sz w:val="24"/>
        </w:rPr>
        <w:t> </w:t>
      </w:r>
      <w:r>
        <w:rPr>
          <w:rFonts w:ascii="Times New Roman" w:hAnsi="Times New Roman"/>
          <w:sz w:val="20"/>
        </w:rPr>
        <w:t>June 30, 2025, the fair value of our fixed rate Senior Notes was $698.9</w:t>
      </w:r>
      <w:r>
        <w:rPr>
          <w:rFonts w:ascii="Times New Roman" w:hAnsi="Times New Roman"/>
          <w:sz w:val="24"/>
        </w:rPr>
        <w:t xml:space="preserve"> </w:t>
      </w:r>
      <w:r>
        <w:rPr>
          <w:rFonts w:ascii="Times New Roman" w:hAnsi="Times New Roman"/>
          <w:sz w:val="20"/>
        </w:rPr>
        <w:t>million, compared to a carrying value of</w:t>
      </w:r>
      <w:r>
        <w:rPr>
          <w:rFonts w:ascii="Times New Roman" w:hAnsi="Times New Roman"/>
          <w:sz w:val="24"/>
        </w:rPr>
        <w:t> </w:t>
      </w:r>
      <w:r>
        <w:rPr>
          <w:rFonts w:ascii="Times New Roman" w:hAnsi="Times New Roman"/>
          <w:sz w:val="20"/>
        </w:rPr>
        <w:t>$707.2 million.</w:t>
      </w:r>
      <w:r>
        <w:rPr>
          <w:rFonts w:ascii="Times New Roman" w:hAnsi="Times New Roman"/>
          <w:sz w:val="24"/>
        </w:rPr>
        <w:t> </w:t>
      </w:r>
      <w:r>
        <w:rPr>
          <w:rFonts w:ascii="Times New Roman" w:hAnsi="Times New Roman"/>
          <w:sz w:val="20"/>
        </w:rPr>
        <w:t>An additional $700.0</w:t>
      </w:r>
      <w:r>
        <w:rPr>
          <w:rFonts w:ascii="Times New Roman" w:hAnsi="Times New Roman"/>
          <w:sz w:val="24"/>
        </w:rPr>
        <w:t xml:space="preserve"> </w:t>
      </w:r>
      <w:r>
        <w:rPr>
          <w:rFonts w:ascii="Times New Roman" w:hAnsi="Times New Roman"/>
          <w:sz w:val="20"/>
        </w:rPr>
        <w:t>million, or 29%</w:t>
      </w:r>
      <w:r>
        <w:rPr>
          <w:rFonts w:ascii="Times New Roman" w:hAnsi="Times New Roman"/>
          <w:sz w:val="24"/>
        </w:rPr>
        <w:t> </w:t>
      </w:r>
      <w:r>
        <w:rPr>
          <w:rFonts w:ascii="Times New Roman" w:hAnsi="Times New Roman"/>
          <w:sz w:val="20"/>
        </w:rPr>
        <w:t>of our total debt, is related to a short-term uncommitted credit agreement. The credit agreement is due within one year and accrues interest at variable rates.</w:t>
      </w:r>
      <w:r>
        <w:rPr>
          <w:rFonts w:ascii="Times New Roman" w:hAnsi="Times New Roman"/>
          <w:sz w:val="24"/>
        </w:rPr>
        <w:t> </w:t>
      </w:r>
      <w:r>
        <w:rPr>
          <w:rFonts w:ascii="Times New Roman" w:hAnsi="Times New Roman"/>
          <w:sz w:val="20"/>
        </w:rPr>
        <w:t>The remaining $36.2</w:t>
      </w:r>
      <w:r>
        <w:rPr>
          <w:rFonts w:ascii="Times New Roman" w:hAnsi="Times New Roman"/>
          <w:sz w:val="24"/>
        </w:rPr>
        <w:t xml:space="preserve"> </w:t>
      </w:r>
      <w:r>
        <w:rPr>
          <w:rFonts w:ascii="Times New Roman" w:hAnsi="Times New Roman"/>
          <w:sz w:val="20"/>
        </w:rPr>
        <w:t>million is related to borrowings by certain subsidiaries to fund, from time to time, working capital requirements. These arrangements generally are due within one year and accrue interest at variable rates.</w:t>
      </w:r>
      <w:r>
        <w:rPr>
          <w:rFonts w:ascii="Times New Roman" w:hAnsi="Times New Roman"/>
          <w:sz w:val="24"/>
        </w:rPr>
        <w:t> </w:t>
      </w:r>
      <w:r>
        <w:rPr>
          <w:rFonts w:ascii="Times New Roman" w:hAnsi="Times New Roman"/>
          <w:sz w:val="20"/>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i/>
          <w:sz w:val="20"/>
        </w:rPr>
      </w:pPr>
      <w:r>
        <w:rPr>
          <w:rFonts w:ascii="Times New Roman" w:hAnsi="Times New Roman"/>
          <w:i/>
          <w:sz w:val="20"/>
        </w:rPr>
        <w:t>Foreign currency exchange rate risk</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For the six months ended June 30, 2025,</w:t>
      </w:r>
      <w:r>
        <w:rPr>
          <w:rFonts w:ascii="Times New Roman" w:hAnsi="Times New Roman"/>
          <w:sz w:val="24"/>
        </w:rPr>
        <w:t> </w:t>
      </w:r>
      <w:r>
        <w:rPr>
          <w:rFonts w:ascii="Times New Roman" w:hAnsi="Times New Roman"/>
          <w:sz w:val="20"/>
        </w:rPr>
        <w:t>approximately 75.6%</w:t>
      </w:r>
      <w:r>
        <w:rPr>
          <w:rFonts w:ascii="Times New Roman" w:hAnsi="Times New Roman"/>
          <w:sz w:val="24"/>
        </w:rPr>
        <w:t> </w:t>
      </w:r>
      <w:r>
        <w:rPr>
          <w:rFonts w:ascii="Times New Roman" w:hAnsi="Times New Roman"/>
          <w:sz w:val="20"/>
        </w:rPr>
        <w:t>of our revenues were generated in non-U.S. dollar countries and we expect to continue generating a significant portion of our revenues in countries with currencies other than the U.S. dollar.</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w:t>
      </w:r>
      <w:r>
        <w:rPr>
          <w:rFonts w:ascii="Times New Roman" w:hAnsi="Times New Roman"/>
          <w:sz w:val="24"/>
        </w:rPr>
        <w:t> </w:t>
      </w:r>
      <w:r>
        <w:rPr>
          <w:rFonts w:ascii="Times New Roman" w:hAnsi="Times New Roman"/>
          <w:sz w:val="20"/>
        </w:rPr>
        <w:t>June 30, 2025, we estimate that a 10% fluctuation in these foreign currency exchange rates would have the combined annualized effect on reported net income and working capital of approximately</w:t>
      </w:r>
      <w:r>
        <w:rPr>
          <w:rFonts w:ascii="Times New Roman" w:hAnsi="Times New Roman"/>
          <w:sz w:val="24"/>
        </w:rPr>
        <w:t> </w:t>
      </w:r>
      <w:r>
        <w:rPr>
          <w:rFonts w:ascii="Times New Roman" w:hAnsi="Times New Roman"/>
          <w:sz w:val="20"/>
        </w:rPr>
        <w:t>$180 million to $190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and our Senior Notes. We estimate that a 10% fluctuation in foreign currency exchange rates would have a non-cash impact on total comprehensive income of approximately $60 million to $70 million</w:t>
      </w:r>
      <w:r>
        <w:rPr>
          <w:rFonts w:ascii="Times New Roman" w:hAnsi="Times New Roman"/>
          <w:sz w:val="24"/>
        </w:rPr>
        <w:t> </w:t>
      </w:r>
      <w:r>
        <w:rPr>
          <w:rFonts w:ascii="Times New Roman" w:hAnsi="Times New Roman"/>
          <w:sz w:val="20"/>
        </w:rPr>
        <w:t>as a result of the change in value of these items during translation to the U.S. dollar. For the fluctuations described above, a strengthening U.S. dollar produces a financial loss, while a weakening U.S. dollar produces a financial gain.</w:t>
      </w:r>
    </w:p>
    <w:p>
      <w:pPr>
        <w:pStyle w:val="TextBody"/>
        <w:bidi w:val="0"/>
        <w:spacing w:lineRule="atLeast" w:line="240" w:before="0" w:after="0"/>
        <w:jc w:val="both"/>
        <w:rPr/>
      </w:pPr>
      <w:r>
        <w:rPr/>
        <w:t> </w:t>
      </w:r>
    </w:p>
    <w:p>
      <w:pPr>
        <w:pStyle w:val="TextBody"/>
        <w:bidi w:val="0"/>
        <w:spacing w:lineRule="auto" w:line="276" w:before="0" w:after="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sz w:val="20"/>
        </w:rPr>
      </w:pPr>
      <w:r>
        <w:rPr>
          <w:rFonts w:ascii="Times New Roman" w:hAnsi="Times New Roman"/>
          <w:sz w:val="20"/>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a significant portion of our debt obligations are in U.S. dollars; therefore, as foreign currency exchange rates fluctuate, the amount available for repayment of debt will also increase or decrease.</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r>
        <w:rPr>
          <w:rFonts w:ascii="Times New Roman" w:hAnsi="Times New Roman"/>
          <w:sz w:val="24"/>
        </w:rPr>
        <w:t> </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Operations. As of</w:t>
      </w:r>
      <w:r>
        <w:rPr>
          <w:rFonts w:ascii="Times New Roman" w:hAnsi="Times New Roman"/>
          <w:sz w:val="24"/>
        </w:rPr>
        <w:t> </w:t>
      </w:r>
      <w:r>
        <w:rPr>
          <w:rFonts w:ascii="Times New Roman" w:hAnsi="Times New Roman"/>
          <w:sz w:val="20"/>
        </w:rPr>
        <w:t>June 30, 2025, we had foreign currency derivative contracts outstanding with a notional value of $677.2</w:t>
      </w:r>
      <w:r>
        <w:rPr>
          <w:rFonts w:ascii="Times New Roman" w:hAnsi="Times New Roman"/>
          <w:sz w:val="24"/>
        </w:rPr>
        <w:t xml:space="preserve"> </w:t>
      </w:r>
      <w:r>
        <w:rPr>
          <w:rFonts w:ascii="Times New Roman" w:hAnsi="Times New Roman"/>
          <w:sz w:val="20"/>
        </w:rPr>
        <w:t>million, primarily in Australian dollars, British pounds, Canadian dollars, euros and Mexican pesos, that were not designated as hedges and mature within a few days.</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Operations. As of</w:t>
      </w:r>
      <w:r>
        <w:rPr>
          <w:rFonts w:ascii="Times New Roman" w:hAnsi="Times New Roman"/>
          <w:sz w:val="24"/>
        </w:rPr>
        <w:t> </w:t>
      </w:r>
      <w:r>
        <w:rPr>
          <w:rFonts w:ascii="Times New Roman" w:hAnsi="Times New Roman"/>
          <w:sz w:val="20"/>
        </w:rPr>
        <w:t>June 30, 2025, we held foreign currency derivative contracts outstanding with a notional value of $1.1</w:t>
      </w:r>
      <w:r>
        <w:rPr>
          <w:rFonts w:ascii="Times New Roman" w:hAnsi="Times New Roman"/>
          <w:sz w:val="24"/>
        </w:rPr>
        <w:t> </w:t>
      </w:r>
      <w:r>
        <w:rPr>
          <w:rFonts w:ascii="Times New Roman" w:hAnsi="Times New Roman"/>
          <w:sz w:val="20"/>
        </w:rPr>
        <w:t>billion, primarily in U.S. dollars, euros, British pounds, Australian dollars and New Zealand dollars, that were not designated as hedges and for which the majority mature within the next twelve months.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We use longer-term foreign currency forward contracts to mitigate risks associated with changes in foreign currency exchange rates on certain foreign currency denominated other assets and liability positions. As of June 30, 2025, the Company had foreign currency forward contracts outstanding with a notional value of $198.0</w:t>
      </w:r>
      <w:r>
        <w:rPr>
          <w:rFonts w:ascii="Times New Roman" w:hAnsi="Times New Roman"/>
          <w:sz w:val="24"/>
        </w:rPr>
        <w:t xml:space="preserve"> </w:t>
      </w:r>
      <w:r>
        <w:rPr>
          <w:rFonts w:ascii="Times New Roman" w:hAnsi="Times New Roman"/>
          <w:sz w:val="20"/>
        </w:rPr>
        <w:t>million, primarily in euros.</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See Note 11, Derivative Instruments and Hedging Activities, to our unaudited consolidated financial statements for additional information.</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sz w:val="20"/>
        </w:rPr>
      </w:pPr>
      <w:bookmarkStart w:id="17" w:name="TOC_c1474d6bc2f26634b02b"/>
      <w:bookmarkEnd w:id="17"/>
      <w:r>
        <w:rPr>
          <w:rFonts w:ascii="Times New Roman" w:hAnsi="Times New Roman"/>
          <w:b/>
          <w:sz w:val="20"/>
        </w:rPr>
        <w:t>ITEM 4. CONTROLS AND PROCEDURES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Our executive management, including our Chief Executive Officer and Chief Financial Officer, evaluated the effectiveness of the design and operation of our disclosure controls and procedures pursuant to Rule 13a-15(b) under the Exchange Act as of</w:t>
      </w:r>
      <w:r>
        <w:rPr>
          <w:rFonts w:ascii="Times New Roman" w:hAnsi="Times New Roman"/>
          <w:sz w:val="24"/>
        </w:rPr>
        <w:t> </w:t>
      </w:r>
      <w:r>
        <w:rPr>
          <w:rFonts w:ascii="Times New Roman" w:hAnsi="Times New Roman"/>
          <w:sz w:val="20"/>
        </w:rPr>
        <w:t>June 30, 2025.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Change in Internal Controls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There have been no changes in our internal control over financial reporting during the three months ended June 30, 2025</w:t>
      </w:r>
      <w:r>
        <w:rPr>
          <w:rFonts w:ascii="Times New Roman" w:hAnsi="Times New Roman"/>
          <w:sz w:val="24"/>
        </w:rPr>
        <w:t xml:space="preserve"> </w:t>
      </w:r>
      <w:r>
        <w:rPr>
          <w:rFonts w:ascii="Times New Roman" w:hAnsi="Times New Roman"/>
          <w:sz w:val="20"/>
        </w:rPr>
        <w:t>that has materially affected, or is reasonably likely to materially affect, our internal control over financial reporting.</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shd w:fill="FFFFFF" w:val="clear"/>
        <w:bidi w:val="0"/>
        <w:spacing w:lineRule="atLeast" w:line="240" w:before="0" w:after="0"/>
        <w:jc w:val="center"/>
        <w:rPr/>
      </w:pPr>
      <w:hyperlink w:anchor="TOC">
        <w:r>
          <w:rPr>
            <w:rStyle w:val="InternetLink"/>
            <w:rFonts w:ascii="Times New Roman" w:hAnsi="Times New Roman"/>
            <w:b/>
            <w:strike w:val="false"/>
            <w:dstrike w:val="false"/>
            <w:color w:val="000000"/>
            <w:sz w:val="20"/>
            <w:u w:val="none"/>
            <w:effect w:val="none"/>
          </w:rPr>
          <w:t>PART II—OTHER INFORMATION</w:t>
        </w:r>
      </w:hyperlink>
      <w:bookmarkStart w:id="18" w:name="TOC_dbba085be921db1c"/>
      <w:bookmarkEnd w:id="18"/>
      <w:r>
        <w:rPr>
          <w:rFonts w:ascii="Times New Roman" w:hAnsi="Times New Roman"/>
          <w:sz w:val="2"/>
        </w:rPr>
        <w:t>.</w:t>
      </w:r>
    </w:p>
    <w:p>
      <w:pPr>
        <w:pStyle w:val="TextBody"/>
        <w:bidi w:val="0"/>
        <w:spacing w:lineRule="atLeast" w:line="240" w:before="0" w:after="0"/>
        <w:jc w:val="center"/>
        <w:rPr/>
      </w:pPr>
      <w:r>
        <w:rPr/>
        <w:t> </w:t>
      </w:r>
    </w:p>
    <w:p>
      <w:pPr>
        <w:pStyle w:val="TextBody"/>
        <w:bidi w:val="0"/>
        <w:spacing w:lineRule="atLeast" w:line="240" w:before="0" w:after="0"/>
        <w:jc w:val="left"/>
        <w:rPr/>
      </w:pPr>
      <w:hyperlink w:anchor="TOC">
        <w:bookmarkStart w:id="19" w:name="TOC_c2ee1d87c2968fce0fa1"/>
        <w:bookmarkEnd w:id="19"/>
        <w:r>
          <w:rPr>
            <w:rStyle w:val="InternetLink"/>
            <w:rFonts w:ascii="Times New Roman" w:hAnsi="Times New Roman"/>
            <w:b/>
            <w:strike w:val="false"/>
            <w:dstrike w:val="false"/>
            <w:color w:val="000000"/>
            <w:sz w:val="20"/>
            <w:u w:val="none"/>
            <w:effect w:val="none"/>
          </w:rPr>
          <w:t>ITEM 1. LEGAL PROCEEDINGS</w:t>
        </w:r>
      </w:hyperlink>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Company is, from time to time, a party to legal or regulatory proceedings arising in the ordinary course of its business.</w:t>
      </w:r>
      <w:r>
        <w:rPr>
          <w:rFonts w:ascii="Times New Roman" w:hAnsi="Times New Roman"/>
          <w:sz w:val="24"/>
        </w:rPr>
        <w:br/>
        <w:br/>
      </w:r>
      <w:r>
        <w:rPr>
          <w:rFonts w:ascii="Times New Roman" w:hAnsi="Times New Roman"/>
          <w:sz w:val="20"/>
        </w:rPr>
        <w:t>The discussion regarding contingencies in Part I, Item 1 — Financial Statements (unaudited), Note 16, Litigation and Contingencies, to the unaudited consolidated financial statements in this report is incorporated herein by reference.</w:t>
      </w:r>
    </w:p>
    <w:p>
      <w:pPr>
        <w:pStyle w:val="TextBody"/>
        <w:bidi w:val="0"/>
        <w:spacing w:lineRule="atLeast" w:line="240" w:before="0" w:after="0"/>
        <w:jc w:val="both"/>
        <w:rPr/>
      </w:pPr>
      <w:r>
        <w:rPr/>
        <w:t> </w:t>
      </w:r>
      <w:r>
        <w:rPr>
          <w:rFonts w:ascii="Times New Roman" w:hAnsi="Times New Roman"/>
          <w:sz w:val="24"/>
        </w:rPr>
        <w:br/>
      </w:r>
      <w:r>
        <w:rPr>
          <w:rFonts w:ascii="Times New Roman" w:hAnsi="Times New Roman"/>
          <w:sz w:val="20"/>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During July 2024, the Company received an adverse judicial decision related to withholding taxes on certain agency relationships in Italy within the Money Transfer Segment, which the Company has appealed.</w:t>
      </w:r>
      <w:r>
        <w:rPr>
          <w:rFonts w:ascii="Times New Roman" w:hAnsi="Times New Roman"/>
          <w:sz w:val="24"/>
        </w:rPr>
        <w:t> </w:t>
      </w:r>
      <w:r>
        <w:rPr>
          <w:rFonts w:ascii="Times New Roman" w:hAnsi="Times New Roman"/>
          <w:sz w:val="20"/>
        </w:rPr>
        <w:t>In January 2025, the Company received a positive judicial decision in the same court related to the same issue but corresponding to a different taxable period. The Company completed an assessment and concluded that it is reasonably possible that</w:t>
      </w:r>
      <w:r>
        <w:rPr>
          <w:rFonts w:ascii="Times New Roman" w:hAnsi="Times New Roman"/>
          <w:sz w:val="24"/>
        </w:rPr>
        <w:t> </w:t>
      </w:r>
      <w:r>
        <w:rPr>
          <w:rFonts w:ascii="Times New Roman" w:hAnsi="Times New Roman"/>
          <w:sz w:val="20"/>
        </w:rPr>
        <w:t>a liability has been incurred, but not probable.</w:t>
      </w:r>
      <w:r>
        <w:rPr>
          <w:rFonts w:ascii="Times New Roman" w:hAnsi="Times New Roman"/>
          <w:sz w:val="24"/>
        </w:rPr>
        <w:t> </w:t>
      </w:r>
      <w:r>
        <w:rPr>
          <w:rFonts w:ascii="Times New Roman" w:hAnsi="Times New Roman"/>
          <w:sz w:val="20"/>
        </w:rPr>
        <w:t>The principal amount of the agent-based withholding tax could be approximately $16.5</w:t>
      </w:r>
      <w:r>
        <w:rPr>
          <w:rFonts w:ascii="Times New Roman" w:hAnsi="Times New Roman"/>
          <w:sz w:val="24"/>
        </w:rPr>
        <w:t> </w:t>
      </w:r>
      <w:r>
        <w:rPr>
          <w:rFonts w:ascii="Times New Roman" w:hAnsi="Times New Roman"/>
          <w:sz w:val="20"/>
        </w:rPr>
        <w:t>million for all open periods.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In March 2025, the Company was notified of a fire, resulting in the loss of Malaysian Ringgit</w:t>
      </w:r>
      <w:r>
        <w:rPr>
          <w:rFonts w:ascii="Times New Roman" w:hAnsi="Times New Roman"/>
          <w:sz w:val="24"/>
        </w:rPr>
        <w:t> </w:t>
      </w:r>
      <w:r>
        <w:rPr>
          <w:rFonts w:ascii="Times New Roman" w:hAnsi="Times New Roman"/>
          <w:sz w:val="20"/>
        </w:rPr>
        <w:t>notes in the custody of a third-party service provider. The third-party service provider had the risk of loss based on the terms of the contractual arrangement. The bank note balance of approximately</w:t>
      </w:r>
      <w:r>
        <w:rPr>
          <w:rFonts w:ascii="Times New Roman" w:hAnsi="Times New Roman"/>
          <w:sz w:val="24"/>
        </w:rPr>
        <w:t> </w:t>
      </w:r>
      <w:r>
        <w:rPr>
          <w:rFonts w:ascii="Times New Roman" w:hAnsi="Times New Roman"/>
          <w:sz w:val="20"/>
        </w:rPr>
        <w:t>$10 million was moved to other receivables as of June 30, 2025. At this time the Company has determined that it is probable the bank notes will be recovered from the third-party service provider.</w:t>
      </w:r>
    </w:p>
    <w:p>
      <w:pPr>
        <w:pStyle w:val="TextBody"/>
        <w:bidi w:val="0"/>
        <w:spacing w:lineRule="atLeast" w:line="240" w:before="0" w:after="0"/>
        <w:jc w:val="left"/>
        <w:rPr/>
      </w:pPr>
      <w:r>
        <w:rPr/>
        <w:t> </w:t>
      </w:r>
    </w:p>
    <w:p>
      <w:pPr>
        <w:pStyle w:val="TextBody"/>
        <w:bidi w:val="0"/>
        <w:spacing w:lineRule="atLeast" w:line="240" w:before="0" w:after="0"/>
        <w:jc w:val="left"/>
        <w:rPr/>
      </w:pPr>
      <w:hyperlink w:anchor="TOC">
        <w:bookmarkStart w:id="20" w:name="TOC_c60b2a2b8e6c558c7e6f"/>
        <w:bookmarkEnd w:id="20"/>
        <w:r>
          <w:rPr>
            <w:rStyle w:val="InternetLink"/>
            <w:rFonts w:ascii="Times New Roman" w:hAnsi="Times New Roman"/>
            <w:b/>
            <w:strike w:val="false"/>
            <w:dstrike w:val="false"/>
            <w:color w:val="000000"/>
            <w:sz w:val="20"/>
            <w:u w:val="none"/>
            <w:effect w:val="none"/>
          </w:rPr>
          <w:t>ITEM 1A. RISK FACTORS</w:t>
        </w:r>
      </w:hyperlink>
    </w:p>
    <w:p>
      <w:pPr>
        <w:pStyle w:val="TextBody"/>
        <w:shd w:fill="FFFFFF" w:val="clear"/>
        <w:bidi w:val="0"/>
        <w:spacing w:lineRule="atLeast" w:line="240" w:before="0" w:after="0"/>
        <w:jc w:val="both"/>
        <w:rPr/>
      </w:pPr>
      <w:r>
        <w:rPr/>
        <w:t> </w:t>
      </w:r>
    </w:p>
    <w:p>
      <w:pPr>
        <w:pStyle w:val="TextBody"/>
        <w:shd w:fill="FFFFFF" w:val="clear"/>
        <w:bidi w:val="0"/>
        <w:spacing w:lineRule="atLeast" w:line="240" w:before="0" w:after="0"/>
        <w:jc w:val="both"/>
        <w:rPr>
          <w:rFonts w:ascii="Times New Roman" w:hAnsi="Times New Roman"/>
          <w:sz w:val="20"/>
        </w:rPr>
      </w:pPr>
      <w:r>
        <w:rPr>
          <w:rFonts w:ascii="Times New Roman" w:hAnsi="Times New Roman"/>
          <w:sz w:val="20"/>
        </w:rPr>
        <w:t>The following risks update the risk factors set forth in Part I, Item 1A. Risk Factors in our Annual Report on Form 10-K for the year ended December 31, 2024. Please refer to Part I, Item 1A. Risk Factors in our Annual Report on Form 10-K for the year ended December 31, 2024, for other risks related to our business.</w:t>
      </w:r>
    </w:p>
    <w:p>
      <w:pPr>
        <w:pStyle w:val="TextBody"/>
        <w:bidi w:val="0"/>
        <w:spacing w:before="0" w:after="0"/>
        <w:jc w:val="left"/>
        <w:rPr/>
      </w:pPr>
      <w:r>
        <w:rPr/>
        <w:t> </w:t>
      </w:r>
    </w:p>
    <w:p>
      <w:pPr>
        <w:pStyle w:val="TextBody"/>
        <w:shd w:fill="FFFFFF" w:val="clear"/>
        <w:bidi w:val="0"/>
        <w:spacing w:lineRule="atLeast" w:line="240" w:before="0" w:after="0"/>
        <w:jc w:val="both"/>
        <w:rPr>
          <w:rFonts w:ascii="Times New Roman" w:hAnsi="Times New Roman"/>
          <w:sz w:val="24"/>
        </w:rPr>
      </w:pPr>
      <w:r>
        <w:rPr>
          <w:rFonts w:ascii="Times New Roman" w:hAnsi="Times New Roman"/>
          <w:b/>
          <w:i/>
          <w:sz w:val="20"/>
        </w:rPr>
        <w:t>Our pending acquisition of</w:t>
      </w:r>
      <w:r>
        <w:rPr>
          <w:rFonts w:ascii="Times New Roman" w:hAnsi="Times New Roman"/>
          <w:sz w:val="24"/>
        </w:rPr>
        <w:t> </w:t>
      </w:r>
      <w:r>
        <w:rPr>
          <w:rFonts w:ascii="Times New Roman" w:hAnsi="Times New Roman"/>
          <w:b/>
          <w:i/>
          <w:sz w:val="20"/>
        </w:rPr>
        <w:t>CoreCard Corporation (“CoreCard”) subjects us to various risks and uncertainties, including risks that we may not complete the acquisition or realize the anticipated benefits in the expected timeframe or at all.</w:t>
      </w:r>
    </w:p>
    <w:p>
      <w:pPr>
        <w:pStyle w:val="TextBody"/>
        <w:bidi w:val="0"/>
        <w:spacing w:before="0" w:after="0"/>
        <w:jc w:val="left"/>
        <w:rPr/>
      </w:pPr>
      <w:r>
        <w:rPr/>
        <w:t> </w:t>
      </w:r>
    </w:p>
    <w:p>
      <w:pPr>
        <w:pStyle w:val="TextBody"/>
        <w:shd w:fill="FFFFFF" w:val="clear"/>
        <w:bidi w:val="0"/>
        <w:spacing w:lineRule="atLeast" w:line="240" w:before="0" w:after="0"/>
        <w:jc w:val="both"/>
        <w:rPr>
          <w:rFonts w:ascii="Times New Roman" w:hAnsi="Times New Roman"/>
          <w:sz w:val="24"/>
        </w:rPr>
      </w:pPr>
      <w:r>
        <w:rPr>
          <w:rFonts w:ascii="Times New Roman" w:hAnsi="Times New Roman"/>
          <w:sz w:val="20"/>
        </w:rPr>
        <w:t>Completion of our acquisition of</w:t>
      </w:r>
      <w:r>
        <w:rPr>
          <w:rFonts w:ascii="Times New Roman" w:hAnsi="Times New Roman"/>
          <w:sz w:val="24"/>
        </w:rPr>
        <w:t> </w:t>
      </w:r>
      <w:r>
        <w:rPr>
          <w:rFonts w:ascii="Times New Roman" w:hAnsi="Times New Roman"/>
          <w:sz w:val="20"/>
        </w:rPr>
        <w:t>CoreCard</w:t>
      </w:r>
      <w:r>
        <w:rPr>
          <w:rFonts w:ascii="Times New Roman" w:hAnsi="Times New Roman"/>
          <w:sz w:val="24"/>
        </w:rPr>
        <w:t> </w:t>
      </w:r>
      <w:r>
        <w:rPr>
          <w:rFonts w:ascii="Times New Roman" w:hAnsi="Times New Roman"/>
          <w:sz w:val="20"/>
        </w:rPr>
        <w:t>is subject to a number of conditions set forth in the Agreement and Plan of Merger among us,</w:t>
      </w:r>
      <w:r>
        <w:rPr>
          <w:rFonts w:ascii="Times New Roman" w:hAnsi="Times New Roman"/>
          <w:sz w:val="24"/>
        </w:rPr>
        <w:t> </w:t>
      </w:r>
      <w:r>
        <w:rPr>
          <w:rFonts w:ascii="Times New Roman" w:hAnsi="Times New Roman"/>
          <w:sz w:val="20"/>
        </w:rPr>
        <w:t>CoreCard</w:t>
      </w:r>
      <w:r>
        <w:rPr>
          <w:rFonts w:ascii="Times New Roman" w:hAnsi="Times New Roman"/>
          <w:sz w:val="24"/>
        </w:rPr>
        <w:t> </w:t>
      </w:r>
      <w:r>
        <w:rPr>
          <w:rFonts w:ascii="Times New Roman" w:hAnsi="Times New Roman"/>
          <w:sz w:val="20"/>
        </w:rPr>
        <w:t>and one of our wholly owned subsidiaries (the “Merger Agreement”). Some of the conditions, such as approval by CoreCard’s stockholders and certain regulatory approvals, are beyond our control, which makes the completion of our acquisition of</w:t>
      </w:r>
      <w:r>
        <w:rPr>
          <w:rFonts w:ascii="Times New Roman" w:hAnsi="Times New Roman"/>
          <w:sz w:val="24"/>
        </w:rPr>
        <w:t> </w:t>
      </w:r>
      <w:r>
        <w:rPr>
          <w:rFonts w:ascii="Times New Roman" w:hAnsi="Times New Roman"/>
          <w:sz w:val="20"/>
        </w:rPr>
        <w:t>CoreCard</w:t>
      </w:r>
      <w:r>
        <w:rPr>
          <w:rFonts w:ascii="Times New Roman" w:hAnsi="Times New Roman"/>
          <w:sz w:val="24"/>
        </w:rPr>
        <w:t> </w:t>
      </w:r>
      <w:r>
        <w:rPr>
          <w:rFonts w:ascii="Times New Roman" w:hAnsi="Times New Roman"/>
          <w:sz w:val="20"/>
        </w:rPr>
        <w:t>(and the timing thereof) uncertain. In addition, the Merger Agreement contains certain termination rights for both CoreCard and Euronet, which if exercised, will also result in the acquisition not being consummated. Furthermore, the governmental authorities from which regulatory approvals related to the acquisition are required may impose burdensome or unacceptable conditions on the completion of the acquisition, require changes to the terms of the Merger Agreement, or prevent or delay the consummation of the acquisition. If the acquisition is not completed, our ongoing business may be adversely affected and we will be subject to a number of risks, including expenditure of time and resources, possible negative reactions from certain stakeholders, and potential market price fluctuations. If we are successful in completing the acquisition, we will be subject to other risks, including those related to the successful integration of</w:t>
      </w:r>
      <w:r>
        <w:rPr>
          <w:rFonts w:ascii="Times New Roman" w:hAnsi="Times New Roman"/>
          <w:sz w:val="24"/>
        </w:rPr>
        <w:t> </w:t>
      </w:r>
      <w:r>
        <w:rPr>
          <w:rFonts w:ascii="Times New Roman" w:hAnsi="Times New Roman"/>
          <w:sz w:val="20"/>
        </w:rPr>
        <w:t>CoreCard</w:t>
      </w:r>
      <w:r>
        <w:rPr>
          <w:rFonts w:ascii="Times New Roman" w:hAnsi="Times New Roman"/>
          <w:sz w:val="24"/>
        </w:rPr>
        <w:t> </w:t>
      </w:r>
      <w:r>
        <w:rPr>
          <w:rFonts w:ascii="Times New Roman" w:hAnsi="Times New Roman"/>
          <w:sz w:val="20"/>
        </w:rPr>
        <w:t>into our business and operations. Difficulties in integrating</w:t>
      </w:r>
      <w:r>
        <w:rPr>
          <w:rFonts w:ascii="Times New Roman" w:hAnsi="Times New Roman"/>
          <w:sz w:val="24"/>
        </w:rPr>
        <w:t> </w:t>
      </w:r>
      <w:r>
        <w:rPr>
          <w:rFonts w:ascii="Times New Roman" w:hAnsi="Times New Roman"/>
          <w:sz w:val="20"/>
        </w:rPr>
        <w:t>CoreCard</w:t>
      </w:r>
      <w:r>
        <w:rPr>
          <w:rFonts w:ascii="Times New Roman" w:hAnsi="Times New Roman"/>
          <w:sz w:val="24"/>
        </w:rPr>
        <w:t> </w:t>
      </w:r>
      <w:r>
        <w:rPr>
          <w:rFonts w:ascii="Times New Roman" w:hAnsi="Times New Roman"/>
          <w:sz w:val="20"/>
        </w:rPr>
        <w:t xml:space="preserve">may result in the failure to realize the anticipated benefits of the acquisition (including anticipated synergies) in the expected timeframe or at all, as well as operational challenges, the diversion of management’s attention from other ongoing business concerns, and unforeseen expenses, which may have an adverse impact on our financial position, results of operations, and cash flows. In addition, if the CoreCard acquisition is completed, we will be subject to the risks associated with the operation of CoreCard’s business, which are described in more detail in CoreCard’s Annual Report on Form 10-K filed with the SEC. </w:t>
      </w:r>
      <w:r>
        <w:rPr>
          <w:rFonts w:ascii="Times New Roman" w:hAnsi="Times New Roman"/>
          <w:sz w:val="24"/>
        </w:rPr>
        <w:t> </w:t>
      </w:r>
      <w:r>
        <w:rPr>
          <w:rFonts w:ascii="Times New Roman" w:hAnsi="Times New Roman"/>
          <w:sz w:val="20"/>
        </w:rPr>
        <w:t xml:space="preserve">Any of these events could impact our operations and our financial position, results of operations, and cash flows.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hyperlink w:anchor="TOC">
        <w:bookmarkStart w:id="21" w:name="TOC_c04f8abd35b861edb643"/>
        <w:bookmarkEnd w:id="21"/>
        <w:r>
          <w:rPr>
            <w:rStyle w:val="InternetLink"/>
            <w:rFonts w:ascii="Times New Roman" w:hAnsi="Times New Roman"/>
            <w:b/>
            <w:strike w:val="false"/>
            <w:dstrike w:val="false"/>
            <w:color w:val="000000"/>
            <w:sz w:val="20"/>
            <w:u w:val="none"/>
            <w:effect w:val="none"/>
          </w:rPr>
          <w:t>ITEM 2.</w:t>
        </w:r>
      </w:hyperlink>
      <w:hyperlink w:anchor="TOC">
        <w:r>
          <w:rPr>
            <w:rStyle w:val="InternetLink"/>
            <w:rFonts w:ascii="Times New Roman" w:hAnsi="Times New Roman"/>
            <w:strike w:val="false"/>
            <w:dstrike w:val="false"/>
            <w:color w:val="000000"/>
            <w:sz w:val="24"/>
            <w:u w:val="none"/>
            <w:effect w:val="none"/>
          </w:rPr>
          <w:t>    </w:t>
        </w:r>
      </w:hyperlink>
      <w:hyperlink w:anchor="TOC">
        <w:r>
          <w:rPr>
            <w:rStyle w:val="InternetLink"/>
            <w:rFonts w:ascii="Times New Roman" w:hAnsi="Times New Roman"/>
            <w:b/>
            <w:strike w:val="false"/>
            <w:dstrike w:val="false"/>
            <w:color w:val="000000"/>
            <w:sz w:val="20"/>
            <w:u w:val="none"/>
            <w:effect w:val="none"/>
          </w:rPr>
          <w:t>UNREGISTERED SALES OF EQUITY SECURITIES AND USE OF PROCEEDS</w:t>
        </w:r>
      </w:hyperlink>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following table provides information with respect to shares of the Company's common stock that were purchased by the Company during the three months ended June 30, 2025.</w:t>
      </w:r>
    </w:p>
    <w:p>
      <w:pPr>
        <w:pStyle w:val="TextBody"/>
        <w:bidi w:val="0"/>
        <w:spacing w:lineRule="atLeast" w:line="24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1074"/>
        <w:gridCol w:w="60"/>
        <w:gridCol w:w="1482"/>
        <w:gridCol w:w="60"/>
        <w:gridCol w:w="60"/>
        <w:gridCol w:w="1210"/>
        <w:gridCol w:w="60"/>
        <w:gridCol w:w="60"/>
        <w:gridCol w:w="2846"/>
        <w:gridCol w:w="60"/>
        <w:gridCol w:w="60"/>
        <w:gridCol w:w="3173"/>
      </w:tblGrid>
      <w:tr>
        <w:trPr/>
        <w:tc>
          <w:tcPr>
            <w:tcW w:w="1074"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Period</w:t>
            </w:r>
          </w:p>
        </w:tc>
        <w:tc>
          <w:tcPr>
            <w:tcW w:w="60" w:type="dxa"/>
            <w:tcBorders/>
            <w:vAlign w:val="center"/>
          </w:tcPr>
          <w:p>
            <w:pPr>
              <w:pStyle w:val="TableContents"/>
              <w:bidi w:val="0"/>
              <w:spacing w:before="0" w:after="0"/>
              <w:jc w:val="left"/>
              <w:rPr/>
            </w:pPr>
            <w:r>
              <w:rPr/>
              <w:t> </w:t>
            </w:r>
          </w:p>
        </w:tc>
        <w:tc>
          <w:tcPr>
            <w:tcW w:w="1482"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 Number of Shares Purchased</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center"/>
              <w:rPr/>
            </w:pPr>
            <w:r>
              <w:rPr/>
              <w:t> </w:t>
            </w:r>
          </w:p>
        </w:tc>
        <w:tc>
          <w:tcPr>
            <w:tcW w:w="121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 Price Paid per Share</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center"/>
              <w:rPr/>
            </w:pPr>
            <w:r>
              <w:rPr/>
              <w:t> </w:t>
            </w:r>
          </w:p>
        </w:tc>
        <w:tc>
          <w:tcPr>
            <w:tcW w:w="2846"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 Number of Shares Purchased as Part of Publicly Announced Plans or Programs</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center"/>
              <w:rPr/>
            </w:pPr>
            <w:r>
              <w:rPr/>
              <w:t> </w:t>
            </w:r>
          </w:p>
        </w:tc>
        <w:tc>
          <w:tcPr>
            <w:tcW w:w="3173"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Maximum Dollar Value of Shares that May Yet Be Purchased Under the Programs (in millions) (1)</w:t>
            </w:r>
          </w:p>
        </w:tc>
      </w:tr>
      <w:tr>
        <w:trPr/>
        <w:tc>
          <w:tcPr>
            <w:tcW w:w="107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April 1 - April 30, 2025</w:t>
            </w:r>
          </w:p>
        </w:tc>
        <w:tc>
          <w:tcPr>
            <w:tcW w:w="60" w:type="dxa"/>
            <w:tcBorders/>
            <w:shd w:fill="CCEEFF" w:val="clear"/>
            <w:vAlign w:val="center"/>
          </w:tcPr>
          <w:p>
            <w:pPr>
              <w:pStyle w:val="TableContents"/>
              <w:bidi w:val="0"/>
              <w:spacing w:before="0" w:after="0"/>
              <w:jc w:val="left"/>
              <w:rPr/>
            </w:pPr>
            <w:r>
              <w:rPr/>
              <w:t> </w:t>
            </w:r>
          </w:p>
        </w:tc>
        <w:tc>
          <w:tcPr>
            <w:tcW w:w="148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130,000</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10"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98.87</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right"/>
              <w:rPr/>
            </w:pPr>
            <w:r>
              <w:rPr/>
              <w:t> </w:t>
            </w:r>
          </w:p>
        </w:tc>
        <w:tc>
          <w:tcPr>
            <w:tcW w:w="284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130,000</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3173"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459.0</w:t>
            </w:r>
          </w:p>
        </w:tc>
      </w:tr>
      <w:tr>
        <w:trPr/>
        <w:tc>
          <w:tcPr>
            <w:tcW w:w="107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May 1 - May 31, 2025</w:t>
            </w:r>
          </w:p>
        </w:tc>
        <w:tc>
          <w:tcPr>
            <w:tcW w:w="60" w:type="dxa"/>
            <w:tcBorders/>
            <w:shd w:fill="FFFFFF" w:val="clear"/>
            <w:vAlign w:val="center"/>
          </w:tcPr>
          <w:p>
            <w:pPr>
              <w:pStyle w:val="TableContents"/>
              <w:bidi w:val="0"/>
              <w:spacing w:before="0" w:after="0"/>
              <w:jc w:val="left"/>
              <w:rPr/>
            </w:pPr>
            <w:r>
              <w:rPr/>
              <w:t> </w:t>
            </w:r>
          </w:p>
        </w:tc>
        <w:tc>
          <w:tcPr>
            <w:tcW w:w="148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1,411,752</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10"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107.62</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right"/>
              <w:rPr/>
            </w:pPr>
            <w:r>
              <w:rPr/>
              <w:t> </w:t>
            </w:r>
          </w:p>
        </w:tc>
        <w:tc>
          <w:tcPr>
            <w:tcW w:w="284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1,411,752</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3173"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307.1</w:t>
            </w:r>
          </w:p>
        </w:tc>
      </w:tr>
      <w:tr>
        <w:trPr/>
        <w:tc>
          <w:tcPr>
            <w:tcW w:w="107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June 1 - June 30, 2025</w:t>
            </w:r>
          </w:p>
        </w:tc>
        <w:tc>
          <w:tcPr>
            <w:tcW w:w="60" w:type="dxa"/>
            <w:tcBorders/>
            <w:shd w:fill="CCEEFF" w:val="clear"/>
            <w:vAlign w:val="center"/>
          </w:tcPr>
          <w:p>
            <w:pPr>
              <w:pStyle w:val="TableContents"/>
              <w:bidi w:val="0"/>
              <w:spacing w:before="0" w:after="0"/>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745,300</w:t>
            </w:r>
          </w:p>
        </w:tc>
        <w:tc>
          <w:tcPr>
            <w:tcW w:w="60" w:type="dxa"/>
            <w:tcBorders/>
            <w:shd w:fill="CCEEFF" w:val="clear"/>
            <w:vAlign w:val="center"/>
          </w:tcPr>
          <w:p>
            <w:pPr>
              <w:pStyle w:val="TableContents"/>
              <w:bidi w:val="0"/>
              <w:spacing w:before="0" w:after="0"/>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10"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110.46</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right"/>
              <w:rPr/>
            </w:pPr>
            <w:r>
              <w:rPr/>
              <w:t> </w:t>
            </w:r>
          </w:p>
        </w:tc>
        <w:tc>
          <w:tcPr>
            <w:tcW w:w="2846"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745,300</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3173"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624.8</w:t>
            </w:r>
          </w:p>
        </w:tc>
      </w:tr>
      <w:tr>
        <w:trPr/>
        <w:tc>
          <w:tcPr>
            <w:tcW w:w="107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48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2,287,052</w:t>
            </w:r>
          </w:p>
        </w:tc>
        <w:tc>
          <w:tcPr>
            <w:tcW w:w="60" w:type="dxa"/>
            <w:tcBorders/>
            <w:shd w:fill="FFFFFF" w:val="clear"/>
            <w:vAlign w:val="center"/>
          </w:tcPr>
          <w:p>
            <w:pPr>
              <w:pStyle w:val="TableContents"/>
              <w:bidi w:val="0"/>
              <w:spacing w:before="0" w:after="0"/>
              <w:jc w:val="left"/>
              <w:rPr/>
            </w:pPr>
            <w:r>
              <w:rPr/>
              <w:t> </w:t>
            </w:r>
          </w:p>
        </w:tc>
        <w:tc>
          <w:tcPr>
            <w:tcW w:w="6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21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108.05</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right"/>
              <w:rPr/>
            </w:pPr>
            <w:r>
              <w:rPr/>
              <w:t> </w:t>
            </w:r>
          </w:p>
        </w:tc>
        <w:tc>
          <w:tcPr>
            <w:tcW w:w="284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2,287,052</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3173" w:type="dxa"/>
            <w:tcBorders/>
            <w:shd w:fill="FFFFFF" w:val="clear"/>
            <w:vAlign w:val="center"/>
          </w:tcPr>
          <w:p>
            <w:pPr>
              <w:pStyle w:val="TableContents"/>
              <w:bidi w:val="0"/>
              <w:spacing w:before="0" w:after="0"/>
              <w:jc w:val="left"/>
              <w:rPr/>
            </w:pPr>
            <w:r>
              <w:rPr/>
              <w:t> </w:t>
            </w:r>
          </w:p>
        </w:tc>
      </w:tr>
    </w:tbl>
    <w:p>
      <w:pPr>
        <w:pStyle w:val="TextBody"/>
        <w:pBdr/>
        <w:bidi w:val="0"/>
        <w:spacing w:before="160" w:after="0"/>
        <w:jc w:val="both"/>
        <w:rPr>
          <w:rFonts w:ascii="Times New Roman" w:hAnsi="Times New Roman"/>
          <w:sz w:val="20"/>
        </w:rPr>
      </w:pPr>
      <w:r>
        <w:rPr>
          <w:rFonts w:ascii="Times New Roman" w:hAnsi="Times New Roman"/>
          <w:sz w:val="20"/>
        </w:rPr>
        <w:t>(1) On September 13, 2023, the Company put a repurchase program in place to repurchase up to $350 million in value, but not more than 7.0 million shares of common stock through September 13, 2025. As of June 30, 2025, no shares were available to be repurchased under this repurchase program.  On September 11, 2024, the Company put a repurchase program in place to repurchase up to $350 million in value, but not more than 7.0 million shares of common stock through September 11, 2026. As of June 30, 2025, approximately $224.8 million in value of additional shares were available to be repurchased under this repurchase program. On June 3, 2025, the Company put a repurchase program in place to repurchase up to $400 million in value, but not more than 8.0 million shares of common stock through June 3, 2027. As of June 30, 2025, all shares were available to be repurchased under this repurchase program. Repurchases under the programs may take place in the open market or in privately negotiated transactions, including derivative transactions, and may be made under a Rule 10b5-1 plan.</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bookmarkStart w:id="22" w:name="TOC_cc61fe573ec1a788acf8"/>
      <w:bookmarkStart w:id="23" w:name="TOC_cc61fe573ec1a788acf8"/>
      <w:bookmarkEnd w:id="23"/>
      <w:r>
        <w:br w:type="page"/>
      </w:r>
    </w:p>
    <w:p>
      <w:pPr>
        <w:pStyle w:val="TextBody"/>
        <w:bidi w:val="0"/>
        <w:jc w:val="left"/>
        <w:rPr/>
      </w:pPr>
      <w:hyperlink w:anchor="TOC">
        <w:r>
          <w:rPr>
            <w:rStyle w:val="InternetLink"/>
            <w:rFonts w:ascii="Times New Roman" w:hAnsi="Times New Roman"/>
            <w:b/>
            <w:strike w:val="false"/>
            <w:dstrike w:val="false"/>
            <w:color w:val="000000"/>
            <w:sz w:val="20"/>
            <w:u w:val="none"/>
            <w:effect w:val="none"/>
          </w:rPr>
          <w:t>ITEM</w:t>
        </w:r>
      </w:hyperlink>
      <w:hyperlink w:anchor="TOC">
        <w:r>
          <w:rPr>
            <w:rStyle w:val="InternetLink"/>
            <w:rFonts w:ascii="Times New Roman" w:hAnsi="Times New Roman"/>
            <w:strike w:val="false"/>
            <w:dstrike w:val="false"/>
            <w:color w:val="000000"/>
            <w:sz w:val="24"/>
            <w:u w:val="none"/>
            <w:effect w:val="none"/>
          </w:rPr>
          <w:t> </w:t>
        </w:r>
      </w:hyperlink>
      <w:hyperlink w:anchor="TOC">
        <w:r>
          <w:rPr>
            <w:rStyle w:val="InternetLink"/>
            <w:rFonts w:ascii="Times New Roman" w:hAnsi="Times New Roman"/>
            <w:b/>
            <w:strike w:val="false"/>
            <w:dstrike w:val="false"/>
            <w:color w:val="000000"/>
            <w:sz w:val="20"/>
            <w:u w:val="none"/>
            <w:effect w:val="none"/>
          </w:rPr>
          <w:t>5.</w:t>
        </w:r>
      </w:hyperlink>
      <w:hyperlink w:anchor="TOC">
        <w:r>
          <w:rPr>
            <w:rStyle w:val="InternetLink"/>
            <w:rFonts w:ascii="Times New Roman" w:hAnsi="Times New Roman"/>
            <w:strike w:val="false"/>
            <w:dstrike w:val="false"/>
            <w:color w:val="000000"/>
            <w:sz w:val="24"/>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OTHER</w:t>
        </w:r>
      </w:hyperlink>
    </w:p>
    <w:p>
      <w:pPr>
        <w:pStyle w:val="TextBody"/>
        <w:bidi w:val="0"/>
        <w:spacing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During the fiscal quarter ended June 30, 2025, none of the Company’s directors or "officers," as defined in Rule 16a-1(f) of the Securities Exchange Act of 1934, as amended (the "Exchange Act"), adopted</w:t>
      </w:r>
      <w:r>
        <w:rPr>
          <w:rFonts w:ascii="Times New Roman" w:hAnsi="Times New Roman"/>
          <w:sz w:val="24"/>
        </w:rPr>
        <w:t xml:space="preserve"> </w:t>
      </w:r>
      <w:r>
        <w:rPr>
          <w:rFonts w:ascii="Times New Roman" w:hAnsi="Times New Roman"/>
          <w:sz w:val="20"/>
        </w:rPr>
        <w:t>or terminated</w:t>
      </w:r>
      <w:r>
        <w:rPr>
          <w:rFonts w:ascii="Times New Roman" w:hAnsi="Times New Roman"/>
          <w:sz w:val="24"/>
        </w:rPr>
        <w:t xml:space="preserve"> </w:t>
      </w:r>
      <w:r>
        <w:rPr>
          <w:rFonts w:ascii="Times New Roman" w:hAnsi="Times New Roman"/>
          <w:sz w:val="20"/>
        </w:rPr>
        <w:t>a "Rule 10b5-1 trading arrangement" or a "non-Rule 10b5-1 trading arrangement," as each term is defined in Item 408 of Regulation S-K.</w:t>
      </w:r>
    </w:p>
    <w:p>
      <w:pPr>
        <w:pStyle w:val="TextBody"/>
        <w:bidi w:val="0"/>
        <w:spacing w:lineRule="atLeast" w:line="240" w:before="0" w:after="0"/>
        <w:jc w:val="left"/>
        <w:rPr/>
      </w:pPr>
      <w:r>
        <w:rPr/>
        <w:t> </w:t>
      </w:r>
    </w:p>
    <w:p>
      <w:pPr>
        <w:pStyle w:val="TextBody"/>
        <w:bidi w:val="0"/>
        <w:spacing w:lineRule="atLeast" w:line="240" w:before="0" w:after="0"/>
        <w:jc w:val="left"/>
        <w:rPr/>
      </w:pPr>
      <w:hyperlink w:anchor="TOC">
        <w:bookmarkStart w:id="24" w:name="TOC_c9bb2a28ca0e23ba26b5"/>
        <w:bookmarkEnd w:id="24"/>
        <w:r>
          <w:rPr>
            <w:rStyle w:val="InternetLink"/>
            <w:rFonts w:ascii="Times New Roman" w:hAnsi="Times New Roman"/>
            <w:b/>
            <w:strike w:val="false"/>
            <w:dstrike w:val="false"/>
            <w:color w:val="000000"/>
            <w:sz w:val="20"/>
            <w:u w:val="none"/>
            <w:effect w:val="none"/>
          </w:rPr>
          <w:t>ITEM 6. EXHIBITS</w:t>
        </w:r>
      </w:hyperlink>
    </w:p>
    <w:tbl>
      <w:tblPr>
        <w:tblW w:w="10205" w:type="dxa"/>
        <w:jc w:val="left"/>
        <w:tblInd w:w="0" w:type="dxa"/>
        <w:tblLayout w:type="fixed"/>
        <w:tblCellMar>
          <w:top w:w="0" w:type="dxa"/>
          <w:left w:w="0" w:type="dxa"/>
          <w:bottom w:w="0" w:type="dxa"/>
          <w:right w:w="0" w:type="dxa"/>
        </w:tblCellMar>
      </w:tblPr>
      <w:tblGrid>
        <w:gridCol w:w="567"/>
        <w:gridCol w:w="60"/>
        <w:gridCol w:w="9578"/>
      </w:tblGrid>
      <w:tr>
        <w:trPr/>
        <w:tc>
          <w:tcPr>
            <w:tcW w:w="56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578" w:type="dxa"/>
            <w:tcBorders/>
            <w:vAlign w:val="center"/>
          </w:tcPr>
          <w:p>
            <w:pPr>
              <w:pStyle w:val="TableContents"/>
              <w:bidi w:val="0"/>
              <w:spacing w:before="0" w:after="0"/>
              <w:jc w:val="left"/>
              <w:rPr/>
            </w:pPr>
            <w:r>
              <w:rPr/>
              <w:t> </w:t>
            </w:r>
          </w:p>
        </w:tc>
      </w:tr>
      <w:tr>
        <w:trPr/>
        <w:tc>
          <w:tcPr>
            <w:tcW w:w="567" w:type="dxa"/>
            <w:tcBorders>
              <w:bottom w:val="single" w:sz="6" w:space="0" w:color="000000"/>
            </w:tcBorders>
            <w:tcMar>
              <w:bottom w:w="38" w:type="dxa"/>
            </w:tcMar>
            <w:vAlign w:val="center"/>
          </w:tcPr>
          <w:p>
            <w:pPr>
              <w:pStyle w:val="TableContents"/>
              <w:bidi w:val="0"/>
              <w:spacing w:before="0" w:after="0"/>
              <w:jc w:val="center"/>
              <w:rPr>
                <w:b/>
                <w:sz w:val="16"/>
              </w:rPr>
            </w:pPr>
            <w:r>
              <w:rPr>
                <w:b/>
                <w:sz w:val="16"/>
              </w:rPr>
              <w:t>Exhibit</w:t>
            </w:r>
          </w:p>
        </w:tc>
        <w:tc>
          <w:tcPr>
            <w:tcW w:w="60" w:type="dxa"/>
            <w:tcBorders/>
            <w:vAlign w:val="center"/>
          </w:tcPr>
          <w:p>
            <w:pPr>
              <w:pStyle w:val="TableContents"/>
              <w:bidi w:val="0"/>
              <w:spacing w:before="0" w:after="0"/>
              <w:jc w:val="left"/>
              <w:rPr/>
            </w:pPr>
            <w:r>
              <w:rPr/>
              <w:t> </w:t>
            </w:r>
          </w:p>
        </w:tc>
        <w:tc>
          <w:tcPr>
            <w:tcW w:w="9578" w:type="dxa"/>
            <w:tcBorders>
              <w:bottom w:val="single" w:sz="6" w:space="0" w:color="000000"/>
            </w:tcBorders>
            <w:tcMar>
              <w:bottom w:w="38" w:type="dxa"/>
            </w:tcMar>
            <w:vAlign w:val="center"/>
          </w:tcPr>
          <w:p>
            <w:pPr>
              <w:pStyle w:val="TableContents"/>
              <w:bidi w:val="0"/>
              <w:spacing w:before="0" w:after="0"/>
              <w:jc w:val="center"/>
              <w:rPr>
                <w:b/>
                <w:sz w:val="16"/>
              </w:rPr>
            </w:pPr>
            <w:r>
              <w:rPr>
                <w:b/>
                <w:sz w:val="16"/>
              </w:rPr>
              <w:t>Description</w:t>
            </w:r>
          </w:p>
        </w:tc>
      </w:tr>
      <w:tr>
        <w:trPr/>
        <w:tc>
          <w:tcPr>
            <w:tcW w:w="56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578" w:type="dxa"/>
            <w:tcBorders/>
            <w:vAlign w:val="center"/>
          </w:tcPr>
          <w:p>
            <w:pPr>
              <w:pStyle w:val="TableContents"/>
              <w:bidi w:val="0"/>
              <w:spacing w:before="0" w:after="0"/>
              <w:jc w:val="left"/>
              <w:rPr/>
            </w:pPr>
            <w:r>
              <w:rPr/>
              <w:t> </w:t>
            </w:r>
          </w:p>
        </w:tc>
      </w:tr>
      <w:tr>
        <w:trPr/>
        <w:tc>
          <w:tcPr>
            <w:tcW w:w="567" w:type="dxa"/>
            <w:tcBorders/>
            <w:vAlign w:val="center"/>
          </w:tcPr>
          <w:p>
            <w:pPr>
              <w:pStyle w:val="TableContents"/>
              <w:bidi w:val="0"/>
              <w:spacing w:before="0" w:after="0"/>
              <w:jc w:val="left"/>
              <w:rPr/>
            </w:pPr>
            <w:r>
              <w:rPr>
                <w:sz w:val="20"/>
              </w:rPr>
              <w:t>2</w:t>
            </w:r>
            <w:r>
              <w:rPr/>
              <w:t>.</w:t>
            </w:r>
            <w:r>
              <w:rPr>
                <w:sz w:val="20"/>
              </w:rPr>
              <w:t>1***</w:t>
            </w:r>
          </w:p>
        </w:tc>
        <w:tc>
          <w:tcPr>
            <w:tcW w:w="60" w:type="dxa"/>
            <w:tcBorders/>
            <w:vAlign w:val="center"/>
          </w:tcPr>
          <w:p>
            <w:pPr>
              <w:pStyle w:val="TableContents"/>
              <w:bidi w:val="0"/>
              <w:spacing w:before="0" w:after="0"/>
              <w:jc w:val="left"/>
              <w:rPr/>
            </w:pPr>
            <w:r>
              <w:rPr/>
              <w:t> </w:t>
            </w:r>
          </w:p>
        </w:tc>
        <w:tc>
          <w:tcPr>
            <w:tcW w:w="9578" w:type="dxa"/>
            <w:tcBorders/>
            <w:vAlign w:val="center"/>
          </w:tcPr>
          <w:p>
            <w:pPr>
              <w:pStyle w:val="TableContents"/>
              <w:bidi w:val="0"/>
              <w:spacing w:before="0" w:after="0"/>
              <w:jc w:val="left"/>
              <w:rPr/>
            </w:pPr>
            <w:hyperlink r:id="rId2">
              <w:r>
                <w:rPr>
                  <w:rStyle w:val="InternetLink"/>
                  <w:rFonts w:ascii="Times New Roman" w:hAnsi="Times New Roman"/>
                  <w:color w:val="0000FF"/>
                  <w:sz w:val="20"/>
                  <w:u w:val="single"/>
                </w:rPr>
                <w:t>Agreement and Plan of Merger, dated July 30, 2025, among CoreCard Corporation, Euronet Worldwide, Inc. and Genesis Merger Sub Inc. (filed as Exhibit 2.1 to the Company’s Current Report on Form 8-K, filed July 31, 2025)</w:t>
              </w:r>
            </w:hyperlink>
          </w:p>
        </w:tc>
      </w:tr>
      <w:tr>
        <w:trPr/>
        <w:tc>
          <w:tcPr>
            <w:tcW w:w="567" w:type="dxa"/>
            <w:tcBorders/>
            <w:vAlign w:val="center"/>
          </w:tcPr>
          <w:p>
            <w:pPr>
              <w:pStyle w:val="TableContents"/>
              <w:bidi w:val="0"/>
              <w:spacing w:before="0" w:after="0"/>
              <w:jc w:val="left"/>
              <w:rPr>
                <w:sz w:val="20"/>
              </w:rPr>
            </w:pPr>
            <w:r>
              <w:rPr>
                <w:sz w:val="20"/>
              </w:rPr>
              <w:t>31.1*</w:t>
            </w:r>
          </w:p>
        </w:tc>
        <w:tc>
          <w:tcPr>
            <w:tcW w:w="60" w:type="dxa"/>
            <w:tcBorders/>
            <w:vAlign w:val="center"/>
          </w:tcPr>
          <w:p>
            <w:pPr>
              <w:pStyle w:val="TableContents"/>
              <w:bidi w:val="0"/>
              <w:spacing w:before="0" w:after="0"/>
              <w:jc w:val="left"/>
              <w:rPr/>
            </w:pPr>
            <w:r>
              <w:rPr/>
              <w:t> </w:t>
            </w:r>
          </w:p>
        </w:tc>
        <w:tc>
          <w:tcPr>
            <w:tcW w:w="9578" w:type="dxa"/>
            <w:tcBorders/>
            <w:vAlign w:val="center"/>
          </w:tcPr>
          <w:p>
            <w:pPr>
              <w:pStyle w:val="TableContents"/>
              <w:bidi w:val="0"/>
              <w:spacing w:before="0" w:after="0"/>
              <w:jc w:val="left"/>
              <w:rPr/>
            </w:pPr>
            <w:hyperlink w:anchor="ex311_1.htm">
              <w:r>
                <w:rPr>
                  <w:rStyle w:val="InternetLink"/>
                  <w:color w:val="0000FF"/>
                  <w:sz w:val="20"/>
                  <w:u w:val="single"/>
                </w:rPr>
                <w:t>Section 302 — Certification of Chief Executive Officer</w:t>
              </w:r>
            </w:hyperlink>
          </w:p>
        </w:tc>
      </w:tr>
      <w:tr>
        <w:trPr/>
        <w:tc>
          <w:tcPr>
            <w:tcW w:w="567" w:type="dxa"/>
            <w:tcBorders/>
            <w:vAlign w:val="center"/>
          </w:tcPr>
          <w:p>
            <w:pPr>
              <w:pStyle w:val="TableContents"/>
              <w:bidi w:val="0"/>
              <w:spacing w:before="0" w:after="0"/>
              <w:jc w:val="left"/>
              <w:rPr>
                <w:sz w:val="20"/>
              </w:rPr>
            </w:pPr>
            <w:r>
              <w:rPr>
                <w:sz w:val="20"/>
              </w:rPr>
              <w:t>31.2*</w:t>
            </w:r>
          </w:p>
        </w:tc>
        <w:tc>
          <w:tcPr>
            <w:tcW w:w="60" w:type="dxa"/>
            <w:tcBorders/>
            <w:vAlign w:val="center"/>
          </w:tcPr>
          <w:p>
            <w:pPr>
              <w:pStyle w:val="TableContents"/>
              <w:bidi w:val="0"/>
              <w:spacing w:before="0" w:after="0"/>
              <w:jc w:val="left"/>
              <w:rPr/>
            </w:pPr>
            <w:r>
              <w:rPr/>
              <w:t> </w:t>
            </w:r>
          </w:p>
        </w:tc>
        <w:tc>
          <w:tcPr>
            <w:tcW w:w="9578" w:type="dxa"/>
            <w:tcBorders/>
            <w:vAlign w:val="center"/>
          </w:tcPr>
          <w:p>
            <w:pPr>
              <w:pStyle w:val="TableContents"/>
              <w:bidi w:val="0"/>
              <w:spacing w:before="0" w:after="0"/>
              <w:jc w:val="left"/>
              <w:rPr/>
            </w:pPr>
            <w:hyperlink w:anchor="ex312_2.htm">
              <w:r>
                <w:rPr>
                  <w:rStyle w:val="InternetLink"/>
                  <w:color w:val="0000FF"/>
                  <w:sz w:val="20"/>
                  <w:u w:val="single"/>
                </w:rPr>
                <w:t>Section 302 — Certification of Chief Financial Officer</w:t>
              </w:r>
            </w:hyperlink>
          </w:p>
        </w:tc>
      </w:tr>
      <w:tr>
        <w:trPr/>
        <w:tc>
          <w:tcPr>
            <w:tcW w:w="567" w:type="dxa"/>
            <w:tcBorders/>
            <w:vAlign w:val="center"/>
          </w:tcPr>
          <w:p>
            <w:pPr>
              <w:pStyle w:val="TableContents"/>
              <w:bidi w:val="0"/>
              <w:spacing w:before="0" w:after="0"/>
              <w:jc w:val="left"/>
              <w:rPr>
                <w:sz w:val="20"/>
              </w:rPr>
            </w:pPr>
            <w:r>
              <w:rPr>
                <w:sz w:val="20"/>
              </w:rPr>
              <w:t>32.1**</w:t>
            </w:r>
          </w:p>
        </w:tc>
        <w:tc>
          <w:tcPr>
            <w:tcW w:w="60" w:type="dxa"/>
            <w:tcBorders/>
            <w:vAlign w:val="center"/>
          </w:tcPr>
          <w:p>
            <w:pPr>
              <w:pStyle w:val="TableContents"/>
              <w:bidi w:val="0"/>
              <w:spacing w:before="0" w:after="0"/>
              <w:jc w:val="left"/>
              <w:rPr/>
            </w:pPr>
            <w:r>
              <w:rPr/>
              <w:t> </w:t>
            </w:r>
          </w:p>
        </w:tc>
        <w:tc>
          <w:tcPr>
            <w:tcW w:w="9578" w:type="dxa"/>
            <w:tcBorders/>
            <w:vAlign w:val="center"/>
          </w:tcPr>
          <w:p>
            <w:pPr>
              <w:pStyle w:val="TableContents"/>
              <w:bidi w:val="0"/>
              <w:spacing w:before="0" w:after="0"/>
              <w:jc w:val="left"/>
              <w:rPr/>
            </w:pPr>
            <w:hyperlink w:anchor="ex321_3.htm">
              <w:r>
                <w:rPr>
                  <w:rStyle w:val="InternetLink"/>
                  <w:color w:val="0000FF"/>
                  <w:sz w:val="20"/>
                  <w:u w:val="single"/>
                </w:rPr>
                <w:t>Section 906 — Certification of Chief Executive Officer</w:t>
              </w:r>
            </w:hyperlink>
          </w:p>
        </w:tc>
      </w:tr>
      <w:tr>
        <w:trPr/>
        <w:tc>
          <w:tcPr>
            <w:tcW w:w="567" w:type="dxa"/>
            <w:tcBorders/>
            <w:vAlign w:val="center"/>
          </w:tcPr>
          <w:p>
            <w:pPr>
              <w:pStyle w:val="TableContents"/>
              <w:bidi w:val="0"/>
              <w:spacing w:before="0" w:after="0"/>
              <w:jc w:val="left"/>
              <w:rPr>
                <w:sz w:val="20"/>
              </w:rPr>
            </w:pPr>
            <w:r>
              <w:rPr>
                <w:sz w:val="20"/>
              </w:rPr>
              <w:t>32.2**</w:t>
            </w:r>
          </w:p>
        </w:tc>
        <w:tc>
          <w:tcPr>
            <w:tcW w:w="60" w:type="dxa"/>
            <w:tcBorders/>
            <w:vAlign w:val="center"/>
          </w:tcPr>
          <w:p>
            <w:pPr>
              <w:pStyle w:val="TableContents"/>
              <w:bidi w:val="0"/>
              <w:spacing w:before="0" w:after="0"/>
              <w:jc w:val="left"/>
              <w:rPr/>
            </w:pPr>
            <w:r>
              <w:rPr/>
              <w:t> </w:t>
            </w:r>
          </w:p>
        </w:tc>
        <w:tc>
          <w:tcPr>
            <w:tcW w:w="9578" w:type="dxa"/>
            <w:tcBorders/>
            <w:vAlign w:val="center"/>
          </w:tcPr>
          <w:p>
            <w:pPr>
              <w:pStyle w:val="TableContents"/>
              <w:bidi w:val="0"/>
              <w:spacing w:before="0" w:after="0"/>
              <w:jc w:val="left"/>
              <w:rPr/>
            </w:pPr>
            <w:hyperlink w:anchor="ex322_4.htm">
              <w:r>
                <w:rPr>
                  <w:rStyle w:val="InternetLink"/>
                  <w:color w:val="0000FF"/>
                  <w:sz w:val="20"/>
                  <w:u w:val="single"/>
                </w:rPr>
                <w:t>Section 906 — Certification of Chief Financial Officer</w:t>
              </w:r>
            </w:hyperlink>
          </w:p>
        </w:tc>
      </w:tr>
      <w:tr>
        <w:trPr/>
        <w:tc>
          <w:tcPr>
            <w:tcW w:w="567" w:type="dxa"/>
            <w:tcBorders/>
            <w:vAlign w:val="center"/>
          </w:tcPr>
          <w:p>
            <w:pPr>
              <w:pStyle w:val="TableContents"/>
              <w:bidi w:val="0"/>
              <w:spacing w:before="0" w:after="0"/>
              <w:jc w:val="left"/>
              <w:rPr>
                <w:sz w:val="20"/>
              </w:rPr>
            </w:pPr>
            <w:r>
              <w:rPr>
                <w:sz w:val="20"/>
              </w:rPr>
              <w:t>101*</w:t>
            </w:r>
          </w:p>
        </w:tc>
        <w:tc>
          <w:tcPr>
            <w:tcW w:w="60" w:type="dxa"/>
            <w:tcBorders/>
            <w:vAlign w:val="center"/>
          </w:tcPr>
          <w:p>
            <w:pPr>
              <w:pStyle w:val="TableContents"/>
              <w:bidi w:val="0"/>
              <w:spacing w:before="0" w:after="0"/>
              <w:jc w:val="both"/>
              <w:rPr/>
            </w:pPr>
            <w:r>
              <w:rPr/>
              <w:t> </w:t>
            </w:r>
          </w:p>
        </w:tc>
        <w:tc>
          <w:tcPr>
            <w:tcW w:w="9578" w:type="dxa"/>
            <w:tcBorders/>
            <w:vAlign w:val="center"/>
          </w:tcPr>
          <w:p>
            <w:pPr>
              <w:pStyle w:val="TableContents"/>
              <w:bidi w:val="0"/>
              <w:spacing w:before="0" w:after="0"/>
              <w:jc w:val="both"/>
              <w:rPr>
                <w:sz w:val="20"/>
              </w:rPr>
            </w:pPr>
            <w:r>
              <w:rPr>
                <w:sz w:val="20"/>
              </w:rPr>
              <w:t xml:space="preserve">The following materials from Euronet Worldwide, Inc.’s Quarterly Report on Form 10-Q for the quarter ended </w:t>
            </w:r>
            <w:r>
              <w:rPr>
                <w:rFonts w:ascii="Times New Roman" w:hAnsi="Times New Roman"/>
                <w:sz w:val="20"/>
              </w:rPr>
              <w:t>June 30, 2025</w:t>
            </w:r>
            <w:r>
              <w:rPr>
                <w:sz w:val="20"/>
              </w:rPr>
              <w:t xml:space="preserve">, formatted in XBRL (eXtensible Business Reporting Language): (i) Consolidated Balance Sheets at </w:t>
            </w:r>
            <w:r>
              <w:rPr>
                <w:rFonts w:ascii="Times New Roman" w:hAnsi="Times New Roman"/>
                <w:sz w:val="20"/>
              </w:rPr>
              <w:t>June 30, 2025</w:t>
            </w:r>
            <w:r>
              <w:rPr>
                <w:sz w:val="20"/>
              </w:rPr>
              <w:t xml:space="preserve"> (unaudited) and </w:t>
            </w:r>
            <w:r>
              <w:rPr>
                <w:rFonts w:ascii="Times New Roman" w:hAnsi="Times New Roman"/>
                <w:sz w:val="20"/>
              </w:rPr>
              <w:t>December 31, 2024</w:t>
            </w:r>
            <w:r>
              <w:rPr>
                <w:sz w:val="20"/>
              </w:rPr>
              <w:t xml:space="preserve">, (ii) Consolidated Statements of Operations (unaudited) for the </w:t>
            </w:r>
            <w:r>
              <w:rPr>
                <w:rFonts w:ascii="Times New Roman" w:hAnsi="Times New Roman"/>
                <w:sz w:val="20"/>
              </w:rPr>
              <w:t>three and six months ended June 30, 2025</w:t>
            </w:r>
            <w:r>
              <w:rPr>
                <w:sz w:val="20"/>
              </w:rPr>
              <w:t xml:space="preserve"> and </w:t>
            </w:r>
            <w:r>
              <w:rPr>
                <w:rFonts w:ascii="Times New Roman" w:hAnsi="Times New Roman"/>
                <w:sz w:val="20"/>
              </w:rPr>
              <w:t>2024</w:t>
            </w:r>
            <w:r>
              <w:rPr>
                <w:sz w:val="20"/>
              </w:rPr>
              <w:t xml:space="preserve">, (iii) Consolidated Statements of Comprehensive Income (Loss) (unaudited) for the </w:t>
            </w:r>
            <w:r>
              <w:rPr>
                <w:rFonts w:ascii="Times New Roman" w:hAnsi="Times New Roman"/>
                <w:sz w:val="20"/>
              </w:rPr>
              <w:t>three and six months ended June 30, 2025</w:t>
            </w:r>
            <w:r>
              <w:rPr>
                <w:sz w:val="20"/>
              </w:rPr>
              <w:t xml:space="preserve"> and </w:t>
            </w:r>
            <w:r>
              <w:rPr>
                <w:rFonts w:ascii="Times New Roman" w:hAnsi="Times New Roman"/>
                <w:sz w:val="20"/>
              </w:rPr>
              <w:t>December 31, 2024</w:t>
            </w:r>
            <w:r>
              <w:rPr>
                <w:sz w:val="20"/>
              </w:rPr>
              <w:t xml:space="preserve">, (iv) Consolidated Statements of Changes in Equity (unaudited) for the three and </w:t>
            </w:r>
            <w:r>
              <w:rPr>
                <w:rFonts w:ascii="Times New Roman" w:hAnsi="Times New Roman"/>
                <w:sz w:val="20"/>
              </w:rPr>
              <w:t>six months ended June 30, 2025</w:t>
            </w:r>
            <w:r>
              <w:rPr>
                <w:sz w:val="20"/>
              </w:rPr>
              <w:t xml:space="preserve"> and </w:t>
            </w:r>
            <w:r>
              <w:rPr>
                <w:rFonts w:ascii="Times New Roman" w:hAnsi="Times New Roman"/>
                <w:sz w:val="20"/>
              </w:rPr>
              <w:t>2024</w:t>
            </w:r>
            <w:r>
              <w:rPr>
                <w:sz w:val="20"/>
              </w:rPr>
              <w:t xml:space="preserve"> (v) Consolidated Statements of Cash Flows (unaudited) for the </w:t>
            </w:r>
            <w:r>
              <w:rPr>
                <w:rFonts w:ascii="Times New Roman" w:hAnsi="Times New Roman"/>
                <w:sz w:val="20"/>
              </w:rPr>
              <w:t>six months ended June 30, 2025</w:t>
            </w:r>
            <w:r>
              <w:rPr>
                <w:sz w:val="20"/>
              </w:rPr>
              <w:t xml:space="preserve"> and </w:t>
            </w:r>
            <w:r>
              <w:rPr>
                <w:rFonts w:ascii="Times New Roman" w:hAnsi="Times New Roman"/>
                <w:sz w:val="20"/>
              </w:rPr>
              <w:t>2024</w:t>
            </w:r>
            <w:r>
              <w:rPr>
                <w:sz w:val="20"/>
              </w:rPr>
              <w:t>, and (vi) Notes to the Unaudited Consolidated Financial Statements.</w:t>
            </w:r>
          </w:p>
        </w:tc>
      </w:tr>
      <w:tr>
        <w:trPr/>
        <w:tc>
          <w:tcPr>
            <w:tcW w:w="567" w:type="dxa"/>
            <w:tcBorders/>
            <w:vAlign w:val="center"/>
          </w:tcPr>
          <w:p>
            <w:pPr>
              <w:pStyle w:val="TableContents"/>
              <w:bidi w:val="0"/>
              <w:spacing w:before="0" w:after="0"/>
              <w:jc w:val="left"/>
              <w:rPr>
                <w:sz w:val="20"/>
              </w:rPr>
            </w:pPr>
            <w:r>
              <w:rPr>
                <w:sz w:val="20"/>
              </w:rPr>
              <w:t>104*</w:t>
            </w:r>
          </w:p>
        </w:tc>
        <w:tc>
          <w:tcPr>
            <w:tcW w:w="60" w:type="dxa"/>
            <w:tcBorders/>
            <w:vAlign w:val="center"/>
          </w:tcPr>
          <w:p>
            <w:pPr>
              <w:pStyle w:val="TableContents"/>
              <w:bidi w:val="0"/>
              <w:spacing w:before="0" w:after="0"/>
              <w:jc w:val="left"/>
              <w:rPr/>
            </w:pPr>
            <w:r>
              <w:rPr/>
              <w:t> </w:t>
            </w:r>
          </w:p>
        </w:tc>
        <w:tc>
          <w:tcPr>
            <w:tcW w:w="9578" w:type="dxa"/>
            <w:tcBorders/>
            <w:vAlign w:val="center"/>
          </w:tcPr>
          <w:p>
            <w:pPr>
              <w:pStyle w:val="TableContents"/>
              <w:bidi w:val="0"/>
              <w:spacing w:before="0" w:after="0"/>
              <w:jc w:val="left"/>
              <w:rPr>
                <w:sz w:val="20"/>
              </w:rPr>
            </w:pPr>
            <w:r>
              <w:rPr>
                <w:sz w:val="20"/>
              </w:rPr>
              <w:t>Cover Page Interactive Data File (formatted as Inline XBRL and contained in Exhibit 101)</w:t>
            </w:r>
          </w:p>
        </w:tc>
      </w:tr>
    </w:tbl>
    <w:p>
      <w:pPr>
        <w:pStyle w:val="TextBody"/>
        <w:bidi w:val="0"/>
        <w:spacing w:lineRule="atLeast" w:line="240" w:before="0" w:after="0"/>
        <w:jc w:val="left"/>
        <w:rPr>
          <w:rFonts w:ascii="Times New Roman" w:hAnsi="Times New Roman"/>
          <w:sz w:val="20"/>
        </w:rPr>
      </w:pPr>
      <w:r>
        <w:rPr>
          <w:rFonts w:ascii="Times New Roman" w:hAnsi="Times New Roman"/>
          <w:sz w:val="20"/>
        </w:rPr>
        <w:t>_________________________</w:t>
      </w:r>
    </w:p>
    <w:p>
      <w:pPr>
        <w:pStyle w:val="TextBody"/>
        <w:pBdr/>
        <w:bidi w:val="0"/>
        <w:spacing w:lineRule="atLeast" w:line="240" w:before="0" w:after="0"/>
        <w:ind w:left="180" w:right="0" w:hanging="180"/>
        <w:jc w:val="both"/>
        <w:rPr>
          <w:rFonts w:ascii="Times New Roman" w:hAnsi="Times New Roman"/>
          <w:sz w:val="20"/>
        </w:rPr>
      </w:pPr>
      <w:r>
        <w:rPr>
          <w:rFonts w:ascii="Times New Roman" w:hAnsi="Times New Roman"/>
          <w:sz w:val="20"/>
        </w:rPr>
        <w:t>* Filed herewith.</w:t>
      </w:r>
    </w:p>
    <w:p>
      <w:pPr>
        <w:pStyle w:val="TextBody"/>
        <w:pBdr/>
        <w:bidi w:val="0"/>
        <w:spacing w:lineRule="atLeast" w:line="240" w:before="0" w:after="0"/>
        <w:ind w:left="180" w:right="0" w:hanging="180"/>
        <w:jc w:val="both"/>
        <w:rPr>
          <w:rFonts w:ascii="Times New Roman" w:hAnsi="Times New Roman"/>
          <w:sz w:val="20"/>
        </w:rPr>
      </w:pPr>
      <w:r>
        <w:rPr>
          <w:rFonts w:ascii="Times New Roman" w:hAnsi="Times New Roman"/>
          <w:sz w:val="20"/>
        </w:rPr>
        <w:t>** Pursuant to Item 601(b)(32) of Regulation S-K, this Exhibit is furnished rather than filed with this Form 10-Q.</w:t>
      </w:r>
    </w:p>
    <w:p>
      <w:pPr>
        <w:pStyle w:val="TextBody"/>
        <w:pBdr/>
        <w:bidi w:val="0"/>
        <w:spacing w:lineRule="atLeast" w:line="240" w:before="0" w:after="0"/>
        <w:ind w:left="180" w:right="0" w:hanging="180"/>
        <w:jc w:val="both"/>
        <w:rPr>
          <w:rFonts w:ascii="Times New Roman" w:hAnsi="Times New Roman"/>
          <w:sz w:val="24"/>
        </w:rPr>
      </w:pPr>
      <w:r>
        <w:rPr>
          <w:rFonts w:ascii="Times New Roman" w:hAnsi="Times New Roman"/>
          <w:sz w:val="20"/>
        </w:rPr>
        <w:t>*** Certain schedules have been omitted pursuant to</w:t>
      </w:r>
      <w:r>
        <w:rPr>
          <w:rFonts w:ascii="Times New Roman" w:hAnsi="Times New Roman"/>
          <w:sz w:val="24"/>
        </w:rPr>
        <w:t> </w:t>
      </w:r>
      <w:r>
        <w:rPr>
          <w:rFonts w:ascii="Times New Roman" w:hAnsi="Times New Roman"/>
          <w:sz w:val="20"/>
        </w:rPr>
        <w:t>item 601(a)(5) of</w:t>
      </w:r>
      <w:r>
        <w:rPr>
          <w:rFonts w:ascii="Times New Roman" w:hAnsi="Times New Roman"/>
          <w:sz w:val="24"/>
        </w:rPr>
        <w:t> </w:t>
      </w:r>
      <w:r>
        <w:rPr>
          <w:rFonts w:ascii="Times New Roman" w:hAnsi="Times New Roman"/>
          <w:sz w:val="20"/>
        </w:rPr>
        <w:t>Regulation S-K. The registrant will provide a copy of omitted schedule to the SEC upon request.</w:t>
      </w:r>
      <w:r>
        <w:rPr>
          <w:rFonts w:ascii="Times New Roman" w:hAnsi="Times New Roman"/>
          <w:sz w:val="24"/>
        </w:rPr>
        <w:t> </w:t>
      </w:r>
    </w:p>
    <w:p>
      <w:pPr>
        <w:pStyle w:val="TextBody"/>
        <w:pBdr/>
        <w:bidi w:val="0"/>
        <w:spacing w:lineRule="atLeast" w:line="240" w:before="0" w:after="0"/>
        <w:ind w:left="180" w:right="0" w:hanging="180"/>
        <w:jc w:val="both"/>
        <w:rPr/>
      </w:pPr>
      <w:r>
        <w:rPr/>
        <w:t> </w:t>
      </w:r>
    </w:p>
    <w:p>
      <w:pPr>
        <w:pStyle w:val="TextBody"/>
        <w:bidi w:val="0"/>
        <w:spacing w:lineRule="atLeast" w:line="240"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us or our business or operations on the date hereof.</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r>
        <w:br w:type="page"/>
      </w:r>
    </w:p>
    <w:p>
      <w:pPr>
        <w:pStyle w:val="TextBody"/>
        <w:bidi w:val="0"/>
        <w:spacing w:lineRule="atLeast" w:line="240" w:before="0" w:after="0"/>
        <w:jc w:val="center"/>
        <w:rPr>
          <w:rFonts w:ascii="Times New Roman" w:hAnsi="Times New Roman"/>
          <w:b/>
          <w:sz w:val="20"/>
        </w:rPr>
      </w:pPr>
      <w:bookmarkStart w:id="25" w:name="TOC_ca7424b9ad365d80fcc3"/>
      <w:bookmarkEnd w:id="25"/>
      <w:r>
        <w:rPr>
          <w:rFonts w:ascii="Times New Roman" w:hAnsi="Times New Roman"/>
          <w:b/>
          <w:sz w:val="20"/>
        </w:rPr>
        <w:t>SIGNATURES</w:t>
      </w:r>
    </w:p>
    <w:p>
      <w:pPr>
        <w:pStyle w:val="TextBody"/>
        <w:pBdr/>
        <w:bidi w:val="0"/>
        <w:spacing w:lineRule="atLeast" w:line="240" w:before="0" w:after="200"/>
        <w:jc w:val="left"/>
        <w:rPr>
          <w:rFonts w:ascii="Times New Roman" w:hAnsi="Times New Roman"/>
          <w:sz w:val="24"/>
        </w:rPr>
      </w:pPr>
      <w:r>
        <w:rPr>
          <w:rFonts w:ascii="Times New Roman" w:hAnsi="Times New Roman"/>
          <w:sz w:val="20"/>
        </w:rPr>
        <w:t>Pursuant to the requirements of the Securities Exchange Act of 1934, the registrant has duly caused this report to be signed on its behalf by the undersigned, thereunto duly authorized.</w:t>
      </w:r>
      <w:r>
        <w:rPr>
          <w:rFonts w:ascii="Times New Roman" w:hAnsi="Times New Roman"/>
          <w:sz w:val="24"/>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August 6, 2025</w:t>
      </w:r>
    </w:p>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sz w:val="20"/>
        </w:rPr>
      </w:pPr>
      <w:r>
        <w:rPr>
          <w:rFonts w:ascii="Times New Roman" w:hAnsi="Times New Roman"/>
          <w:sz w:val="20"/>
        </w:rPr>
        <w:t>Euronet Worldwide, Inc.</w:t>
      </w:r>
    </w:p>
    <w:tbl>
      <w:tblPr>
        <w:tblW w:w="2485" w:type="dxa"/>
        <w:jc w:val="left"/>
        <w:tblInd w:w="0" w:type="dxa"/>
        <w:tblLayout w:type="fixed"/>
        <w:tblCellMar>
          <w:top w:w="0" w:type="dxa"/>
          <w:left w:w="0" w:type="dxa"/>
          <w:bottom w:w="0" w:type="dxa"/>
          <w:right w:w="0" w:type="dxa"/>
        </w:tblCellMar>
      </w:tblPr>
      <w:tblGrid>
        <w:gridCol w:w="335"/>
        <w:gridCol w:w="2075"/>
        <w:gridCol w:w="75"/>
      </w:tblGrid>
      <w:tr>
        <w:trPr/>
        <w:tc>
          <w:tcPr>
            <w:tcW w:w="33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sz w:val="20"/>
              </w:rPr>
            </w:pPr>
            <w:r>
              <w:rPr>
                <w:sz w:val="20"/>
              </w:rPr>
              <w:t>By:</w:t>
            </w:r>
          </w:p>
        </w:tc>
        <w:tc>
          <w:tcPr>
            <w:tcW w:w="2075" w:type="dxa"/>
            <w:tcBorders>
              <w:bottom w:val="single" w:sz="6" w:space="0" w:color="000000"/>
            </w:tcBorders>
            <w:tcMar>
              <w:bottom w:w="38" w:type="dxa"/>
            </w:tcMar>
            <w:vAlign w:val="center"/>
          </w:tcPr>
          <w:p>
            <w:pPr>
              <w:pStyle w:val="TableContents"/>
              <w:bidi w:val="0"/>
              <w:spacing w:before="0" w:after="0"/>
              <w:jc w:val="center"/>
              <w:rPr>
                <w:sz w:val="20"/>
              </w:rPr>
            </w:pPr>
            <w:r>
              <w:rPr>
                <w:sz w:val="20"/>
              </w:rPr>
              <w:t>/s/ MICHAEL J. BROWN</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center"/>
              <w:rPr>
                <w:sz w:val="20"/>
              </w:rPr>
            </w:pPr>
            <w:r>
              <w:rPr>
                <w:sz w:val="20"/>
              </w:rPr>
              <w:t>Michael J. Brown </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center"/>
              <w:rPr>
                <w:sz w:val="20"/>
              </w:rPr>
            </w:pPr>
            <w:r>
              <w:rPr>
                <w:sz w:val="20"/>
              </w:rPr>
              <w:t>Chief Executive Officer </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sz w:val="20"/>
              </w:rPr>
            </w:pPr>
            <w:r>
              <w:rPr>
                <w:sz w:val="20"/>
              </w:rPr>
              <w:t>By:</w:t>
            </w:r>
          </w:p>
        </w:tc>
        <w:tc>
          <w:tcPr>
            <w:tcW w:w="2075" w:type="dxa"/>
            <w:tcBorders>
              <w:bottom w:val="single" w:sz="6" w:space="0" w:color="000000"/>
            </w:tcBorders>
            <w:tcMar>
              <w:bottom w:w="38" w:type="dxa"/>
            </w:tcMar>
            <w:vAlign w:val="center"/>
          </w:tcPr>
          <w:p>
            <w:pPr>
              <w:pStyle w:val="TableContents"/>
              <w:bidi w:val="0"/>
              <w:spacing w:before="0" w:after="0"/>
              <w:jc w:val="center"/>
              <w:rPr>
                <w:sz w:val="20"/>
              </w:rPr>
            </w:pPr>
            <w:r>
              <w:rPr>
                <w:sz w:val="20"/>
              </w:rPr>
              <w:t>/s/ RICK L. WELLER</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center"/>
              <w:rPr>
                <w:sz w:val="20"/>
              </w:rPr>
            </w:pPr>
            <w:r>
              <w:rPr>
                <w:sz w:val="20"/>
              </w:rPr>
              <w:t>Rick L. Weller </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lineRule="atLeast" w:line="240" w:before="0" w:after="0"/>
              <w:jc w:val="center"/>
              <w:rPr/>
            </w:pPr>
            <w:r>
              <w:rPr>
                <w:sz w:val="20"/>
              </w:rPr>
              <w:t>Chief Financial Officer</w:t>
            </w:r>
            <w:r>
              <w:rPr/>
              <w:t> </w:t>
            </w:r>
          </w:p>
        </w:tc>
        <w:tc>
          <w:tcPr>
            <w:tcW w:w="75" w:type="dxa"/>
            <w:tcBorders/>
            <w:vAlign w:val="center"/>
          </w:tcPr>
          <w:p>
            <w:pPr>
              <w:pStyle w:val="TableContents"/>
              <w:bidi w:val="0"/>
              <w:spacing w:before="0" w:after="0"/>
              <w:jc w:val="left"/>
              <w:rPr/>
            </w:pPr>
            <w:r>
              <w:rPr/>
              <w:t> </w:t>
            </w:r>
          </w:p>
        </w:tc>
      </w:tr>
    </w:tbl>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r>
        <w:br w:type="page"/>
      </w:r>
    </w:p>
    <w:p>
      <w:pPr>
        <w:pStyle w:val="TextBody"/>
        <w:bidi w:val="0"/>
        <w:spacing w:lineRule="atLeast" w:line="240" w:before="0" w:after="0"/>
        <w:jc w:val="right"/>
        <w:rPr>
          <w:rFonts w:ascii="Times New Roman" w:hAnsi="Times New Roman"/>
          <w:b/>
          <w:sz w:val="20"/>
        </w:rPr>
      </w:pPr>
      <w:bookmarkStart w:id="26" w:name="ex311_1.htm"/>
      <w:bookmarkStart w:id="27" w:name="ksex311_1"/>
      <w:bookmarkEnd w:id="26"/>
      <w:bookmarkEnd w:id="27"/>
      <w:r>
        <w:rPr>
          <w:rFonts w:ascii="Times New Roman" w:hAnsi="Times New Roman"/>
          <w:b/>
          <w:sz w:val="20"/>
        </w:rPr>
        <w:t>EXHIBIT 31.1</w:t>
      </w:r>
    </w:p>
    <w:p>
      <w:pPr>
        <w:pStyle w:val="TextBody"/>
        <w:bidi w:val="0"/>
        <w:spacing w:lineRule="atLeast" w:line="240" w:before="0" w:after="0"/>
        <w:jc w:val="center"/>
        <w:rPr>
          <w:rFonts w:ascii="Times New Roman" w:hAnsi="Times New Roman"/>
          <w:sz w:val="24"/>
        </w:rPr>
      </w:pPr>
      <w:r>
        <w:rPr>
          <w:rFonts w:ascii="Times New Roman" w:hAnsi="Times New Roman"/>
          <w:b/>
          <w:sz w:val="20"/>
        </w:rPr>
        <w:t>CERTIFICATION OF CHIEF EXECUTIVE OFFICER</w:t>
      </w:r>
      <w:r>
        <w:rPr>
          <w:rFonts w:ascii="Times New Roman" w:hAnsi="Times New Roman"/>
          <w:sz w:val="24"/>
        </w:rPr>
        <w:t xml:space="preserve"> </w:t>
      </w:r>
    </w:p>
    <w:p>
      <w:pPr>
        <w:pStyle w:val="TextBody"/>
        <w:bidi w:val="0"/>
        <w:spacing w:lineRule="atLeast" w:line="240" w:before="0" w:after="0"/>
        <w:jc w:val="center"/>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I, Michael J. Brown, certify that:</w:t>
      </w:r>
    </w:p>
    <w:p>
      <w:pPr>
        <w:pStyle w:val="TextBody"/>
        <w:bidi w:val="0"/>
        <w:spacing w:lineRule="atLeast" w:line="240" w:before="0" w:after="0"/>
        <w:jc w:val="center"/>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1) I have reviewed this Quarterly Report on Form 10-Q of</w:t>
      </w:r>
      <w:r>
        <w:rPr>
          <w:rFonts w:ascii="Times New Roman" w:hAnsi="Times New Roman"/>
          <w:sz w:val="24"/>
        </w:rPr>
        <w:t> </w:t>
      </w:r>
      <w:r>
        <w:rPr>
          <w:rFonts w:ascii="Times New Roman" w:hAnsi="Times New Roman"/>
          <w:sz w:val="20"/>
        </w:rPr>
        <w:t>Euronet Worldwide, Inc.;</w:t>
      </w:r>
    </w:p>
    <w:p>
      <w:pPr>
        <w:pStyle w:val="TextBody"/>
        <w:bidi w:val="0"/>
        <w:spacing w:lineRule="atLeast" w:line="240" w:before="0" w:after="0"/>
        <w:jc w:val="center"/>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4"/>
        </w:rPr>
        <w:t>  </w:t>
      </w:r>
    </w:p>
    <w:p>
      <w:pPr>
        <w:pStyle w:val="TextBody"/>
        <w:bidi w:val="0"/>
        <w:spacing w:lineRule="atLeast" w:line="240" w:before="0" w:after="0"/>
        <w:jc w:val="center"/>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tLeast" w:line="240" w:before="0" w:after="0"/>
        <w:jc w:val="center"/>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4) The registrant's other certifying officer and I are responsible for establishing and maintaining disclosure controls and procedures (as defined in Exchange Act Rules</w:t>
      </w:r>
      <w:r>
        <w:rPr>
          <w:rFonts w:ascii="Times New Roman" w:hAnsi="Times New Roman"/>
          <w:sz w:val="24"/>
        </w:rPr>
        <w:t> </w:t>
      </w:r>
      <w:r>
        <w:rPr>
          <w:rFonts w:ascii="Times New Roman" w:hAnsi="Times New Roman"/>
          <w:sz w:val="20"/>
        </w:rPr>
        <w:t>13a-15(e) and 15d-15(e)) and internal control over financial reporting (as defined in Exchange Act Rules 13a-15(f) and 15d-15(f)) for the registrant and have:</w:t>
      </w:r>
    </w:p>
    <w:p>
      <w:pPr>
        <w:pStyle w:val="TextBody"/>
        <w:pBdr/>
        <w:bidi w:val="0"/>
        <w:spacing w:lineRule="atLeast" w:line="240" w:before="200" w:after="200"/>
        <w:ind w:left="10" w:right="0" w:hanging="0"/>
        <w:jc w:val="both"/>
        <w:rPr>
          <w:rFonts w:ascii="Times New Roman" w:hAnsi="Times New Roman"/>
          <w:sz w:val="20"/>
        </w:rPr>
      </w:pPr>
      <w:r>
        <w:rPr>
          <w:rFonts w:ascii="Times New Roman" w:hAnsi="Times New Roman"/>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tLeast" w:line="240" w:before="200" w:after="200"/>
        <w:ind w:left="10" w:right="0" w:hanging="0"/>
        <w:jc w:val="both"/>
        <w:rPr>
          <w:rFonts w:ascii="Times New Roman" w:hAnsi="Times New Roman"/>
          <w:sz w:val="20"/>
        </w:rPr>
      </w:pPr>
      <w:r>
        <w:rPr>
          <w:rFonts w:ascii="Times New Roman" w:hAnsi="Times New Roman"/>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tLeast" w:line="240" w:before="200" w:after="200"/>
        <w:ind w:left="10" w:right="0" w:hanging="0"/>
        <w:jc w:val="both"/>
        <w:rPr>
          <w:rFonts w:ascii="Times New Roman" w:hAnsi="Times New Roman"/>
          <w:sz w:val="20"/>
        </w:rPr>
      </w:pPr>
      <w:r>
        <w:rPr>
          <w:rFonts w:ascii="Times New Roman" w:hAnsi="Times New Roman"/>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tLeast" w:line="240" w:before="200" w:after="200"/>
        <w:ind w:left="10" w:right="0" w:hanging="0"/>
        <w:jc w:val="both"/>
        <w:rPr>
          <w:rFonts w:ascii="Times New Roman" w:hAnsi="Times New Roman"/>
          <w:sz w:val="20"/>
        </w:rPr>
      </w:pPr>
      <w:r>
        <w:rPr>
          <w:rFonts w:ascii="Times New Roman" w:hAnsi="Times New Roman"/>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tLeast" w:line="240" w:before="200" w:after="200"/>
        <w:jc w:val="both"/>
        <w:rPr>
          <w:rFonts w:ascii="Times New Roman" w:hAnsi="Times New Roman"/>
          <w:sz w:val="20"/>
        </w:rPr>
      </w:pPr>
      <w:r>
        <w:rPr>
          <w:rFonts w:ascii="Times New Roman" w:hAnsi="Times New Roman"/>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lineRule="atLeast" w:line="240" w:before="200" w:after="200"/>
        <w:ind w:left="10" w:right="0" w:hanging="0"/>
        <w:jc w:val="both"/>
        <w:rPr>
          <w:rFonts w:ascii="Times New Roman" w:hAnsi="Times New Roman"/>
          <w:sz w:val="20"/>
        </w:rPr>
      </w:pPr>
      <w:r>
        <w:rPr>
          <w:rFonts w:ascii="Times New Roman" w:hAnsi="Times New Roman"/>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tLeast" w:line="240" w:before="200" w:after="200"/>
        <w:ind w:left="10" w:right="0" w:hanging="0"/>
        <w:jc w:val="both"/>
        <w:rPr>
          <w:rFonts w:ascii="Times New Roman" w:hAnsi="Times New Roman"/>
          <w:sz w:val="20"/>
        </w:rPr>
      </w:pPr>
      <w:r>
        <w:rPr>
          <w:rFonts w:ascii="Times New Roman" w:hAnsi="Times New Roman"/>
          <w:sz w:val="20"/>
        </w:rPr>
        <w:t>b) any fraud, whether or not material, that involves management or other employees who have a significant role in the registrant's internal control over financial reporting.</w:t>
      </w:r>
    </w:p>
    <w:p>
      <w:pPr>
        <w:pStyle w:val="TextBody"/>
        <w:bidi w:val="0"/>
        <w:spacing w:lineRule="atLeast" w:line="240" w:before="0" w:after="0"/>
        <w:jc w:val="center"/>
        <w:rPr/>
      </w:pPr>
      <w:r>
        <w:rPr/>
        <w:t> </w:t>
      </w:r>
    </w:p>
    <w:p>
      <w:pPr>
        <w:pStyle w:val="TextBody"/>
        <w:bidi w:val="0"/>
        <w:spacing w:lineRule="atLeast" w:line="240" w:before="0" w:after="0"/>
        <w:jc w:val="left"/>
        <w:rPr>
          <w:rFonts w:ascii="Times New Roman" w:hAnsi="Times New Roman"/>
          <w:sz w:val="20"/>
        </w:rPr>
      </w:pPr>
      <w:r>
        <w:rPr>
          <w:rFonts w:ascii="Times New Roman" w:hAnsi="Times New Roman"/>
          <w:sz w:val="20"/>
        </w:rPr>
        <w:t>Date: August 6, 2025</w:t>
      </w:r>
    </w:p>
    <w:p>
      <w:pPr>
        <w:pStyle w:val="TextBody"/>
        <w:bidi w:val="0"/>
        <w:spacing w:lineRule="atLeast" w:line="240" w:before="0" w:after="0"/>
        <w:jc w:val="left"/>
        <w:rPr/>
      </w:pPr>
      <w:r>
        <w:rPr/>
        <w:t> </w:t>
      </w:r>
    </w:p>
    <w:tbl>
      <w:tblPr>
        <w:tblW w:w="2165" w:type="dxa"/>
        <w:jc w:val="left"/>
        <w:tblInd w:w="0" w:type="dxa"/>
        <w:tblLayout w:type="fixed"/>
        <w:tblCellMar>
          <w:top w:w="0" w:type="dxa"/>
          <w:left w:w="0" w:type="dxa"/>
          <w:bottom w:w="0" w:type="dxa"/>
          <w:right w:w="0" w:type="dxa"/>
        </w:tblCellMar>
      </w:tblPr>
      <w:tblGrid>
        <w:gridCol w:w="2090"/>
        <w:gridCol w:w="75"/>
      </w:tblGrid>
      <w:tr>
        <w:trPr/>
        <w:tc>
          <w:tcPr>
            <w:tcW w:w="209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090" w:type="dxa"/>
            <w:tcBorders>
              <w:bottom w:val="single" w:sz="6" w:space="0" w:color="000000"/>
            </w:tcBorders>
            <w:tcMar>
              <w:bottom w:w="38" w:type="dxa"/>
            </w:tcMar>
            <w:vAlign w:val="center"/>
          </w:tcPr>
          <w:p>
            <w:pPr>
              <w:pStyle w:val="TableContents"/>
              <w:bidi w:val="0"/>
              <w:spacing w:before="0" w:after="0"/>
              <w:jc w:val="center"/>
              <w:rPr>
                <w:sz w:val="20"/>
              </w:rPr>
            </w:pPr>
            <w:r>
              <w:rPr>
                <w:sz w:val="20"/>
              </w:rPr>
              <w:t>/s/ MICHAEL J. BROWN</w:t>
            </w:r>
          </w:p>
        </w:tc>
        <w:tc>
          <w:tcPr>
            <w:tcW w:w="75" w:type="dxa"/>
            <w:tcBorders/>
            <w:vAlign w:val="center"/>
          </w:tcPr>
          <w:p>
            <w:pPr>
              <w:pStyle w:val="TableContents"/>
              <w:bidi w:val="0"/>
              <w:spacing w:before="0" w:after="0"/>
              <w:jc w:val="left"/>
              <w:rPr/>
            </w:pPr>
            <w:r>
              <w:rPr/>
              <w:t> </w:t>
            </w:r>
          </w:p>
        </w:tc>
      </w:tr>
      <w:tr>
        <w:trPr/>
        <w:tc>
          <w:tcPr>
            <w:tcW w:w="2090" w:type="dxa"/>
            <w:tcBorders/>
            <w:vAlign w:val="center"/>
          </w:tcPr>
          <w:p>
            <w:pPr>
              <w:pStyle w:val="TableContents"/>
              <w:bidi w:val="0"/>
              <w:spacing w:before="0" w:after="0"/>
              <w:jc w:val="center"/>
              <w:rPr>
                <w:b/>
                <w:sz w:val="20"/>
              </w:rPr>
            </w:pPr>
            <w:r>
              <w:rPr>
                <w:b/>
                <w:sz w:val="20"/>
              </w:rPr>
              <w:t>Michael J. Brown</w:t>
            </w:r>
          </w:p>
        </w:tc>
        <w:tc>
          <w:tcPr>
            <w:tcW w:w="75" w:type="dxa"/>
            <w:tcBorders/>
            <w:vAlign w:val="center"/>
          </w:tcPr>
          <w:p>
            <w:pPr>
              <w:pStyle w:val="TableContents"/>
              <w:bidi w:val="0"/>
              <w:spacing w:before="0" w:after="0"/>
              <w:jc w:val="left"/>
              <w:rPr/>
            </w:pPr>
            <w:r>
              <w:rPr/>
              <w:t> </w:t>
            </w:r>
          </w:p>
        </w:tc>
      </w:tr>
      <w:tr>
        <w:trPr/>
        <w:tc>
          <w:tcPr>
            <w:tcW w:w="2090" w:type="dxa"/>
            <w:tcBorders/>
            <w:vAlign w:val="center"/>
          </w:tcPr>
          <w:p>
            <w:pPr>
              <w:pStyle w:val="TableContents"/>
              <w:bidi w:val="0"/>
              <w:spacing w:before="0" w:after="0"/>
              <w:jc w:val="center"/>
              <w:rPr>
                <w:b/>
                <w:sz w:val="20"/>
              </w:rPr>
            </w:pPr>
            <w:r>
              <w:rPr>
                <w:b/>
                <w:sz w:val="20"/>
              </w:rPr>
              <w:t>Chief Executive Officer</w:t>
            </w:r>
          </w:p>
        </w:tc>
        <w:tc>
          <w:tcPr>
            <w:tcW w:w="75" w:type="dxa"/>
            <w:tcBorders/>
            <w:vAlign w:val="center"/>
          </w:tcPr>
          <w:p>
            <w:pPr>
              <w:pStyle w:val="TableContents"/>
              <w:bidi w:val="0"/>
              <w:spacing w:before="0" w:after="0"/>
              <w:jc w:val="left"/>
              <w:rPr/>
            </w:pPr>
            <w:r>
              <w:rPr/>
              <w:t> </w:t>
            </w:r>
          </w:p>
        </w:tc>
      </w:tr>
    </w:tbl>
    <w:p>
      <w:pPr>
        <w:pStyle w:val="TextBody"/>
        <w:bidi w:val="0"/>
        <w:spacing w:lineRule="atLeast" w:line="240" w:before="0" w:after="0"/>
        <w:jc w:val="center"/>
        <w:rPr/>
      </w:pPr>
      <w:r>
        <w:rPr/>
        <w:t> </w:t>
      </w:r>
      <w:r>
        <w:br w:type="page"/>
      </w:r>
    </w:p>
    <w:p>
      <w:pPr>
        <w:pStyle w:val="TextBody"/>
        <w:bidi w:val="0"/>
        <w:spacing w:lineRule="atLeast" w:line="240" w:before="0" w:after="0"/>
        <w:jc w:val="right"/>
        <w:rPr>
          <w:rFonts w:ascii="Times New Roman" w:hAnsi="Times New Roman"/>
          <w:b/>
          <w:sz w:val="20"/>
        </w:rPr>
      </w:pPr>
      <w:bookmarkStart w:id="28" w:name="ex312_2.htm"/>
      <w:bookmarkStart w:id="29" w:name="ksex312_2"/>
      <w:bookmarkEnd w:id="28"/>
      <w:bookmarkEnd w:id="29"/>
      <w:r>
        <w:rPr>
          <w:rFonts w:ascii="Times New Roman" w:hAnsi="Times New Roman"/>
          <w:b/>
          <w:sz w:val="20"/>
        </w:rPr>
        <w:t>EXHIBIT 31.2</w:t>
      </w:r>
    </w:p>
    <w:p>
      <w:pPr>
        <w:pStyle w:val="TextBody"/>
        <w:bidi w:val="0"/>
        <w:spacing w:lineRule="atLeast" w:line="240" w:before="0" w:after="200"/>
        <w:jc w:val="center"/>
        <w:rPr>
          <w:rFonts w:ascii="Times New Roman" w:hAnsi="Times New Roman"/>
          <w:b/>
          <w:sz w:val="20"/>
        </w:rPr>
      </w:pPr>
      <w:r>
        <w:rPr>
          <w:rFonts w:ascii="Times New Roman" w:hAnsi="Times New Roman"/>
          <w:b/>
          <w:sz w:val="20"/>
        </w:rPr>
        <w:t>CERTIFICATION OF CHIEF FINANCIAL OFFICER</w:t>
      </w:r>
    </w:p>
    <w:p>
      <w:pPr>
        <w:pStyle w:val="TextBody"/>
        <w:bidi w:val="0"/>
        <w:spacing w:lineRule="atLeast" w:line="240" w:before="0" w:after="0"/>
        <w:jc w:val="both"/>
        <w:rPr>
          <w:rFonts w:ascii="Times New Roman" w:hAnsi="Times New Roman"/>
          <w:sz w:val="20"/>
        </w:rPr>
      </w:pPr>
      <w:r>
        <w:rPr>
          <w:rFonts w:ascii="Times New Roman" w:hAnsi="Times New Roman"/>
          <w:sz w:val="20"/>
        </w:rPr>
        <w:t>I, Rick L. Weller, certify that:</w:t>
      </w:r>
    </w:p>
    <w:p>
      <w:pPr>
        <w:pStyle w:val="TextBody"/>
        <w:bidi w:val="0"/>
        <w:spacing w:lineRule="atLeast" w:line="240" w:before="200" w:after="200"/>
        <w:jc w:val="both"/>
        <w:rPr>
          <w:rFonts w:ascii="Times New Roman" w:hAnsi="Times New Roman"/>
          <w:sz w:val="24"/>
        </w:rPr>
      </w:pPr>
      <w:r>
        <w:rPr>
          <w:rFonts w:ascii="Times New Roman" w:hAnsi="Times New Roman"/>
          <w:sz w:val="20"/>
        </w:rPr>
        <w:t>1) I have reviewed this Quarterly Report on Form 10-Q of</w:t>
      </w:r>
      <w:r>
        <w:rPr>
          <w:rFonts w:ascii="Times New Roman" w:hAnsi="Times New Roman"/>
          <w:sz w:val="24"/>
        </w:rPr>
        <w:t> </w:t>
      </w:r>
      <w:r>
        <w:rPr>
          <w:rFonts w:ascii="Times New Roman" w:hAnsi="Times New Roman"/>
          <w:sz w:val="20"/>
        </w:rPr>
        <w:t>Euronet</w:t>
      </w:r>
      <w:r>
        <w:rPr>
          <w:rFonts w:ascii="Times New Roman" w:hAnsi="Times New Roman"/>
          <w:sz w:val="24"/>
        </w:rPr>
        <w:t> </w:t>
      </w:r>
      <w:r>
        <w:rPr>
          <w:rFonts w:ascii="Times New Roman" w:hAnsi="Times New Roman"/>
          <w:sz w:val="20"/>
        </w:rPr>
        <w:t>Worldwide,</w:t>
      </w:r>
      <w:r>
        <w:rPr>
          <w:rFonts w:ascii="Times New Roman" w:hAnsi="Times New Roman"/>
          <w:sz w:val="24"/>
        </w:rPr>
        <w:t> </w:t>
      </w:r>
      <w:r>
        <w:rPr>
          <w:rFonts w:ascii="Times New Roman" w:hAnsi="Times New Roman"/>
          <w:sz w:val="20"/>
        </w:rPr>
        <w:t>Inc.;</w:t>
      </w:r>
    </w:p>
    <w:p>
      <w:pPr>
        <w:pStyle w:val="TextBody"/>
        <w:bidi w:val="0"/>
        <w:spacing w:lineRule="atLeast" w:line="240" w:before="200" w:after="200"/>
        <w:jc w:val="both"/>
        <w:rPr>
          <w:rFonts w:ascii="Times New Roman" w:hAnsi="Times New Roman"/>
          <w:sz w:val="20"/>
        </w:rPr>
      </w:pPr>
      <w:r>
        <w:rPr>
          <w:rFonts w:ascii="Times New Roman" w:hAnsi="Times New Roman"/>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tLeast" w:line="240" w:before="200" w:after="200"/>
        <w:jc w:val="both"/>
        <w:rPr>
          <w:rFonts w:ascii="Times New Roman" w:hAnsi="Times New Roman"/>
          <w:sz w:val="20"/>
        </w:rPr>
      </w:pPr>
      <w:r>
        <w:rPr>
          <w:rFonts w:ascii="Times New Roman" w:hAnsi="Times New Roman"/>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tLeast" w:line="240" w:before="200" w:after="200"/>
        <w:jc w:val="both"/>
        <w:rPr>
          <w:rFonts w:ascii="Times New Roman" w:hAnsi="Times New Roman"/>
          <w:sz w:val="24"/>
        </w:rPr>
      </w:pPr>
      <w:r>
        <w:rPr>
          <w:rFonts w:ascii="Times New Roman" w:hAnsi="Times New Roman"/>
          <w:sz w:val="20"/>
        </w:rPr>
        <w:t>4) The registrant's other certifying officer and I are responsible for establishing and maintaining disclosure controls and procedures (as defined in Exchange Act Rules</w:t>
      </w:r>
      <w:r>
        <w:rPr>
          <w:rFonts w:ascii="Times New Roman" w:hAnsi="Times New Roman"/>
          <w:sz w:val="24"/>
        </w:rPr>
        <w:t> </w:t>
      </w:r>
      <w:r>
        <w:rPr>
          <w:rFonts w:ascii="Times New Roman" w:hAnsi="Times New Roman"/>
          <w:sz w:val="20"/>
        </w:rPr>
        <w:t>13a-15(e) and</w:t>
      </w:r>
      <w:r>
        <w:rPr>
          <w:rFonts w:ascii="Times New Roman" w:hAnsi="Times New Roman"/>
          <w:sz w:val="24"/>
        </w:rPr>
        <w:t> </w:t>
      </w:r>
      <w:r>
        <w:rPr>
          <w:rFonts w:ascii="Times New Roman" w:hAnsi="Times New Roman"/>
          <w:sz w:val="20"/>
        </w:rPr>
        <w:t>15d-15(e)) and internal control over financial reporting (as defined in Exchange Act Rules</w:t>
      </w:r>
      <w:r>
        <w:rPr>
          <w:rFonts w:ascii="Times New Roman" w:hAnsi="Times New Roman"/>
          <w:sz w:val="24"/>
        </w:rPr>
        <w:t> </w:t>
      </w:r>
      <w:r>
        <w:rPr>
          <w:rFonts w:ascii="Times New Roman" w:hAnsi="Times New Roman"/>
          <w:sz w:val="20"/>
        </w:rPr>
        <w:t>13a-15(f) and</w:t>
      </w:r>
      <w:r>
        <w:rPr>
          <w:rFonts w:ascii="Times New Roman" w:hAnsi="Times New Roman"/>
          <w:sz w:val="24"/>
        </w:rPr>
        <w:t> </w:t>
      </w:r>
      <w:r>
        <w:rPr>
          <w:rFonts w:ascii="Times New Roman" w:hAnsi="Times New Roman"/>
          <w:sz w:val="20"/>
        </w:rPr>
        <w:t>15d-15(f)) for the registrant and have:</w:t>
      </w:r>
    </w:p>
    <w:p>
      <w:pPr>
        <w:pStyle w:val="TextBody"/>
        <w:pBdr/>
        <w:bidi w:val="0"/>
        <w:spacing w:lineRule="atLeast" w:line="240" w:before="200" w:after="200"/>
        <w:ind w:left="10" w:right="0" w:hanging="0"/>
        <w:jc w:val="both"/>
        <w:rPr>
          <w:rFonts w:ascii="Times New Roman" w:hAnsi="Times New Roman"/>
          <w:sz w:val="20"/>
        </w:rPr>
      </w:pPr>
      <w:r>
        <w:rPr>
          <w:rFonts w:ascii="Times New Roman" w:hAnsi="Times New Roman"/>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tLeast" w:line="240" w:before="200" w:after="200"/>
        <w:ind w:left="10" w:right="0" w:hanging="0"/>
        <w:jc w:val="both"/>
        <w:rPr>
          <w:rFonts w:ascii="Times New Roman" w:hAnsi="Times New Roman"/>
          <w:sz w:val="20"/>
        </w:rPr>
      </w:pPr>
      <w:r>
        <w:rPr>
          <w:rFonts w:ascii="Times New Roman" w:hAnsi="Times New Roman"/>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tLeast" w:line="240" w:before="200" w:after="200"/>
        <w:ind w:left="10" w:right="0" w:hanging="0"/>
        <w:jc w:val="both"/>
        <w:rPr>
          <w:rFonts w:ascii="Times New Roman" w:hAnsi="Times New Roman"/>
          <w:sz w:val="20"/>
        </w:rPr>
      </w:pPr>
      <w:r>
        <w:rPr>
          <w:rFonts w:ascii="Times New Roman" w:hAnsi="Times New Roman"/>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tLeast" w:line="240" w:before="200" w:after="200"/>
        <w:ind w:left="10" w:right="0" w:hanging="0"/>
        <w:jc w:val="both"/>
        <w:rPr>
          <w:rFonts w:ascii="Times New Roman" w:hAnsi="Times New Roman"/>
          <w:sz w:val="20"/>
        </w:rPr>
      </w:pPr>
      <w:r>
        <w:rPr>
          <w:rFonts w:ascii="Times New Roman" w:hAnsi="Times New Roman"/>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tLeast" w:line="240" w:before="200" w:after="200"/>
        <w:jc w:val="both"/>
        <w:rPr>
          <w:rFonts w:ascii="Times New Roman" w:hAnsi="Times New Roman"/>
          <w:sz w:val="20"/>
        </w:rPr>
      </w:pPr>
      <w:r>
        <w:rPr>
          <w:rFonts w:ascii="Times New Roman" w:hAnsi="Times New Roman"/>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lineRule="atLeast" w:line="240" w:before="200" w:after="200"/>
        <w:ind w:left="10" w:right="0" w:hanging="0"/>
        <w:jc w:val="both"/>
        <w:rPr>
          <w:rFonts w:ascii="Times New Roman" w:hAnsi="Times New Roman"/>
          <w:sz w:val="20"/>
        </w:rPr>
      </w:pPr>
      <w:r>
        <w:rPr>
          <w:rFonts w:ascii="Times New Roman" w:hAnsi="Times New Roman"/>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tLeast" w:line="240" w:before="200" w:after="200"/>
        <w:ind w:left="10" w:right="0" w:hanging="0"/>
        <w:jc w:val="both"/>
        <w:rPr>
          <w:rFonts w:ascii="Times New Roman" w:hAnsi="Times New Roman"/>
          <w:sz w:val="24"/>
        </w:rPr>
      </w:pPr>
      <w:r>
        <w:rPr>
          <w:rFonts w:ascii="Times New Roman" w:hAnsi="Times New Roman"/>
          <w:sz w:val="20"/>
        </w:rPr>
        <w:t>b) any fraud, whether or not material, that involves management or other employees who have a significant role in the registrant's internal control over financial reporting.</w:t>
      </w:r>
      <w:r>
        <w:rPr>
          <w:rFonts w:ascii="Times New Roman" w:hAnsi="Times New Roman"/>
          <w:sz w:val="24"/>
        </w:rPr>
        <w:t>  </w:t>
      </w:r>
    </w:p>
    <w:p>
      <w:pPr>
        <w:pStyle w:val="TextBody"/>
        <w:bidi w:val="0"/>
        <w:spacing w:lineRule="atLeast" w:line="240" w:before="0" w:after="0"/>
        <w:jc w:val="left"/>
        <w:rPr>
          <w:rFonts w:ascii="Times New Roman" w:hAnsi="Times New Roman"/>
          <w:sz w:val="20"/>
        </w:rPr>
      </w:pPr>
      <w:r>
        <w:rPr>
          <w:rFonts w:ascii="Times New Roman" w:hAnsi="Times New Roman"/>
          <w:sz w:val="20"/>
        </w:rPr>
        <w:t>Date: August 6, 2025</w:t>
      </w:r>
    </w:p>
    <w:p>
      <w:pPr>
        <w:pStyle w:val="TextBody"/>
        <w:bidi w:val="0"/>
        <w:spacing w:lineRule="atLeast" w:line="240" w:before="0" w:after="0"/>
        <w:jc w:val="left"/>
        <w:rPr/>
      </w:pPr>
      <w:r>
        <w:rPr/>
        <w:t> </w:t>
      </w:r>
    </w:p>
    <w:tbl>
      <w:tblPr>
        <w:tblW w:w="2165" w:type="dxa"/>
        <w:jc w:val="left"/>
        <w:tblInd w:w="0" w:type="dxa"/>
        <w:tblLayout w:type="fixed"/>
        <w:tblCellMar>
          <w:top w:w="0" w:type="dxa"/>
          <w:left w:w="0" w:type="dxa"/>
          <w:bottom w:w="0" w:type="dxa"/>
          <w:right w:w="0" w:type="dxa"/>
        </w:tblCellMar>
      </w:tblPr>
      <w:tblGrid>
        <w:gridCol w:w="2030"/>
        <w:gridCol w:w="135"/>
      </w:tblGrid>
      <w:tr>
        <w:trPr/>
        <w:tc>
          <w:tcPr>
            <w:tcW w:w="2030" w:type="dxa"/>
            <w:tcBorders/>
            <w:vAlign w:val="center"/>
          </w:tcPr>
          <w:p>
            <w:pPr>
              <w:pStyle w:val="TableContents"/>
              <w:bidi w:val="0"/>
              <w:spacing w:before="0" w:after="0"/>
              <w:jc w:val="left"/>
              <w:rPr/>
            </w:pPr>
            <w:r>
              <w:rPr/>
              <w:t xml:space="preserve">  </w:t>
            </w:r>
          </w:p>
        </w:tc>
        <w:tc>
          <w:tcPr>
            <w:tcW w:w="135" w:type="dxa"/>
            <w:tcBorders/>
            <w:vAlign w:val="center"/>
          </w:tcPr>
          <w:p>
            <w:pPr>
              <w:pStyle w:val="TableContents"/>
              <w:bidi w:val="0"/>
              <w:spacing w:before="0" w:after="0"/>
              <w:jc w:val="left"/>
              <w:rPr/>
            </w:pPr>
            <w:r>
              <w:rPr/>
              <w:t xml:space="preserve">  </w:t>
            </w:r>
          </w:p>
        </w:tc>
      </w:tr>
      <w:tr>
        <w:trPr/>
        <w:tc>
          <w:tcPr>
            <w:tcW w:w="2030" w:type="dxa"/>
            <w:tcBorders>
              <w:bottom w:val="single" w:sz="6" w:space="0" w:color="000000"/>
            </w:tcBorders>
            <w:tcMar>
              <w:bottom w:w="38" w:type="dxa"/>
            </w:tcMar>
            <w:vAlign w:val="center"/>
          </w:tcPr>
          <w:p>
            <w:pPr>
              <w:pStyle w:val="TableContents"/>
              <w:bidi w:val="0"/>
              <w:spacing w:before="0" w:after="0"/>
              <w:jc w:val="center"/>
              <w:rPr>
                <w:sz w:val="20"/>
              </w:rPr>
            </w:pPr>
            <w:r>
              <w:rPr>
                <w:sz w:val="20"/>
              </w:rPr>
              <w:t>/s/ RICK L. WELLER</w:t>
            </w:r>
          </w:p>
        </w:tc>
        <w:tc>
          <w:tcPr>
            <w:tcW w:w="135" w:type="dxa"/>
            <w:tcBorders/>
            <w:vAlign w:val="center"/>
          </w:tcPr>
          <w:p>
            <w:pPr>
              <w:pStyle w:val="TableContents"/>
              <w:bidi w:val="0"/>
              <w:spacing w:before="0" w:after="0"/>
              <w:jc w:val="left"/>
              <w:rPr/>
            </w:pPr>
            <w:r>
              <w:rPr/>
              <w:t xml:space="preserve">  </w:t>
            </w:r>
          </w:p>
        </w:tc>
      </w:tr>
      <w:tr>
        <w:trPr/>
        <w:tc>
          <w:tcPr>
            <w:tcW w:w="2030" w:type="dxa"/>
            <w:tcBorders/>
            <w:vAlign w:val="center"/>
          </w:tcPr>
          <w:p>
            <w:pPr>
              <w:pStyle w:val="TableContents"/>
              <w:bidi w:val="0"/>
              <w:spacing w:before="0" w:after="0"/>
              <w:jc w:val="center"/>
              <w:rPr>
                <w:b/>
                <w:sz w:val="20"/>
              </w:rPr>
            </w:pPr>
            <w:r>
              <w:rPr>
                <w:b/>
                <w:sz w:val="20"/>
              </w:rPr>
              <w:t xml:space="preserve">Rick L. Weller </w:t>
            </w:r>
          </w:p>
        </w:tc>
        <w:tc>
          <w:tcPr>
            <w:tcW w:w="135" w:type="dxa"/>
            <w:tcBorders/>
            <w:vAlign w:val="center"/>
          </w:tcPr>
          <w:p>
            <w:pPr>
              <w:pStyle w:val="TableContents"/>
              <w:bidi w:val="0"/>
              <w:spacing w:before="0" w:after="0"/>
              <w:jc w:val="left"/>
              <w:rPr/>
            </w:pPr>
            <w:r>
              <w:rPr/>
              <w:t xml:space="preserve">  </w:t>
            </w:r>
          </w:p>
        </w:tc>
      </w:tr>
      <w:tr>
        <w:trPr/>
        <w:tc>
          <w:tcPr>
            <w:tcW w:w="2030" w:type="dxa"/>
            <w:tcBorders/>
            <w:vAlign w:val="center"/>
          </w:tcPr>
          <w:p>
            <w:pPr>
              <w:pStyle w:val="TableContents"/>
              <w:bidi w:val="0"/>
              <w:spacing w:before="0" w:after="0"/>
              <w:jc w:val="center"/>
              <w:rPr>
                <w:b/>
                <w:sz w:val="20"/>
              </w:rPr>
            </w:pPr>
            <w:r>
              <w:rPr>
                <w:b/>
                <w:sz w:val="20"/>
              </w:rPr>
              <w:t xml:space="preserve">Chief Financial Officer </w:t>
            </w:r>
          </w:p>
        </w:tc>
        <w:tc>
          <w:tcPr>
            <w:tcW w:w="135" w:type="dxa"/>
            <w:tcBorders/>
            <w:vAlign w:val="center"/>
          </w:tcPr>
          <w:p>
            <w:pPr>
              <w:pStyle w:val="TableContents"/>
              <w:bidi w:val="0"/>
              <w:spacing w:before="0" w:after="0"/>
              <w:jc w:val="left"/>
              <w:rPr/>
            </w:pPr>
            <w:r>
              <w:rPr/>
              <w:t xml:space="preserve">  </w:t>
            </w:r>
          </w:p>
        </w:tc>
      </w:tr>
    </w:tbl>
    <w:p>
      <w:pPr>
        <w:pStyle w:val="TextBody"/>
        <w:bidi w:val="0"/>
        <w:spacing w:lineRule="atLeast" w:line="240" w:before="0" w:after="0"/>
        <w:jc w:val="center"/>
        <w:rPr/>
      </w:pPr>
      <w:r>
        <w:rPr/>
        <w:t> </w:t>
      </w:r>
      <w:r>
        <w:br w:type="page"/>
      </w:r>
    </w:p>
    <w:p>
      <w:pPr>
        <w:pStyle w:val="TextBody"/>
        <w:bidi w:val="0"/>
        <w:spacing w:lineRule="atLeast" w:line="240" w:before="0" w:after="0"/>
        <w:jc w:val="right"/>
        <w:rPr>
          <w:rFonts w:ascii="Times New Roman" w:hAnsi="Times New Roman"/>
          <w:b/>
          <w:sz w:val="20"/>
        </w:rPr>
      </w:pPr>
      <w:bookmarkStart w:id="30" w:name="ex321_3.htm"/>
      <w:bookmarkStart w:id="31" w:name="ksex321_3"/>
      <w:bookmarkEnd w:id="30"/>
      <w:bookmarkEnd w:id="31"/>
      <w:r>
        <w:rPr>
          <w:rFonts w:ascii="Times New Roman" w:hAnsi="Times New Roman"/>
          <w:b/>
          <w:sz w:val="20"/>
        </w:rPr>
        <w:t>EXHIBIT 32.1</w:t>
      </w:r>
    </w:p>
    <w:p>
      <w:pPr>
        <w:pStyle w:val="TextBody"/>
        <w:bidi w:val="0"/>
        <w:spacing w:lineRule="atLeast" w:line="240" w:before="0" w:after="0"/>
        <w:jc w:val="center"/>
        <w:rPr>
          <w:rFonts w:ascii="Times New Roman" w:hAnsi="Times New Roman"/>
          <w:b/>
          <w:sz w:val="20"/>
        </w:rPr>
      </w:pPr>
      <w:r>
        <w:rPr>
          <w:rFonts w:ascii="Times New Roman" w:hAnsi="Times New Roman"/>
          <w:b/>
          <w:sz w:val="20"/>
        </w:rPr>
        <w:t>CERTIFICATION PURSUANT TO</w:t>
      </w:r>
    </w:p>
    <w:p>
      <w:pPr>
        <w:pStyle w:val="TextBody"/>
        <w:bidi w:val="0"/>
        <w:spacing w:lineRule="atLeast" w:line="240" w:before="0" w:after="0"/>
        <w:jc w:val="center"/>
        <w:rPr>
          <w:rFonts w:ascii="Times New Roman" w:hAnsi="Times New Roman"/>
          <w:b/>
          <w:sz w:val="20"/>
        </w:rPr>
      </w:pPr>
      <w:r>
        <w:rPr>
          <w:rFonts w:ascii="Times New Roman" w:hAnsi="Times New Roman"/>
          <w:b/>
          <w:sz w:val="20"/>
        </w:rPr>
        <w:t>18 U.S.C. SECTION 1350,</w:t>
      </w:r>
    </w:p>
    <w:p>
      <w:pPr>
        <w:pStyle w:val="TextBody"/>
        <w:bidi w:val="0"/>
        <w:spacing w:lineRule="atLeast" w:line="240" w:before="0" w:after="0"/>
        <w:jc w:val="center"/>
        <w:rPr>
          <w:rFonts w:ascii="Times New Roman" w:hAnsi="Times New Roman"/>
          <w:b/>
          <w:sz w:val="20"/>
        </w:rPr>
      </w:pPr>
      <w:r>
        <w:rPr>
          <w:rFonts w:ascii="Times New Roman" w:hAnsi="Times New Roman"/>
          <w:b/>
          <w:sz w:val="20"/>
        </w:rPr>
        <w:t>AS ADOPTED PURSUANT TO</w:t>
      </w:r>
    </w:p>
    <w:p>
      <w:pPr>
        <w:pStyle w:val="TextBody"/>
        <w:bidi w:val="0"/>
        <w:spacing w:lineRule="atLeast" w:line="240" w:before="0" w:after="0"/>
        <w:jc w:val="center"/>
        <w:rPr>
          <w:rFonts w:ascii="Times New Roman" w:hAnsi="Times New Roman"/>
          <w:b/>
          <w:sz w:val="20"/>
        </w:rPr>
      </w:pPr>
      <w:r>
        <w:rPr>
          <w:rFonts w:ascii="Times New Roman" w:hAnsi="Times New Roman"/>
          <w:b/>
          <w:sz w:val="20"/>
        </w:rPr>
        <w:t>SECTION 906 OF THE SARBANES-OXLEY ACT OF 2002</w:t>
      </w:r>
    </w:p>
    <w:p>
      <w:pPr>
        <w:pStyle w:val="TextBody"/>
        <w:bidi w:val="0"/>
        <w:spacing w:lineRule="atLeast" w:line="240" w:before="0" w:after="0"/>
        <w:jc w:val="center"/>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In connection with the Quarterly Report on Form 10-Q of Euronet Worldwide, Inc. (the “Company”) for the period ended June 30, 2025</w:t>
      </w:r>
      <w:r>
        <w:rPr>
          <w:rFonts w:ascii="Times New Roman" w:hAnsi="Times New Roman"/>
          <w:sz w:val="24"/>
        </w:rPr>
        <w:t xml:space="preserve"> </w:t>
      </w:r>
      <w:r>
        <w:rPr>
          <w:rFonts w:ascii="Times New Roman" w:hAnsi="Times New Roman"/>
          <w:sz w:val="20"/>
        </w:rPr>
        <w:t>as filed with the Securities and Exchange Commission on the date hereof (the “Report”), the undersigned hereby certifies, pursuant to 18 U.S.C. Section</w:t>
      </w:r>
      <w:r>
        <w:rPr>
          <w:rFonts w:ascii="Times New Roman" w:hAnsi="Times New Roman"/>
          <w:sz w:val="24"/>
        </w:rPr>
        <w:t> </w:t>
      </w:r>
      <w:r>
        <w:rPr>
          <w:rFonts w:ascii="Times New Roman" w:hAnsi="Times New Roman"/>
          <w:sz w:val="20"/>
        </w:rPr>
        <w:t>1350, as adopted pursuant to Section</w:t>
      </w:r>
      <w:r>
        <w:rPr>
          <w:rFonts w:ascii="Times New Roman" w:hAnsi="Times New Roman"/>
          <w:sz w:val="24"/>
        </w:rPr>
        <w:t> </w:t>
      </w:r>
      <w:r>
        <w:rPr>
          <w:rFonts w:ascii="Times New Roman" w:hAnsi="Times New Roman"/>
          <w:sz w:val="20"/>
        </w:rPr>
        <w:t>906 of the Sarbanes-Oxley Act of 2002, that:</w:t>
      </w:r>
    </w:p>
    <w:p>
      <w:pPr>
        <w:pStyle w:val="TextBody"/>
        <w:bidi w:val="0"/>
        <w:spacing w:lineRule="atLeast" w:line="240" w:before="0" w:after="0"/>
        <w:jc w:val="both"/>
        <w:rPr/>
      </w:pPr>
      <w:r>
        <w:rPr/>
        <w:t> </w:t>
      </w:r>
    </w:p>
    <w:p>
      <w:pPr>
        <w:pStyle w:val="TextBody"/>
        <w:bidi w:val="0"/>
        <w:spacing w:lineRule="atLeast" w:line="240" w:before="0" w:after="0"/>
        <w:ind w:left="300" w:right="0" w:hanging="0"/>
        <w:jc w:val="both"/>
        <w:rPr>
          <w:rFonts w:ascii="Times New Roman" w:hAnsi="Times New Roman"/>
          <w:sz w:val="20"/>
        </w:rPr>
      </w:pPr>
      <w:r>
        <w:rPr>
          <w:rFonts w:ascii="Times New Roman" w:hAnsi="Times New Roman"/>
          <w:sz w:val="20"/>
        </w:rPr>
        <w:t>1) the Report fully complies with the requirements of Section 13(a) or 15(d) of the Securities Exchange Act of 1934, as amended; and</w:t>
      </w:r>
    </w:p>
    <w:p>
      <w:pPr>
        <w:pStyle w:val="TextBody"/>
        <w:bidi w:val="0"/>
        <w:spacing w:lineRule="atLeast" w:line="240" w:before="0" w:after="0"/>
        <w:jc w:val="both"/>
        <w:rPr/>
      </w:pPr>
      <w:r>
        <w:rPr/>
        <w:t> </w:t>
      </w:r>
    </w:p>
    <w:p>
      <w:pPr>
        <w:pStyle w:val="TextBody"/>
        <w:bidi w:val="0"/>
        <w:spacing w:lineRule="atLeast" w:line="240" w:before="0" w:after="0"/>
        <w:ind w:left="300" w:right="0" w:hanging="0"/>
        <w:jc w:val="both"/>
        <w:rPr>
          <w:rFonts w:ascii="Times New Roman" w:hAnsi="Times New Roman"/>
          <w:sz w:val="20"/>
        </w:rPr>
      </w:pPr>
      <w:r>
        <w:rPr>
          <w:rFonts w:ascii="Times New Roman" w:hAnsi="Times New Roman"/>
          <w:sz w:val="20"/>
        </w:rPr>
        <w:t>2) the information contained in the Report fairly presents, in all material respects, the financial condition and results of operations of the Company.</w:t>
      </w:r>
    </w:p>
    <w:tbl>
      <w:tblPr>
        <w:tblW w:w="2165" w:type="dxa"/>
        <w:jc w:val="left"/>
        <w:tblInd w:w="0" w:type="dxa"/>
        <w:tblLayout w:type="fixed"/>
        <w:tblCellMar>
          <w:top w:w="0" w:type="dxa"/>
          <w:left w:w="0" w:type="dxa"/>
          <w:bottom w:w="0" w:type="dxa"/>
          <w:right w:w="0" w:type="dxa"/>
        </w:tblCellMar>
      </w:tblPr>
      <w:tblGrid>
        <w:gridCol w:w="2090"/>
        <w:gridCol w:w="75"/>
      </w:tblGrid>
      <w:tr>
        <w:trPr/>
        <w:tc>
          <w:tcPr>
            <w:tcW w:w="2090" w:type="dxa"/>
            <w:tcBorders/>
            <w:vAlign w:val="center"/>
          </w:tcPr>
          <w:p>
            <w:pPr>
              <w:pStyle w:val="TableContents"/>
              <w:bidi w:val="0"/>
              <w:spacing w:before="0" w:after="0"/>
              <w:jc w:val="left"/>
              <w:rPr>
                <w:sz w:val="20"/>
              </w:rPr>
            </w:pPr>
            <w:r>
              <w:rPr>
                <w:sz w:val="20"/>
              </w:rPr>
              <w:br/>
              <w:br/>
              <w:t> </w:t>
            </w:r>
          </w:p>
        </w:tc>
        <w:tc>
          <w:tcPr>
            <w:tcW w:w="75" w:type="dxa"/>
            <w:tcBorders/>
            <w:vAlign w:val="center"/>
          </w:tcPr>
          <w:p>
            <w:pPr>
              <w:pStyle w:val="TableContents"/>
              <w:bidi w:val="0"/>
              <w:spacing w:before="0" w:after="0"/>
              <w:jc w:val="left"/>
              <w:rPr/>
            </w:pPr>
            <w:r>
              <w:rPr/>
              <w:t> </w:t>
            </w:r>
          </w:p>
        </w:tc>
      </w:tr>
      <w:tr>
        <w:trPr/>
        <w:tc>
          <w:tcPr>
            <w:tcW w:w="2090" w:type="dxa"/>
            <w:tcBorders>
              <w:bottom w:val="single" w:sz="6" w:space="0" w:color="000000"/>
            </w:tcBorders>
            <w:tcMar>
              <w:bottom w:w="38" w:type="dxa"/>
            </w:tcMar>
            <w:vAlign w:val="center"/>
          </w:tcPr>
          <w:p>
            <w:pPr>
              <w:pStyle w:val="TableContents"/>
              <w:bidi w:val="0"/>
              <w:spacing w:before="0" w:after="0"/>
              <w:jc w:val="center"/>
              <w:rPr>
                <w:sz w:val="20"/>
              </w:rPr>
            </w:pPr>
            <w:r>
              <w:rPr>
                <w:sz w:val="20"/>
              </w:rPr>
              <w:t>/s/ MICHAEL J. BROWN</w:t>
            </w:r>
          </w:p>
        </w:tc>
        <w:tc>
          <w:tcPr>
            <w:tcW w:w="75" w:type="dxa"/>
            <w:tcBorders/>
            <w:vAlign w:val="center"/>
          </w:tcPr>
          <w:p>
            <w:pPr>
              <w:pStyle w:val="TableContents"/>
              <w:bidi w:val="0"/>
              <w:spacing w:before="0" w:after="0"/>
              <w:jc w:val="left"/>
              <w:rPr/>
            </w:pPr>
            <w:r>
              <w:rPr/>
              <w:t> </w:t>
            </w:r>
          </w:p>
        </w:tc>
      </w:tr>
      <w:tr>
        <w:trPr/>
        <w:tc>
          <w:tcPr>
            <w:tcW w:w="2090" w:type="dxa"/>
            <w:tcBorders/>
            <w:vAlign w:val="center"/>
          </w:tcPr>
          <w:p>
            <w:pPr>
              <w:pStyle w:val="TableContents"/>
              <w:bidi w:val="0"/>
              <w:spacing w:before="0" w:after="0"/>
              <w:jc w:val="center"/>
              <w:rPr>
                <w:b/>
                <w:sz w:val="20"/>
              </w:rPr>
            </w:pPr>
            <w:r>
              <w:rPr>
                <w:b/>
                <w:sz w:val="20"/>
              </w:rPr>
              <w:t>Michael J. Brown</w:t>
            </w:r>
          </w:p>
        </w:tc>
        <w:tc>
          <w:tcPr>
            <w:tcW w:w="75" w:type="dxa"/>
            <w:tcBorders/>
            <w:vAlign w:val="center"/>
          </w:tcPr>
          <w:p>
            <w:pPr>
              <w:pStyle w:val="TableContents"/>
              <w:bidi w:val="0"/>
              <w:spacing w:before="0" w:after="0"/>
              <w:jc w:val="left"/>
              <w:rPr/>
            </w:pPr>
            <w:r>
              <w:rPr/>
              <w:t> </w:t>
            </w:r>
          </w:p>
        </w:tc>
      </w:tr>
      <w:tr>
        <w:trPr/>
        <w:tc>
          <w:tcPr>
            <w:tcW w:w="2090" w:type="dxa"/>
            <w:tcBorders/>
            <w:vAlign w:val="center"/>
          </w:tcPr>
          <w:p>
            <w:pPr>
              <w:pStyle w:val="TableContents"/>
              <w:bidi w:val="0"/>
              <w:spacing w:before="0" w:after="0"/>
              <w:jc w:val="center"/>
              <w:rPr>
                <w:b/>
                <w:sz w:val="20"/>
              </w:rPr>
            </w:pPr>
            <w:r>
              <w:rPr>
                <w:b/>
                <w:sz w:val="20"/>
              </w:rPr>
              <w:t>Chief Executive Officer</w:t>
            </w:r>
          </w:p>
        </w:tc>
        <w:tc>
          <w:tcPr>
            <w:tcW w:w="75" w:type="dxa"/>
            <w:tcBorders/>
            <w:vAlign w:val="center"/>
          </w:tcPr>
          <w:p>
            <w:pPr>
              <w:pStyle w:val="TableContents"/>
              <w:bidi w:val="0"/>
              <w:spacing w:before="0" w:after="0"/>
              <w:jc w:val="left"/>
              <w:rPr/>
            </w:pPr>
            <w:r>
              <w:rPr/>
              <w:t> </w:t>
            </w:r>
          </w:p>
        </w:tc>
      </w:tr>
    </w:tbl>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sz w:val="20"/>
        </w:rPr>
      </w:pPr>
      <w:r>
        <w:rPr>
          <w:rFonts w:ascii="Times New Roman" w:hAnsi="Times New Roman"/>
          <w:sz w:val="20"/>
        </w:rPr>
        <w:t>August 6, 2025</w:t>
      </w:r>
    </w:p>
    <w:p>
      <w:pPr>
        <w:pStyle w:val="TextBody"/>
        <w:bidi w:val="0"/>
        <w:spacing w:lineRule="atLeast" w:line="240" w:before="0" w:after="0"/>
        <w:jc w:val="center"/>
        <w:rPr>
          <w:rFonts w:ascii="Times New Roman" w:hAnsi="Times New Roman"/>
          <w:sz w:val="24"/>
        </w:rPr>
      </w:pPr>
      <w:r>
        <w:rPr>
          <w:rFonts w:ascii="Times New Roman" w:hAnsi="Times New Roman"/>
          <w:sz w:val="24"/>
        </w:rPr>
        <w:br/>
        <w:br/>
        <w:br/>
        <w:t> </w:t>
      </w:r>
      <w:r>
        <w:br w:type="page"/>
      </w:r>
    </w:p>
    <w:p>
      <w:pPr>
        <w:pStyle w:val="TextBody"/>
        <w:bidi w:val="0"/>
        <w:spacing w:lineRule="atLeast" w:line="240" w:before="0" w:after="0"/>
        <w:jc w:val="right"/>
        <w:rPr>
          <w:rFonts w:ascii="Times New Roman" w:hAnsi="Times New Roman"/>
          <w:b/>
          <w:sz w:val="20"/>
        </w:rPr>
      </w:pPr>
      <w:bookmarkStart w:id="32" w:name="ex322_4.htm"/>
      <w:bookmarkStart w:id="33" w:name="ksex322_4"/>
      <w:bookmarkEnd w:id="32"/>
      <w:bookmarkEnd w:id="33"/>
      <w:r>
        <w:rPr>
          <w:rFonts w:ascii="Times New Roman" w:hAnsi="Times New Roman"/>
          <w:b/>
          <w:sz w:val="20"/>
        </w:rPr>
        <w:t>EXHIBIT 32.2</w:t>
      </w:r>
    </w:p>
    <w:p>
      <w:pPr>
        <w:pStyle w:val="TextBody"/>
        <w:bidi w:val="0"/>
        <w:spacing w:lineRule="atLeast" w:line="240" w:before="0" w:after="0"/>
        <w:jc w:val="center"/>
        <w:rPr>
          <w:rFonts w:ascii="Times New Roman" w:hAnsi="Times New Roman"/>
          <w:b/>
          <w:sz w:val="20"/>
        </w:rPr>
      </w:pPr>
      <w:r>
        <w:rPr>
          <w:rFonts w:ascii="Times New Roman" w:hAnsi="Times New Roman"/>
          <w:b/>
          <w:sz w:val="20"/>
        </w:rPr>
        <w:t>CERTIFICATION PURSUANT TO</w:t>
      </w:r>
    </w:p>
    <w:p>
      <w:pPr>
        <w:pStyle w:val="TextBody"/>
        <w:bidi w:val="0"/>
        <w:spacing w:lineRule="atLeast" w:line="240" w:before="0" w:after="0"/>
        <w:jc w:val="center"/>
        <w:rPr>
          <w:rFonts w:ascii="Times New Roman" w:hAnsi="Times New Roman"/>
          <w:b/>
          <w:sz w:val="20"/>
        </w:rPr>
      </w:pPr>
      <w:r>
        <w:rPr>
          <w:rFonts w:ascii="Times New Roman" w:hAnsi="Times New Roman"/>
          <w:b/>
          <w:sz w:val="20"/>
        </w:rPr>
        <w:t>18 U.S.C. SECTION 1350,</w:t>
      </w:r>
    </w:p>
    <w:p>
      <w:pPr>
        <w:pStyle w:val="TextBody"/>
        <w:bidi w:val="0"/>
        <w:spacing w:lineRule="atLeast" w:line="240" w:before="0" w:after="0"/>
        <w:jc w:val="center"/>
        <w:rPr>
          <w:rFonts w:ascii="Times New Roman" w:hAnsi="Times New Roman"/>
          <w:b/>
          <w:sz w:val="20"/>
        </w:rPr>
      </w:pPr>
      <w:r>
        <w:rPr>
          <w:rFonts w:ascii="Times New Roman" w:hAnsi="Times New Roman"/>
          <w:b/>
          <w:sz w:val="20"/>
        </w:rPr>
        <w:t>AS ADOPTED PURSUANT TO</w:t>
      </w:r>
    </w:p>
    <w:p>
      <w:pPr>
        <w:pStyle w:val="TextBody"/>
        <w:bidi w:val="0"/>
        <w:spacing w:lineRule="atLeast" w:line="240" w:before="0" w:after="0"/>
        <w:jc w:val="center"/>
        <w:rPr>
          <w:rFonts w:ascii="Times New Roman" w:hAnsi="Times New Roman"/>
          <w:b/>
          <w:sz w:val="20"/>
        </w:rPr>
      </w:pPr>
      <w:r>
        <w:rPr>
          <w:rFonts w:ascii="Times New Roman" w:hAnsi="Times New Roman"/>
          <w:b/>
          <w:sz w:val="20"/>
        </w:rPr>
        <w:t>SECTION 906 OF THE SARBANES-OXLEY ACT OF 2002</w:t>
      </w:r>
    </w:p>
    <w:p>
      <w:pPr>
        <w:pStyle w:val="TextBody"/>
        <w:bidi w:val="0"/>
        <w:spacing w:lineRule="atLeast" w:line="240" w:before="0" w:after="0"/>
        <w:jc w:val="center"/>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In connection with the Quarterly Report on Form 10-Q of Euronet Worldwide, Inc. (the “Company”) for the period ended June 30, 2025</w:t>
      </w:r>
      <w:r>
        <w:rPr>
          <w:rFonts w:ascii="Times New Roman" w:hAnsi="Times New Roman"/>
          <w:sz w:val="24"/>
        </w:rPr>
        <w:t xml:space="preserve"> </w:t>
      </w:r>
      <w:r>
        <w:rPr>
          <w:rFonts w:ascii="Times New Roman" w:hAnsi="Times New Roman"/>
          <w:sz w:val="20"/>
        </w:rPr>
        <w:t>as filed with the Securities and Exchange Commission on the date hereof (the “Report”), the undersigned hereby certifies, pursuant to 18 U.S.C. Section</w:t>
      </w:r>
      <w:r>
        <w:rPr>
          <w:rFonts w:ascii="Times New Roman" w:hAnsi="Times New Roman"/>
          <w:sz w:val="24"/>
        </w:rPr>
        <w:t> </w:t>
      </w:r>
      <w:r>
        <w:rPr>
          <w:rFonts w:ascii="Times New Roman" w:hAnsi="Times New Roman"/>
          <w:sz w:val="20"/>
        </w:rPr>
        <w:t>1350, as adopted pursuant to Section</w:t>
      </w:r>
      <w:r>
        <w:rPr>
          <w:rFonts w:ascii="Times New Roman" w:hAnsi="Times New Roman"/>
          <w:sz w:val="24"/>
        </w:rPr>
        <w:t> </w:t>
      </w:r>
      <w:r>
        <w:rPr>
          <w:rFonts w:ascii="Times New Roman" w:hAnsi="Times New Roman"/>
          <w:sz w:val="20"/>
        </w:rPr>
        <w:t>906 of the Sarbanes-Oxley Act of 2002, that:</w:t>
      </w:r>
    </w:p>
    <w:p>
      <w:pPr>
        <w:pStyle w:val="TextBody"/>
        <w:bidi w:val="0"/>
        <w:spacing w:lineRule="atLeast" w:line="240" w:before="0" w:after="0"/>
        <w:jc w:val="both"/>
        <w:rPr/>
      </w:pPr>
      <w:r>
        <w:rPr/>
        <w:t> </w:t>
      </w:r>
    </w:p>
    <w:p>
      <w:pPr>
        <w:pStyle w:val="TextBody"/>
        <w:bidi w:val="0"/>
        <w:spacing w:lineRule="atLeast" w:line="240" w:before="0" w:after="0"/>
        <w:ind w:left="300" w:right="0" w:hanging="0"/>
        <w:jc w:val="both"/>
        <w:rPr>
          <w:rFonts w:ascii="Times New Roman" w:hAnsi="Times New Roman"/>
          <w:sz w:val="20"/>
        </w:rPr>
      </w:pPr>
      <w:r>
        <w:rPr>
          <w:rFonts w:ascii="Times New Roman" w:hAnsi="Times New Roman"/>
          <w:sz w:val="20"/>
        </w:rPr>
        <w:t>1) the Report fully complies with the requirements of Section 13(a) or 15(d) of the Securities Exchange Act of 1934, as amended; and</w:t>
      </w:r>
    </w:p>
    <w:p>
      <w:pPr>
        <w:pStyle w:val="TextBody"/>
        <w:bidi w:val="0"/>
        <w:spacing w:lineRule="atLeast" w:line="240" w:before="0" w:after="0"/>
        <w:jc w:val="both"/>
        <w:rPr/>
      </w:pPr>
      <w:r>
        <w:rPr/>
        <w:t> </w:t>
      </w:r>
    </w:p>
    <w:p>
      <w:pPr>
        <w:pStyle w:val="TextBody"/>
        <w:bidi w:val="0"/>
        <w:spacing w:lineRule="atLeast" w:line="240" w:before="0" w:after="0"/>
        <w:ind w:left="300" w:right="0" w:hanging="0"/>
        <w:jc w:val="both"/>
        <w:rPr>
          <w:rFonts w:ascii="Times New Roman" w:hAnsi="Times New Roman"/>
          <w:sz w:val="20"/>
        </w:rPr>
      </w:pPr>
      <w:r>
        <w:rPr>
          <w:rFonts w:ascii="Times New Roman" w:hAnsi="Times New Roman"/>
          <w:sz w:val="20"/>
        </w:rPr>
        <w:t>2) the information contained in the Report fairly presents, in all material respects, the financial condition and results of operations of the Company.</w:t>
      </w:r>
    </w:p>
    <w:tbl>
      <w:tblPr>
        <w:tblW w:w="2060" w:type="dxa"/>
        <w:jc w:val="left"/>
        <w:tblInd w:w="0" w:type="dxa"/>
        <w:tblLayout w:type="fixed"/>
        <w:tblCellMar>
          <w:top w:w="0" w:type="dxa"/>
          <w:left w:w="0" w:type="dxa"/>
          <w:bottom w:w="0" w:type="dxa"/>
          <w:right w:w="0" w:type="dxa"/>
        </w:tblCellMar>
      </w:tblPr>
      <w:tblGrid>
        <w:gridCol w:w="1985"/>
        <w:gridCol w:w="75"/>
      </w:tblGrid>
      <w:tr>
        <w:trPr/>
        <w:tc>
          <w:tcPr>
            <w:tcW w:w="1985" w:type="dxa"/>
            <w:tcBorders/>
            <w:vAlign w:val="center"/>
          </w:tcPr>
          <w:p>
            <w:pPr>
              <w:pStyle w:val="TableContents"/>
              <w:bidi w:val="0"/>
              <w:spacing w:before="0" w:after="0"/>
              <w:jc w:val="left"/>
              <w:rPr>
                <w:sz w:val="20"/>
              </w:rPr>
            </w:pPr>
            <w:r>
              <w:rPr>
                <w:sz w:val="20"/>
              </w:rPr>
              <w:br/>
              <w:t> </w:t>
            </w:r>
          </w:p>
        </w:tc>
        <w:tc>
          <w:tcPr>
            <w:tcW w:w="75" w:type="dxa"/>
            <w:tcBorders/>
            <w:vAlign w:val="center"/>
          </w:tcPr>
          <w:p>
            <w:pPr>
              <w:pStyle w:val="TableContents"/>
              <w:bidi w:val="0"/>
              <w:spacing w:before="0" w:after="0"/>
              <w:jc w:val="left"/>
              <w:rPr/>
            </w:pPr>
            <w:r>
              <w:rPr/>
              <w:t> </w:t>
            </w:r>
          </w:p>
        </w:tc>
      </w:tr>
      <w:tr>
        <w:trPr/>
        <w:tc>
          <w:tcPr>
            <w:tcW w:w="1985" w:type="dxa"/>
            <w:tcBorders>
              <w:bottom w:val="single" w:sz="6" w:space="0" w:color="000000"/>
            </w:tcBorders>
            <w:tcMar>
              <w:bottom w:w="38" w:type="dxa"/>
            </w:tcMar>
            <w:vAlign w:val="center"/>
          </w:tcPr>
          <w:p>
            <w:pPr>
              <w:pStyle w:val="TableContents"/>
              <w:bidi w:val="0"/>
              <w:spacing w:before="0" w:after="0"/>
              <w:jc w:val="center"/>
              <w:rPr>
                <w:sz w:val="20"/>
              </w:rPr>
            </w:pPr>
            <w:r>
              <w:rPr>
                <w:sz w:val="20"/>
              </w:rPr>
              <w:t>/s/ RICK L. WELLER</w:t>
            </w:r>
          </w:p>
        </w:tc>
        <w:tc>
          <w:tcPr>
            <w:tcW w:w="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0"/>
              <w:jc w:val="center"/>
              <w:rPr>
                <w:b/>
                <w:sz w:val="20"/>
              </w:rPr>
            </w:pPr>
            <w:r>
              <w:rPr>
                <w:b/>
                <w:sz w:val="20"/>
              </w:rPr>
              <w:t>Rick L. Weller</w:t>
            </w:r>
          </w:p>
        </w:tc>
        <w:tc>
          <w:tcPr>
            <w:tcW w:w="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0"/>
              <w:jc w:val="center"/>
              <w:rPr>
                <w:b/>
                <w:sz w:val="20"/>
              </w:rPr>
            </w:pPr>
            <w:r>
              <w:rPr>
                <w:b/>
                <w:sz w:val="20"/>
              </w:rPr>
              <w:t>Chief Financial Officer</w:t>
            </w:r>
          </w:p>
        </w:tc>
        <w:tc>
          <w:tcPr>
            <w:tcW w:w="75" w:type="dxa"/>
            <w:tcBorders/>
            <w:vAlign w:val="center"/>
          </w:tcPr>
          <w:p>
            <w:pPr>
              <w:pStyle w:val="TableContents"/>
              <w:bidi w:val="0"/>
              <w:spacing w:before="0" w:after="0"/>
              <w:jc w:val="left"/>
              <w:rPr/>
            </w:pPr>
            <w:r>
              <w:rPr/>
              <w:t> </w:t>
            </w:r>
          </w:p>
        </w:tc>
      </w:tr>
    </w:tbl>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sz w:val="20"/>
        </w:rPr>
      </w:pPr>
      <w:r>
        <w:rPr>
          <w:rFonts w:ascii="Times New Roman" w:hAnsi="Times New Roman"/>
          <w:sz w:val="20"/>
        </w:rPr>
        <w:t>August 6, 2025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029199/000155485525000873/eeft-20250730.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25710</Words>
  <Characters>140141</Characters>
  <CharactersWithSpaces>167010</CharactersWithSpaces>
  <Paragraphs>6872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