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659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65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Michael 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54,949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1,475,133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24,417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70.93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1,450,716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5,960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See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171,400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158,715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shares from performance-based stock awards granted on December 7, 2021 (3,935), December 6, 2022 (40,345), December 12, 2023 (5,675) and December 10, 2024 (4,994).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surrendered to Euronet Worldwide, Inc. by the Reporting Person to satisfy tax withholding liability obligations associated with the vesting of performance-based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Mr. Brown's spouse as custodian for his children.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family trusts for the benefit of Mr. Brown's spouse and children, of which Mr. Brown's spouse is the trustee.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Adam Godderz,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9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 J. 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35909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2026-03-02T14:39:40Z</dcterms:created>
  <dcterms:modified xsi:type="dcterms:W3CDTF">2026-03-02T14:39:40Z</dcterms:modified>
</cp:coreProperties>
</file>