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right"/>
              <w:ind w:right="850"/>
              <w:spacing w:after="0"/>
              <w:rPr>
                <w:sz w:val="20"/>
                <w:szCs w:val="20"/>
                <w:color w:val="auto"/>
              </w:rPr>
            </w:pPr>
            <w:r>
              <w:rPr>
                <w:rFonts w:ascii="Arial" w:cs="Arial" w:eastAsia="Arial" w:hAnsi="Arial"/>
                <w:sz w:val="18"/>
                <w:szCs w:val="18"/>
                <w:b w:val="1"/>
                <w:bCs w:val="1"/>
                <w:color w:val="auto"/>
              </w:rPr>
              <w:t>74-2806888</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84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7"/>
              </w:rPr>
              <w:t>4601 COLLEGE BOULEVARD, SUITE 300</w:t>
            </w:r>
          </w:p>
        </w:tc>
        <w:tc>
          <w:tcPr>
            <w:tcW w:w="3840" w:type="dxa"/>
            <w:vAlign w:val="bottom"/>
          </w:tcPr>
          <w:p>
            <w:pPr>
              <w:spacing w:after="0"/>
              <w:rPr>
                <w:sz w:val="24"/>
                <w:szCs w:val="24"/>
                <w:color w:val="auto"/>
              </w:rPr>
            </w:pPr>
          </w:p>
        </w:tc>
      </w:tr>
      <w:tr>
        <w:trPr>
          <w:trHeight w:val="216"/>
        </w:trPr>
        <w:tc>
          <w:tcPr>
            <w:tcW w:w="57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LEAWOOD, KANSAS</w:t>
            </w:r>
          </w:p>
        </w:tc>
        <w:tc>
          <w:tcPr>
            <w:tcW w:w="3840" w:type="dxa"/>
            <w:vAlign w:val="bottom"/>
          </w:tcPr>
          <w:p>
            <w:pPr>
              <w:jc w:val="right"/>
              <w:ind w:right="1010"/>
              <w:spacing w:after="0"/>
              <w:rPr>
                <w:sz w:val="20"/>
                <w:szCs w:val="20"/>
                <w:color w:val="auto"/>
              </w:rPr>
            </w:pPr>
            <w:r>
              <w:rPr>
                <w:rFonts w:ascii="Arial" w:cs="Arial" w:eastAsia="Arial" w:hAnsi="Arial"/>
                <w:sz w:val="18"/>
                <w:szCs w:val="18"/>
                <w:b w:val="1"/>
                <w:bCs w:val="1"/>
                <w:color w:val="auto"/>
              </w:rPr>
              <w:t>66211</w:t>
            </w:r>
          </w:p>
        </w:tc>
      </w:tr>
      <w:tr>
        <w:trPr>
          <w:trHeight w:val="234"/>
        </w:trPr>
        <w:tc>
          <w:tcPr>
            <w:tcW w:w="57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5"/>
        </w:trPr>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Common Stock, $0.02 par value</w:t>
            </w:r>
          </w:p>
        </w:tc>
        <w:tc>
          <w:tcPr>
            <w:tcW w:w="580" w:type="dxa"/>
            <w:vAlign w:val="bottom"/>
          </w:tcPr>
          <w:p>
            <w:pPr>
              <w:spacing w:after="0"/>
              <w:rPr>
                <w:sz w:val="17"/>
                <w:szCs w:val="17"/>
                <w:color w:val="auto"/>
              </w:rPr>
            </w:pPr>
          </w:p>
        </w:tc>
        <w:tc>
          <w:tcPr>
            <w:tcW w:w="5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760"/>
        <w:spacing w:after="0" w:line="338"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a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55"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80" w:space="720"/>
            <w:col w:w="1440" w:space="720"/>
            <w:col w:w="3400" w:space="720"/>
            <w:col w:w="2340"/>
          </w:cols>
          <w:pgMar w:left="240" w:top="122" w:right="239" w:bottom="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3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June 30, 2008, the aggregate market value of the voting and non-voting common equity held by non-affiliates of the registrant was approximately $744.7 million. The aggregate market value was determined based on the closing price of the Common Stock on June 30, 2008.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At February 23, 2009, the registrant had 50,406,566 shares of common stock (the “Common Stock”) outstanding.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Portions of the registrant’s Proxy Statement for its Annual Meeting of Shareholders in 2009, which will be filed with the Securities and Exchange Commission no later than 120 days after December 31, 2008,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gridSpan w:val="12"/>
          </w:tcPr>
          <w:p>
            <w:pPr>
              <w:ind w:left="3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42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56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3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7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ITEM 1A.</w:t>
              </w:r>
            </w:hyperlink>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79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740" w:type="dxa"/>
            <w:vAlign w:val="bottom"/>
            <w:gridSpan w:val="7"/>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1B.</w:t>
              </w:r>
            </w:hyperlink>
          </w:p>
        </w:tc>
        <w:tc>
          <w:tcPr>
            <w:tcW w:w="4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2.</w:t>
              </w:r>
            </w:hyperlink>
          </w:p>
        </w:tc>
        <w:tc>
          <w:tcPr>
            <w:tcW w:w="100" w:type="dxa"/>
            <w:vAlign w:val="bottom"/>
            <w:tcBorders>
              <w:top w:val="single" w:sz="8" w:color="0000EE"/>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PROPERTIES</w:t>
              </w:r>
            </w:hyperlink>
          </w:p>
        </w:tc>
        <w:tc>
          <w:tcPr>
            <w:tcW w:w="1760" w:type="dxa"/>
            <w:vAlign w:val="bottom"/>
            <w:tcBorders>
              <w:top w:val="single" w:sz="8" w:color="0000EE"/>
            </w:tcBorders>
            <w:gridSpan w:val="8"/>
          </w:tcPr>
          <w:p>
            <w:pPr>
              <w:spacing w:after="0"/>
              <w:rPr>
                <w:sz w:val="17"/>
                <w:szCs w:val="17"/>
                <w:color w:val="auto"/>
              </w:rPr>
            </w:pPr>
          </w:p>
        </w:tc>
        <w:tc>
          <w:tcPr>
            <w:tcW w:w="63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3.</w:t>
              </w:r>
            </w:hyperlink>
          </w:p>
        </w:tc>
        <w:tc>
          <w:tcPr>
            <w:tcW w:w="5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4.</w:t>
              </w:r>
            </w:hyperlink>
          </w:p>
        </w:tc>
        <w:tc>
          <w:tcPr>
            <w:tcW w:w="5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SUBMISSION OF MATTERS TO A VOTE OF SECURITY HOLDERS</w:t>
              </w:r>
            </w:hyperlink>
          </w:p>
        </w:tc>
        <w:tc>
          <w:tcPr>
            <w:tcW w:w="39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12"/>
        </w:trPr>
        <w:tc>
          <w:tcPr>
            <w:tcW w:w="142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5.</w:t>
              </w:r>
            </w:hyperlink>
          </w:p>
        </w:tc>
        <w:tc>
          <w:tcPr>
            <w:tcW w:w="56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76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MARKET FOR REGISTRANT’S COMMON EQUITY, RELATED STOCKHOLDER MATTERS AND</w:t>
              </w:r>
            </w:hyperlink>
          </w:p>
        </w:tc>
        <w:tc>
          <w:tcPr>
            <w:tcW w:w="156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0" w:type="dxa"/>
            <w:vAlign w:val="bottom"/>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6.</w:t>
              </w:r>
            </w:hyperlink>
          </w:p>
        </w:tc>
        <w:tc>
          <w:tcPr>
            <w:tcW w:w="5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SELECTED FINANCIAL DATA</w:t>
              </w:r>
            </w:hyperlink>
          </w:p>
        </w:tc>
        <w:tc>
          <w:tcPr>
            <w:tcW w:w="67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7.</w:t>
              </w:r>
            </w:hyperlink>
          </w:p>
        </w:tc>
        <w:tc>
          <w:tcPr>
            <w:tcW w:w="5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gridSpan w:val="8"/>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ITEM 7A.</w:t>
              </w:r>
            </w:hyperlink>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2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ITEM 8.</w:t>
              </w:r>
            </w:hyperlink>
          </w:p>
        </w:tc>
        <w:tc>
          <w:tcPr>
            <w:tcW w:w="120" w:type="dxa"/>
            <w:vAlign w:val="bottom"/>
            <w:tcBorders>
              <w:top w:val="single" w:sz="8" w:color="0000EE"/>
            </w:tcBorders>
            <w:gridSpan w:val="3"/>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30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99">
              <w:r>
                <w:rPr>
                  <w:rFonts w:ascii="Arial" w:cs="Arial" w:eastAsia="Arial" w:hAnsi="Arial"/>
                  <w:sz w:val="18"/>
                  <w:szCs w:val="18"/>
                  <w:color w:val="0000EE"/>
                  <w:w w:val="95"/>
                </w:rPr>
                <w:t>ITEM 9.</w:t>
              </w:r>
            </w:hyperlink>
          </w:p>
        </w:tc>
        <w:tc>
          <w:tcPr>
            <w:tcW w:w="5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gridSpan w:val="8"/>
          </w:tcPr>
          <w:p>
            <w:pPr>
              <w:spacing w:after="0" w:line="196"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ITEM 9A.</w:t>
              </w:r>
            </w:hyperlink>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00">
              <w:r>
                <w:rPr>
                  <w:rFonts w:ascii="Arial" w:cs="Arial" w:eastAsia="Arial" w:hAnsi="Arial"/>
                  <w:sz w:val="18"/>
                  <w:szCs w:val="18"/>
                  <w:color w:val="0000EE"/>
                  <w:w w:val="95"/>
                </w:rPr>
                <w:t>ITEM 9B.</w:t>
              </w:r>
            </w:hyperlink>
          </w:p>
        </w:tc>
        <w:tc>
          <w:tcPr>
            <w:tcW w:w="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4"/>
          </w:tcPr>
          <w:p>
            <w:pPr>
              <w:spacing w:after="0"/>
              <w:rPr>
                <w:sz w:val="17"/>
                <w:szCs w:val="17"/>
                <w:color w:val="auto"/>
              </w:rPr>
            </w:pPr>
          </w:p>
        </w:tc>
        <w:tc>
          <w:tcPr>
            <w:tcW w:w="66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412"/>
        </w:trPr>
        <w:tc>
          <w:tcPr>
            <w:tcW w:w="1420" w:type="dxa"/>
            <w:vAlign w:val="bottom"/>
            <w:gridSpan w:val="1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PART III</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200" w:type="dxa"/>
            <w:vAlign w:val="bottom"/>
            <w:gridSpan w:val="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9660" w:type="dxa"/>
            <w:vAlign w:val="bottom"/>
            <w:gridSpan w:val="24"/>
          </w:tcPr>
          <w:p>
            <w:pPr>
              <w:ind w:left="460"/>
              <w:spacing w:after="0"/>
              <w:rPr>
                <w:rFonts w:ascii="Arial" w:cs="Arial" w:eastAsia="Arial" w:hAnsi="Arial"/>
                <w:sz w:val="18"/>
                <w:szCs w:val="18"/>
                <w:color w:val="0000EE"/>
              </w:rPr>
            </w:pPr>
            <w:hyperlink w:anchor="page101">
              <w:r>
                <w:rPr>
                  <w:rFonts w:ascii="Arial" w:cs="Arial" w:eastAsia="Arial" w:hAnsi="Arial"/>
                  <w:sz w:val="18"/>
                  <w:szCs w:val="18"/>
                  <w:color w:val="0000EE"/>
                </w:rPr>
                <w:t>DIRECTORS AND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196"/>
        </w:trPr>
        <w:tc>
          <w:tcPr>
            <w:tcW w:w="2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ITEM 11.</w:t>
              </w:r>
            </w:hyperlink>
          </w:p>
        </w:tc>
        <w:tc>
          <w:tcPr>
            <w:tcW w:w="50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EXECUTIVE COMPENSATION</w:t>
              </w:r>
            </w:hyperlink>
          </w:p>
        </w:tc>
        <w:tc>
          <w:tcPr>
            <w:tcW w:w="3740" w:type="dxa"/>
            <w:vAlign w:val="bottom"/>
            <w:tcBorders>
              <w:top w:val="single" w:sz="8" w:color="0000EE"/>
            </w:tcBorders>
            <w:gridSpan w:val="8"/>
          </w:tcPr>
          <w:p>
            <w:pPr>
              <w:spacing w:after="0"/>
              <w:rPr>
                <w:sz w:val="17"/>
                <w:szCs w:val="17"/>
                <w:color w:val="auto"/>
              </w:rPr>
            </w:pPr>
          </w:p>
        </w:tc>
        <w:tc>
          <w:tcPr>
            <w:tcW w:w="30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220" w:type="dxa"/>
            <w:vAlign w:val="bottom"/>
          </w:tcPr>
          <w:p>
            <w:pPr>
              <w:spacing w:after="0"/>
              <w:rPr>
                <w:sz w:val="17"/>
                <w:szCs w:val="17"/>
                <w:color w:val="auto"/>
              </w:rPr>
            </w:pPr>
          </w:p>
        </w:tc>
        <w:tc>
          <w:tcPr>
            <w:tcW w:w="1200" w:type="dxa"/>
            <w:vAlign w:val="bottom"/>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9660" w:type="dxa"/>
            <w:vAlign w:val="bottom"/>
            <w:gridSpan w:val="24"/>
          </w:tcPr>
          <w:p>
            <w:pPr>
              <w:ind w:left="46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w:t>
              </w:r>
            </w:hyperlink>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STOCKHOLDER MATTERS</w:t>
              </w:r>
            </w:hyperlink>
          </w:p>
        </w:tc>
        <w:tc>
          <w:tcPr>
            <w:tcW w:w="11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6"/>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ITEM 13.</w:t>
              </w:r>
            </w:hyperlink>
          </w:p>
        </w:tc>
        <w:tc>
          <w:tcPr>
            <w:tcW w:w="50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220" w:type="dxa"/>
            <w:vAlign w:val="bottom"/>
          </w:tcPr>
          <w:p>
            <w:pPr>
              <w:spacing w:after="0"/>
              <w:rPr>
                <w:sz w:val="17"/>
                <w:szCs w:val="17"/>
                <w:color w:val="auto"/>
              </w:rPr>
            </w:pPr>
          </w:p>
        </w:tc>
        <w:tc>
          <w:tcPr>
            <w:tcW w:w="700" w:type="dxa"/>
            <w:vAlign w:val="bottom"/>
            <w:tcBorders>
              <w:top w:val="single" w:sz="8" w:color="0000EE"/>
            </w:tcBorders>
            <w:gridSpan w:val="6"/>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ITEM 14.</w:t>
              </w:r>
            </w:hyperlink>
          </w:p>
        </w:tc>
        <w:tc>
          <w:tcPr>
            <w:tcW w:w="50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7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15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PART IV</w:t>
              </w:r>
            </w:hyperlink>
          </w:p>
        </w:tc>
        <w:tc>
          <w:tcPr>
            <w:tcW w:w="74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220" w:type="dxa"/>
            <w:vAlign w:val="bottom"/>
          </w:tcPr>
          <w:p>
            <w:pPr>
              <w:spacing w:after="0"/>
              <w:rPr>
                <w:sz w:val="24"/>
                <w:szCs w:val="24"/>
                <w:color w:val="auto"/>
              </w:rPr>
            </w:pPr>
          </w:p>
        </w:tc>
        <w:tc>
          <w:tcPr>
            <w:tcW w:w="700" w:type="dxa"/>
            <w:vAlign w:val="bottom"/>
            <w:gridSpan w:val="6"/>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ITEM 15.</w:t>
              </w:r>
            </w:hyperlink>
          </w:p>
        </w:tc>
        <w:tc>
          <w:tcPr>
            <w:tcW w:w="5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9200" w:type="dxa"/>
            <w:vAlign w:val="bottom"/>
            <w:gridSpan w:val="23"/>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8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Euronet Worldwide, Inc. (together with our subsidiaries, “we,” “us,” “Euronet” or the “Company”) is a leading electronic payments provider, offering automated teller machine (“ATM”),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principal business segments as of December 31, 2008:</w:t>
      </w:r>
    </w:p>
    <w:p>
      <w:pPr>
        <w:spacing w:after="0" w:line="117" w:lineRule="exact"/>
        <w:rPr>
          <w:sz w:val="20"/>
          <w:szCs w:val="20"/>
          <w:color w:val="auto"/>
        </w:rPr>
      </w:pPr>
    </w:p>
    <w:p>
      <w:pPr>
        <w:ind w:left="220" w:right="20" w:hanging="212"/>
        <w:spacing w:after="0" w:line="259"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EFT Processing Segment, which processes transactions for a network of 10,128 ATMs and approximately 54,000 POS terminals across Europe, the Middle East and Asia Pacific. We provide comprehensive electronic payment solutions consisting of ATM network participation; outsourced ATM and POS management solutions; credit and debit card outsourcing; card issuing and merchant acquiring services. Through this segment, we also offer a suite of integrated EFT software solutions for electronic payment and transaction delivery systems.</w:t>
      </w:r>
    </w:p>
    <w:p>
      <w:pPr>
        <w:spacing w:after="0" w:line="78" w:lineRule="exact"/>
        <w:rPr>
          <w:rFonts w:ascii="Arial" w:cs="Arial" w:eastAsia="Arial" w:hAnsi="Arial"/>
          <w:sz w:val="18"/>
          <w:szCs w:val="18"/>
          <w:b w:val="1"/>
          <w:bCs w:val="1"/>
          <w:color w:val="auto"/>
        </w:rPr>
      </w:pPr>
    </w:p>
    <w:p>
      <w:pPr>
        <w:ind w:left="220" w:right="40" w:hanging="212"/>
        <w:spacing w:after="0" w:line="25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electronic distribution of prepaid mobile airtime and other prepaid products and collection services for various prepaid products, cards and services. We are one of the largest international providers of prepaid mobile airtime processing. Including terminals operated by unconsolidated subsidiaries, we operate a network of approximately 430,000 POS terminals providing electronic processing of prepaid mobile airtime top-up services in Europe, the Middle East, Asia Pacific and North America. Through this segment, we are one of the largest international providers of prepaid mobile airtime processing.</w:t>
      </w:r>
    </w:p>
    <w:p>
      <w:pPr>
        <w:spacing w:after="0" w:line="80" w:lineRule="exact"/>
        <w:rPr>
          <w:rFonts w:ascii="Arial" w:cs="Arial" w:eastAsia="Arial" w:hAnsi="Arial"/>
          <w:sz w:val="18"/>
          <w:szCs w:val="18"/>
          <w:b w:val="1"/>
          <w:bCs w:val="1"/>
          <w:color w:val="auto"/>
        </w:rPr>
      </w:pPr>
    </w:p>
    <w:p>
      <w:pPr>
        <w:ind w:left="220" w:right="100" w:hanging="212"/>
        <w:spacing w:after="0" w:line="312" w:lineRule="auto"/>
        <w:tabs>
          <w:tab w:leader="none" w:pos="22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consumer to consumer money transfer services. We offer this service through a sending network of agents and Company-owned stores primarily in Europe and North America, disbursing money transfers through a worldwide payer network. Bill payment services are offered primarily in the U.S. Based on revenues and volumes, through this segment, we are the third-largest global money transfer company.</w:t>
      </w:r>
    </w:p>
    <w:p>
      <w:pPr>
        <w:spacing w:after="0" w:line="1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five processing centers in Europe, two in Asia Pacific and two in North America. We have 23 principal offices in Europe, one in the Middle East, five in Asia Pacific and six in North America. Our executive offices are located in Leawood, Kansas, USA.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first company in the Euronet group was established in 1994 as Euronet Bank Access Kft., a Hungarian limited liability company. We began operations in 1995, setting up a processing center in Budapest, Hungary and installing our first ATMs in Hungary, followed by Poland and Germany. The Euronet group was reorganized on March 6, 1997 in connection with its initial public offering, and at that time the operating entities of the Euronet group became wholly-owned subsidiaries of Euronet Services Inc., a Delaware corporation. We changed our name from Euronet Services Inc. to Euronet Worldwide, Inc. in August 2001.</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Until December 1998, we devoted substantially all of our resources to establishing and expanding the EFT Processing Segment’s ATM network and outsourced ATM management services business in Europe: including Hungary, Poland, the Czech Republic, Croatia and Germany. We subsequently expanded our presence to the Middle East, Greece, Slovakia, India, Romania, Bulgaria, Serbia, Ukraine and China. We further expanded the product offerings of the EFT Processing Segment through the 2005 acquisition of Instreamline S.A., a Greek company that provides credit card and POS outsourcing services in addition to debit card and transaction gateway switching services in Greece and the Balkan region.</w:t>
      </w:r>
    </w:p>
    <w:p>
      <w:pPr>
        <w:spacing w:after="0" w:line="13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December 1998, we acquired Arkansas Systems, Inc. (now known as “Euronet USA”), a U.S.-based company that produces electronic payment and transaction delivery systems software for retail banks internationally. In 2007, we combined our EFT and Software segments as both businesses are strategically aligned wherein our software segment is working primarily on supporting our EFT service offerings and processing centers across Europe, the Middle East and Asia Pacific. This has resulted in significant cost savings for us in comparison to using third-party licensing and maintenance options.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2003, Euronet complemented its existing EFT and Software business by acquiring a third business, e-pay Limited (“e-pay”), which had offices in the U.K. and Australia. e-pay processes transactions for prepaid services, primarily prepaid mobile airtime. We started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reporting e-pay’s results in a new segment called the Prepaid Processing Segment. The Prepaid Processing Segment subsequently expanded as a result of acquisitions in Germany, Romania, Spain, the U.K. and the U.S. and the establishment of new offices in New Zealand, Poland, India and Italy.</w:t>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2007, we established the Money Transfer Segment after completing the acquisition of Los Angeles-based RIA, the third-largest global money transfer company. Established in 1987, RIA originates and terminates transactions through a network of sending agents and company-owned stores located throughout Europe and North America and an extensive payer network located in multiple countries. The geographic, economic and relationship synergies between RIA and our EFT and Prepaid businesses are substantial. We are working to leverage our existing operations and customer base in both segments to help RIA expand its remittance services across many markets around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Developments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2007, our EFT Processing Segment entered the cross-border merchant processing and acquiring business through the execution of an agreement with a large petrol retailer in Central Europe. Under the agreement, Euronet is required to facilitate the migration of the petrol retailer’s decentralized acquiring operations at petrol stations in 12 countries to a single central Single European Payments Area (“SEPA”) compliant cross-border processing platform developed by Euronet. While limited resources were committed to this project in 2007, we significantly increased our commitment in 2008 for the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To date, we have successfully migrated the retailer’s petrol stations in five countries in Central and Eastern Europe to our SEPA compliant processing platform and expect to roll out additional countries in 2009. Our pioneering efforts in launching the first SEPA compliant cross-border merchant acquiring solution in Europe was recognized by leading industry experts at the Cards International Global Awards held in Brussels in June 2008 as “Merchant Acquirer of the Year.”</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Prepaid Processing Segment, we launched prepaid operations in Greece by signing all three mobile operators in the country and our first retail customer. According to industry sources, currently, there are about 10 million prepaid subscribers in Greece, of which approximately 10% top-up through electronic distribution. During 2008, we were able to significantly strengthen our prepaid position in Australia by taking advantage of shifts in the competitive landscape as a result of our main competitor ceasing business. In our Money Transfer Segment, we entered a new market with the launch of money transfer send operations in Belgium.</w:t>
      </w:r>
    </w:p>
    <w:p>
      <w:pPr>
        <w:spacing w:after="0" w:line="1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fourth quarter 2008, we performed our annual goodwill impairment test and determined that certain goodwill and other intangible assets were impaired and we recorded $220.1 million in impairment charges. See Note 10, Goodwill and Acquired Intangible Assets, Net, to the Consolidated Financial Statements for a further discussion of this non-cash charge.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18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19, Business Segment Information,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EFT Processing Segment provides outsourcing and network services to financial institutions, primarily in the developing markets of Central, Eastern and Southern Europe (Hungary, Poland, the Czech Republic, Croatia, Romania, Slovakia, Serbia, Greece, Bulgaria and Ukraine), the Middle East and Asia Pacific (India and China), as well as in certain developed countries of Western Europe and North America. We provide these services either through our Euronet-owned ATMs or through contracts under which we operate ATMs on behalf of financial institutions. Although all of these markets present opportunities for expanding the sales of our services, we believe opportunities for growth in the ATM services business are greater in our developing markets.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major source of revenue generated by our ATM network is recurring monthly management fees and transaction-based fees. We receive fixed monthly fees under many of our outsourced management contracts. This element of revenue has been increasing over the last few years. Revenue sources for the EFT Processing Segment also include POS and credit and debit card network management revenue and prepaid mobile phone recharge revenue from ATMs or mobile phone handsets and ATM advertising revenue. The number of ATMs we operate decreased to 10,128 at December 31, 2008 from 11,347 at December 31, 2007. The reduction in ATMs was largely due to the Service Agreement with Bank Machine Limited (“Bank Machine”) in the U.K. expiring and not being renewed in the first quarter 2008.</w:t>
      </w:r>
    </w:p>
    <w:p>
      <w:pPr>
        <w:spacing w:after="0" w:line="15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monitor the number of transactions made by cardholders on our ATM network. These include cash withdrawals, balance inquiries, deposits, mobile phone airtime recharge purchases and certain denied (unauthorized) transactions. We do not bill certain transactions on our network to financial institutions, and we have excluded these transactions for reporting purposes. The number of transactions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processed over our entire ATM network has increased over the last five years at a compound annual growth rate (“CAGR”) of approximately 32%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2005</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2008</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EFT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232.5</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361.5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463.6</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603.8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704.2</w:t>
            </w:r>
          </w:p>
        </w:tc>
      </w:tr>
    </w:tbl>
    <w:p>
      <w:pPr>
        <w:spacing w:after="0" w:line="160"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Our processing centers for the EFT Processing Segment are located in Budapest, Hungary; Mumbai, India; Belgrade, Serbia; and Beijing, China. They are staffed 24 hours a day, seven days a week and consist of production IBM iSeries computers, which run the Euronet GoldNet ATM software package.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Euronet offers outsourced management services to financial institutions and other organizations using our processing centers’ electronic financial transaction processing software. Our outsourced management services include management of existing ATM networks, development of new ATM networks, management of POS networks, management of credit and debit card databases and other financial processing services. These services include 24-hour monitoring of each ATM’s status and cash condition, coordinating the cash delivery and management of cash levels in each ATM and providing automatic dispatches for necessary service calls. We also provide real-time transaction authorization, advanced monitoring, network gateway access, network switching, 24-hour customer service, maintenance, cash settlement, forecasting and reporting. Since our infrastructure can support a significant increase in transactions, any new outsourced management services agreements should provide additional revenue with lower incremental cost.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9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Euronet-branded ATM network in Central and Eastern Europe is managed by a processing center that uses our internally developed Integrated Transaction Management</w:t>
      </w:r>
      <w:r>
        <w:rPr>
          <w:rFonts w:ascii="Arial" w:cs="Arial" w:eastAsia="Arial" w:hAnsi="Arial"/>
          <w:sz w:val="14"/>
          <w:szCs w:val="14"/>
          <w:color w:val="auto"/>
        </w:rPr>
        <w:t>®</w:t>
      </w:r>
      <w:r>
        <w:rPr>
          <w:rFonts w:ascii="Arial" w:cs="Arial" w:eastAsia="Arial" w:hAnsi="Arial"/>
          <w:sz w:val="17"/>
          <w:szCs w:val="17"/>
          <w:color w:val="auto"/>
        </w:rPr>
        <w:t xml:space="preserve"> (“ITM”) core software solution. The ATMs in our network are able to process transactions for holders of credit and debit cards issued by or bearing the logos of financial institutions and international card organizations such as American Express</w:t>
      </w:r>
      <w:r>
        <w:rPr>
          <w:rFonts w:ascii="Arial" w:cs="Arial" w:eastAsia="Arial" w:hAnsi="Arial"/>
          <w:sz w:val="14"/>
          <w:szCs w:val="14"/>
          <w:color w:val="auto"/>
        </w:rPr>
        <w:t>®</w:t>
      </w:r>
      <w:r>
        <w:rPr>
          <w:rFonts w:ascii="Arial" w:cs="Arial" w:eastAsia="Arial" w:hAnsi="Arial"/>
          <w:sz w:val="17"/>
          <w:szCs w:val="17"/>
          <w:color w:val="auto"/>
        </w:rPr>
        <w:t>, Diners Club International</w:t>
      </w:r>
      <w:r>
        <w:rPr>
          <w:rFonts w:ascii="Arial" w:cs="Arial" w:eastAsia="Arial" w:hAnsi="Arial"/>
          <w:sz w:val="14"/>
          <w:szCs w:val="14"/>
          <w:color w:val="auto"/>
        </w:rPr>
        <w:t>®</w:t>
      </w:r>
      <w:r>
        <w:rPr>
          <w:rFonts w:ascii="Arial" w:cs="Arial" w:eastAsia="Arial" w:hAnsi="Arial"/>
          <w:sz w:val="17"/>
          <w:szCs w:val="17"/>
          <w:color w:val="auto"/>
        </w:rPr>
        <w:t>, Visa</w:t>
      </w:r>
      <w:r>
        <w:rPr>
          <w:rFonts w:ascii="Arial" w:cs="Arial" w:eastAsia="Arial" w:hAnsi="Arial"/>
          <w:sz w:val="14"/>
          <w:szCs w:val="14"/>
          <w:color w:val="auto"/>
        </w:rPr>
        <w:t>®</w:t>
      </w:r>
      <w:r>
        <w:rPr>
          <w:rFonts w:ascii="Arial" w:cs="Arial" w:eastAsia="Arial" w:hAnsi="Arial"/>
          <w:sz w:val="17"/>
          <w:szCs w:val="17"/>
          <w:color w:val="auto"/>
        </w:rPr>
        <w:t>, MasterCard</w:t>
      </w:r>
      <w:r>
        <w:rPr>
          <w:rFonts w:ascii="Arial" w:cs="Arial" w:eastAsia="Arial" w:hAnsi="Arial"/>
          <w:sz w:val="14"/>
          <w:szCs w:val="14"/>
          <w:color w:val="auto"/>
        </w:rPr>
        <w:t>®</w:t>
      </w:r>
      <w:r>
        <w:rPr>
          <w:rFonts w:ascii="Arial" w:cs="Arial" w:eastAsia="Arial" w:hAnsi="Arial"/>
          <w:sz w:val="17"/>
          <w:szCs w:val="17"/>
          <w:color w:val="auto"/>
        </w:rPr>
        <w:t>/Europay and China Union Pay organizations. This ability is accomplished through our agreements and relationships with these institutions, international credit and debit card issuers and international associations of card issuers.</w:t>
      </w:r>
    </w:p>
    <w:p>
      <w:pPr>
        <w:spacing w:after="0" w:line="1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 typical ATM transaction, the transaction is routed from the ATM to our processing center and then to the card issuer for authorization. Once authorization is received, the authorization message is routed back to the ATM and the transaction is completed. The card issuer is responsible for authorizing ATM transactions processed on our ATMs. This process normally takes less than 30 seconds.</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We do not charge cardholders a transaction or access fee for using our ATMs.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withdrawals,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balance inquiries,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transactions not completed because the relevant card issuer does not give authorization,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prepaid telecommunication recharges.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agreements with financial institutions and international card organizations generally provide that all credit and debit cards issued by the customer financial institution or organization may be used at all ATM machines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international card 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although we have contracted with a financial institution for cash supply in the Czech Republic. 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U.S. dollars or are adjusted for inflation. Transaction fees are billed to financial institutions and card organizations with payment terms typically no longer than one month.</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9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value-added services in addition to basic cash withdrawal and balance inquiry transactions. These value added services include electronic bill payment, ATM advertising and the sale of prepaid mobile airtime recharge services from ATMs or mobile phone devices. We are committed to the ongoing development of innovative new products and services to offer our EFT processing customers and intend to implement additional services as markets develop.</w:t>
      </w:r>
    </w:p>
    <w:p>
      <w:pPr>
        <w:spacing w:after="0" w:line="11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Poland, Hungary, Croatia, Romania, Czech Republic, Slovakia and India, we have established electronic connections to some or all of the major mobile phone operators. These connections permit us to transmit to them electronic requests to recharge mobile phone accounts. We operate networks of ATMs in these markets to offer customers of the mobile operators the ability to credit their prepaid mobile phone accounts.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expanded our outsourced management solutions beyond ATMs to include credit and debit card and POS terminal management services. We support these services using our proprietary software products. Since 1996, we have sold advertising on our ATM network. Clients can display their advertisements on our ATM video screens, on the ATM receipts and on coupons dispensed with cash from the ATMs.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offer a suite of integrated EFT software solutions for electronic payments and transaction delivery systems. We generate revenue for our software products from licensing, professional services and maintenance fees for software and sales of related hardware, primarily to financial institutions around the world.</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Commencing in February 2008, Euronet offered multinational merchants a SEPA compliant cross-border transaction processing solution. SEPA is an area in which all electronic payments can be made and received in the euro, whether between or within national boundaries, under the same basic conditions, rights and obligations, regardless of their location. This single centralized acquiring platform enables merchants to benefit from cost savings and faster, more efficient payments transfer.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Financial institutions in both developing and developed markets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services agreements and continued development of our credit and debit card outsourcing business should provide continued growth while minimizing our capital investment.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continually strive to make our own ATM networks more efficient by eliminating underperforming ATMs and installing ATMs in more desirable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Moreover, we will make selective additions to our own ATM network if we see market demand and profit opportunities.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EFT Processing Segment’s ATM and Mobile Recharge line of services are strengthened through complementary services offered by our Prepaid Processing Segment, where we provide top-up services through POS terminals. We intend to expand our technology and business methods into other markets where we operate and expect to leverage our relationships with mobile operators and financial institutions to facilitate expansion.</w:t>
      </w:r>
    </w:p>
    <w:p>
      <w:pPr>
        <w:spacing w:after="0" w:line="1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 and external. Our ITM software is used by our Budapest, Mumbai, Beijing and Belgrade processing centers in our EFT Processing Segment, including our Euronet Middle East joint venture processing center in Bahrain, resulting in cost savings and added value compared to third-party license and maintenance options. Furthermore, we have identified opportunities to provide processing services to our software solutions customers and we believe our ability to develop, adapt and control our own software gives us credibility with our processing services customers. We have been able to enter into agreements under which we contribute the right to use our ITM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software in lieu of cash as our initial capital contributions to new transaction processing joint ventures. Such contributions permit us to enter new markets without significant cash outlays.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significantly impacted by seasonality during the fourth quarter and first quarter of each year due to higher transaction levels during the holiday season and lower levels after the holiday season. We have estimated that, absent unusual circumstances (such as the impact of new acquisitions or unusually high levels of growth due to market factors), the overall revenue realized in the EFT Processing Segment is likely to be approximately 5% to 10% lower during the first quarter of each year than in the fourth quarter of the year. We have historically experienced minimal differences between the second and third quarters of each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individual customer of the EFT Processing Segment makes up greater than 10% of consolidated total revenue. We do not have any government contracts in the EFT Processing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None of these competitors have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second quarter 2008, the Company committed to a plan to sell Euronet Essentis Limited (“Essentis”), a U.K. software entity, in order to focus its investments and resources on its transaction processing businesses. The Company is in the process of selling the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offer prepaid mobile phone top-up services and certain other prepaid products on a network of 430,000 POS terminals across 223,000 retailer locations in Europe, the Middle East, Asia Pacific and North America. We are one of the largest international providers of prepaid processing, or “top-up,” services for prepaid mobile airtime. Our processing centers for the Prepaid Processing Segment are located in Basildon, U.K.; Martinsried, Germany; Madrid, Spain; and Leawood, Kansas, U.S.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2003, we have continually expanded our prepaid business and plan to further expand our operations in our existing markets and other markets by taking advantage of our expertise together with relationships with mobile operators and retailers. In addition to prepaid airtime, we distribute other prepaid products across our retail networks, including prepaid debit cards, gift cards, prepaid mobile content such as music, ringtones and games,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major source of revenue generated by our Prepaid Processing Segment is commissions or processing fees received from telecommunications service providers for the sale and distribution of prepaid mobile airtime. We also generate revenue from commissions earned from the distribution of other prepaid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“postpaid” accounts, where usage is billed at the end of each billing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“prepaid” accounts, where customers pay in advance by crediting their accounts prior to usage.</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mobile operators in the U.S. and certain European countries have provided service principally through postpaid accounts, the trend in many other countries in Europe and the rest of the world is to offer wireless service on a prepaid basis. It is believed that this shift is driven by customers’ perception that prepaid products better meet their needs and enable them to better control their monthly wireless expenditures.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Currently, two principal methods are available to credit prepaid accounts (referred to as “top-up” of accounts). The first is through the purchase of “scratch cards” bearing a PIN (personal identification number) that, when entered into a customer’s mobile phone</w:t>
      </w:r>
    </w:p>
    <w:p>
      <w:pPr>
        <w:sectPr>
          <w:pgSz w:w="11900" w:h="16838" w:orient="portrait"/>
          <w:cols w:equalWidth="0" w:num="1">
            <w:col w:w="11400"/>
          </w:cols>
          <w:pgMar w:left="240" w:top="41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account, credits the account by the value of airtime purchased. Scratch cards are sold predominantly through retail outlets. The second is through various electronic means of crediting accounts using POS terminals. Electronic top-up (or “e-top-up”) methods have several advantages over scratch cards, primarily because electronic methods do not require the cost of creation, distribution and management of a physical inventory of cards or involve the risk of losses stemming from fraud, theft and mismanagement. Prior to 2004, scratch cards were the predominant method of crediting mobile phone accounts in most developed markets. However, since 2004, a shift has occurred in these markets away from usage of scratch cards and e-top-up is now the predominant method.</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Prepaid Processing Segment processes the sale of prepaid mobile phone minutes to consumers through networks of POS terminals and direct connections to the electronic payment systems of retailers. In some markets, we enter into agreements with mobile phone operators and connect directly to their back-office systems. In other markets, we distribute mobile phone time by connecting directly to the mobile operators or by purchasing PINs that enable airtime top-up. We then distribute the mobile phone time electronically through POS terminals either via a direct credit from the mobile operator to the mobile phone or via the sales of PINs. The business has grown rapidly over the past few years as new retailers have been added and prepaid airtime distribution has switched from scratch cards to electronic means.</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prepaid markets, we expand our distribution networks through the signing of new contracts with retailers, and in some markets, through the acquisition of existing networks. We also seek to improve the results of our existing networks through the addition of new mobile operators in markets where we do not already distribute all of the available prepaid time and the addition of other prepaid products not necessarily related to the mobile operators. In addition, in the U.S. we are expanding our sales presence in all sales segments. We are continuing to focus on our growing network of distributors, generally referred to as Independent Sales Organizations (“ISOs”), that contract with retailers in their network to distribute PINs from their terminals. We continue to increase our focus on direct relationships with chains of independent convenience stores and other larger scale retailers, where we can negotiate agreements with the merchant on a multiyear basis.</w:t>
      </w:r>
    </w:p>
    <w:p>
      <w:pPr>
        <w:spacing w:after="0" w:line="14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 distribute PINs, we establish an electronic connection with the POS terminals and maintain systems that monitor transaction levels at each terminal. As sales to customers of mobile airtime are completed, the customer pays the retailer and the retailer becomes obligated to make settlement to us of the principal amount of the phone time sold. We maintain systems that enable us to monitor the payment practices of each retailer.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process prepaid mobile airtime top-up transactions on our POS network across Europe, the Middle East, Asia Pacific and North America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airtime. The customer will select a predefined amount of prepaid airtime from the carrier of his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operator or drawing from our inventory of PINs, the purchased amount of airtime will be either credited to the consumer’s account or delivered via a PIN printed by the terminal and given to the consumer. In the case of PINs printed by the terminal, the consumer must then call a mobile operator’s toll-free number to activate the purchased airtime to this consumer’s mobile account.</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One difference in our relationships with various retailers and distributors is how we charge for our services. For distributors and certain very large retailers we charge a processing fee. However, the majority of our transactions occur with smaller retailer clients. With these clients, we receive a commission on each transaction that is withheld from the payments made to the mobile operator, and we share that commission with the retailers.</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monitor the number of transactions made on our prepaid networks. The number of transactions processed on our entire POS network has increased over the last five years at a CAGR of approximately 33%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color w:val="auto"/>
              </w:rPr>
              <w:t>(in millions)</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2004</w:t>
            </w:r>
          </w:p>
        </w:tc>
        <w:tc>
          <w:tcPr>
            <w:tcW w:w="14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2005</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4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5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2008</w:t>
            </w:r>
          </w:p>
        </w:tc>
      </w:tr>
      <w:tr>
        <w:trPr>
          <w:trHeight w:val="224"/>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Prepaid processing transactions per year</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228.6</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348.0</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457.8</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634.8</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713.1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provide our prepaid services through POS terminals installed in retail outlets or, in the case of major retailers, through direct connections between their ECR systems and our processing centers. In markets where we operate e-pay technology (the U.K., Australia, Poland, Ireland, New Zealand, Spain, Greece, India, Italy and the U.S.), we generally own and maintain the POS terminals. In Germany, Austria and Romania, the terminals are sold to the retailers or to distributors who service the retailer. Our agreements with major retailers for the POS services typically have one to three-year terms. These agreements include terms regarding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have historically controlled the sale of mobile phone scratch cards, and they now are key intermediaries in the sale of e-top-up.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POS network can be used for the distribution of other products and services. Although prepaid mobile airtime is the primary product distributed through our Prepaid Processing Segment, additional products include prepaid long distance calling card plans, prepaid Internet plans, prepaid debit cards, prepaid gift cards, bill payment, money transfer and prepaid mobile content such as music, ringtones and games. In certain locations, the terminals used for prepaid services can also be used for electronic funds transfer to process credit and debit card payments for retail merchandise.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 Strategy</w:t>
      </w:r>
    </w:p>
    <w:p>
      <w:pPr>
        <w:spacing w:after="0" w:line="18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plan to expand our prepaid processing business in our existing markets and new markets by taking advantage of our expansive distribution network and existing relationships with mobile phone operators and retailers. Although all of these markets present opportunities for expanding the sales of our services, we believe opportunities for transaction growth in the Prepaid Processing Segment are greater in Poland, Germany, Italy, Romania and India, where there is organic growth of prepaid products in the prepaid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prepaid business is significantly impacted by seasonality during the fourth quarter and first quarter of each year due to the higher transaction levels during the holiday season and lower levels following the holiday season. We expect that, absent unusual circumstances (such as the impact of new acquisitions or unusually high levels of growth due to market factors), the overall revenue realized is likely to be 5% to 10% lower during the first quarter than in the fourth quarter of the year. We have historically experienced minimal differences between the second and third quarters of each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8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No individual customer of our Prepaid Processing Segment makes up greater than 10% of consolidated total revenue. In 2008, we did not have any government contracts in any country within the Prepaid Processing Segment; our first government contract is with the London transport agency and that contract will not be implemented until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of their own through which they offer top-up of their own products. None of these companies is dominant in any of the markets where we do business.</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however, that we currently have a competitive advantage due to various factors. First, in the U.K., Germany and Australia, our acquired subsidiaries have been concentrating on the sale of electronic prepaid mobile airtime for longer than most of our competitors and have significant market presence in those markets. In addition, we offer complementary ATM and mobile recharge solutions through our EFT processing centers. We believe this improves our ability to solicit the use of networks of devices owned by third parties (for example, banks and switching networks) to deliver recharge services. In selected developing markets, we expect to establish a first to market advantage by rolling out terminals rapidly before competition is established. We also have an extremely flexible technical platform that enables us to tailor POS solutions to individual merchant and mobile operator requirements where appropriate. The GPRS (wireless) technology, designed by our Transact subsidiary, will also give us an advantage in remote areas where landline phone lines are of lesser quality or nonexistent.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principal competitive factors in this area include price (that is, the level of commission paid to retailers for each recharge transaction), breadth of mobile operator product and up-time offered on the system. Major retailers with high volumes are in a position to demand a larger share of the commission, which increases the amount of competition among service providers. Recently, we are seeing signs that mobile operators may wish to take over and expand their own distribution networks of prepaid time, and in doing so, they may become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began reporting the results of this segment in the second quarter 2007 after we completed the acquisition of RIA, which established Euronet the third-largest global money transfer company. Our Money Transfer segment processed approximately $6 billion in money transfers in 2008. We originate transfers through a network of sending agents, including Company-owned stores located in Europe and North America and disburse money transfers through an extensive payer network in more than 100 countries.</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sending agent network includes our own stores, large/medium size regional retailers,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The sender can track the progress of their transfer through RIA’s customer service representatives, and funds are delivered quickly to their beneficiary via our extensive payout network, which includes large banks and non-bank financial institutions, post offices and large retailers. As of December 31, 2008, we provided consumer-to-consumer money transfer services through a network of approximately 75,800 locations. Our processing center for the Money Transfer Segment is located in Cerritos, California and we operate call centers in El Salvador and Spain and provide multi-lingual customer service for both our agents and consumers.</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money transfer sending network is also used to offer other products and services. Additional product offerings through our sending agents include bill payment services enabling over-the-counter payments for utilities, wireless and cable bills; money orders; prepaid debit cards; comprehensive check cashing service for a wide variety of issued checks; and foreign currency exchange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Services</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offer consumer-to-consumer money transfer services primarily through three channels at agent locations and company-owned stores: by phone (“TeleRIA”), via computer (“RIA Online”) and card-based over a POS terminal (“Rialink”). All three types of transactions start with a consumer in an agent location or own store. 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In an online transaction, customers provide the required information to the agent who enters the data into our online platform via a computer using a unique username and password. The real-time online connection we maintain with the agent enables the agent to generate a receipt and complete the transaction. Transactions through our newest channel, Rialink, are similar to online transactions, but are initiated over a POS terminal once the customer has completed a one-time enrollment over the phone with our customer service representative. After completing a successful pilot, Rialink has become a part of our main product offering and has shown great results in high volume stores and agent locations in our select send markets due to the speed, efficiency and ease of use of the POS transfer method, resulting in increased customer retention. We intend to roll out our Rialink money transfer product across more markets and locations. We will continue to enhance this product offering by adding a loyalty program to the card and combining it with prepaid debit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 in the Money Transfer Segment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in Europe and North America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Through RIA, we have established high-potential money transfer corridors from the U.S. and internationally beyond the traditional U.S. to Mexico corridor. In 2007, the Company started to leverage synergies and cross-selling opportunities between business segments to further expand RIA’s global money transfer send and receive network. Based on the successful outcome of the cross-sell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initiatives, our key focus in 2009 and beyond is to continue to take advantage of cross-selling opportunities with our Prepaid and EFT Segments by providing prepaid services through RIA’s stores and agents in multiple countries; offering our money transfer services at ethnically-focused prepaid retail locations in key markets; and leveraging our banking and merchant/retailer relationships to expand our agent network in high-growth corridors in Europe and Asia to further grow our market share in the multi-billion dollar money transfer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individual customer of our Money Transfer Segment makes up greater than 10% of consolidated total revenue. There are no government contracts with any country within the Money Transfer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Global Payments Inc. and others,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 In 2007, we made significant investments to develop new cross-border merchant acquiring capabilities that we are now offering to multinational merchants.</w:t>
      </w:r>
    </w:p>
    <w:p>
      <w:pPr>
        <w:spacing w:after="0" w:line="14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our Prepaid Processing Segment, development has focused on expanding the types of prepaid products and services available to consumers over our network to include, for example, prepaid gift and debit cards, and bill payment capabilities. This is intended to make our offerings more attractive to retailers.</w:t>
      </w:r>
    </w:p>
    <w:p>
      <w:pPr>
        <w:spacing w:after="0" w:line="8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made an ongoing commitment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$3.4 million, $3.1 million and $3.1 million in 2008, 2007 and 2006, respectively. Amounts capitalized were $2.0 million, $1.4 million and $1.1 million for the years ended December 31, 2008, 2007 and 2006, respectively.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02"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For information on results from operations, property and equipment, and total assets by geographic location, please see Note 19, Business Segment Information, to the Consolidated Financial Statements. Additionally, see Item 1A – Risk Factors, for risk factors related to foreign operations.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had approximately 2,500 employees as of December 31, 2008 and 2007 and 1,100 employees as of December 31, 2006. The increase during 2007 was primarily the result of the acquisition of RIA, which has a large call center staff, discussed in Note 6, Acquisitions, to the Consolidated Financial Statements. We believe our future success will depend in part on our ability to continue to recruit, retain and motivate qualified management, technical and administrative employees. Currently, no union represents any of our employees, except in our Spanish subsidiary. We experienced only one minor (five day) work stoppage by our workforce in France and we consider relations with our employees to be good.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foreign markets and other governmental jurisdictions where we operate.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German law, only licensed financial institutions may operate ATMs in Germany. Therefore, we may not operate our own ATM network in Germany without a sponsor, which is Bankhaus August Lenz (“BAL”). In that market, we act only as a subcontractor providing certain ATM-related services to BAL. As a result, our activities in the German market currently are entirely dependent upon the continuance of our agreement with BAL, or the ability to enter into a similar agreement with another institution in the event of the termination of such agreement. While we believe, based on our experience, that we should be able to find a replacement for BAL if the agreement with BAL were to be terminated for any reason, the inability to maintain the BAL agreement or to enter into a similar agreement with another institution upon a termination of the BAL agreement could have a material adverse effect on our operations in Germany. For further information, see Item 1A – Risk Factors.</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 of payment instruments. Typical requirements include the meeting of minimum net worth requirements, maintaining permissible investments (e.g., cash, agent receivables, and government –backed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 Many states also require money transmitters, issuers of payment instruments and their agents to comply with federal and/or state anti-money laundering laws and regulations. In summary, our Money Transfer Segment, as well as our agent network, is subject to regulations issued by the different state regulators who license us,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bodies in the U.S. and abroad may impose additional rules on the conduct of our Money Transfer Segment that could have a significant impact on our operations and our agent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relevant information relating to each money transfer or payment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0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comply with the GLBA and any state privacy provision by posting a privacy notice on the receipts provided to the consumers upon completion of a transaction. In addition, we comply with the Directive using the safe harbor permitted by the Directive by filing with the U.S. Department of Commerce, publicly declaring our privacy policy for information collected outside of the U.S., posting our privacy policy on our Web site and requiring our agents in the European Union to notify customers of the privacy policy.</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an area that is rapidly evolving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 independently examined on an annual basis. In addition, we continue to enhance our anti-money laundering and anti-terrorist financing compliance policy, procedures, monitoring systems and staffing levels.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3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brand names of “RIA,” “RIA Envia” and “AFEX,”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our Prepaid Processing Segment, we have registered the “e-pay” logo trademark in the U.K. and Australia. We also hold trademarks for our prepaid operating subsidiaries in other jurisdictions, including PaySpot, Inc. (“PaySpot”) in the U.S. We cannot be certain that we will be entitled to use the e-pay trademark in any markets other than those in which we have registered the trademark. In 2003, we filed a series of patent applications for our POS recharge and certain other products in support of e-pay and PaySpot technology. As of the date of this report, these patents are still pending. We also hold a patent license covering certain of PaySpot’s operations in the 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the Prepaid Processing business is an area in which many “process patents” have been filed in the U.S. over recent years covering processes that are in wide use in the industry.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2009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320" w:type="dxa"/>
            <w:vAlign w:val="bottom"/>
          </w:tcPr>
          <w:p>
            <w:pPr>
              <w:spacing w:after="0"/>
              <w:rPr>
                <w:sz w:val="14"/>
                <w:szCs w:val="14"/>
                <w:color w:val="auto"/>
              </w:rPr>
            </w:pPr>
          </w:p>
        </w:tc>
        <w:tc>
          <w:tcPr>
            <w:tcW w:w="672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Position Held</w:t>
            </w: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Kevin J. Caponecchi</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42</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Rick L. Weller</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2002</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Chief Financial Officer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Jeffrey B. Newman</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54</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 General Counsel</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Juan C. Bianchi</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38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Roger Heinz</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48</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2008</w:t>
            </w:r>
          </w:p>
        </w:tc>
        <w:tc>
          <w:tcPr>
            <w:tcW w:w="7040" w:type="dxa"/>
            <w:vAlign w:val="bottom"/>
            <w:gridSpan w:val="2"/>
          </w:tcPr>
          <w:p>
            <w:pPr>
              <w:ind w:left="320"/>
              <w:spacing w:after="0"/>
              <w:rPr>
                <w:sz w:val="20"/>
                <w:szCs w:val="20"/>
                <w:color w:val="auto"/>
              </w:rPr>
            </w:pPr>
            <w:r>
              <w:rPr>
                <w:rFonts w:ascii="Arial" w:cs="Arial" w:eastAsia="Arial" w:hAnsi="Arial"/>
                <w:sz w:val="18"/>
                <w:szCs w:val="18"/>
                <w:color w:val="auto"/>
              </w:rPr>
              <w:t>Senior Vice President — Managing Director, Europe EFT Processing Segment</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Gareth Gumbley</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36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2008</w:t>
            </w: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Vice President — Managing Director, Prepaid Processing Segment</w:t>
            </w:r>
          </w:p>
        </w:tc>
      </w:tr>
    </w:tbl>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MICHAEL J. BROWN is one of the founders of Euronet and has served as our Chairman of the Board and Chief Executive Officer since 1996. He also co-founded our predecessor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3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University of Central Missouri.</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District of Columbia and Paris bars. He received a B.A. in Political Science and French from Ohio University in 1976 and law degrees from Ohio State University and the University of Paris.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JUAN C. BIANCHI, Executive Vice President, Managing Director — Money Transfer Segment. Mr. Bianchi joined Euronet subsequent to the acquisition of RIA.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ROGER HEINZ, Senior Vice President, Managing Director — Europe EFT Processing Segment. Mr. Heinz joined Euronet in 1997 as managing director of the Company’s German EFT subsidiary. Most recently, he was managing director in charge of EFT operations in Western Europe and was also responsible for the EFT division’s revenue generation efforts in Central and Eastern Europe.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September 2008, Mr. Heinz took over his current role as Managing Director of the Company’s Europe EFT Processing Segment. Prior to joining Euronet, Mr. Heinz spent 12 years working with NCR in Germany and Poland as sales manager and sales and operations director.</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GARETH GUMBLEY, Senior Vice President, Managing Director — Prepaid Processing Segment. Mr. Gumbley joined Euronet in 2004 as managing director for the Company’s prepaid businesses in Australia and New Zealand. In May 2008, Mr. Gumbley took over his current responsibility as managing director of Euronet’s Prepaid Processing Segment. Prior to joining Euronet, he served as chief executive officer of Dialect Solutions (a News Corporation company), a global Internet payments processor. Mr. Gumbley is a member of the Chartered Institute of Management Accountants and a member of the Australian Institute of Company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Directors or Certain Officers</w:t>
      </w:r>
    </w:p>
    <w:p>
      <w:pPr>
        <w:spacing w:after="0" w:line="18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May 2008, Miro I. Bergman resigned the positions of Executive Vice President and Chief Operations Officer of the Company’s Prepaid Segment. Mr. Bergman continues to be an employee of the Company and to act, on a limited basis, as an advisor to the CEO and executive management team. The Company replaced Mr. Bergman as Chief Operations Officer of the Prepaid Processing Segment through internal recruitment.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Web site addresses are www.euronetworldwide.com and www.eeft.com. We make all Securities and Exchange Commission (“SEC”) public filings, including our annual reports on Form 10-K, quarterly reports on Form 10-Q, current reports on Form 8-K, and all amendments to those reports filed or furnished pursuant to Sections 13(a) or 15(d) of the Exchange Act available on our Web site free of charge as soon as reasonably practicable after these documents are electronically filed with, or furnished to, the SEC. The information on our Web site is not, and shall not be deemed to be a part of this report or incorporated into any other filings we make with the SEC. In addition, the SEC maintains an Internet site at www.sec.gov that contains reports, proxy and information statements, and other information regarding Euronet.</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 site at www.euronetworldwide.com in the “Investors” section.</w:t>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also provide printed copies of these materials to any stockholders, upon request to Euronet Worldwide, Inc., 4601 College Boulevard, Suite 300, Leawood, Kansas, U.S.A. 66211, Attention: Investor Relations.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3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4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a substantial amount of indebtedness. As of December 31, 2008, total liabilities were $981.1 million, of which $321.9 million represents long-term debt obligations, and total assets were $1,440.1 million. Of our total long-term debt obligations, $245.0 million is comprised of contingently convertible debentures that, in certain situations, could be settled in stock.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70" w:lineRule="exact"/>
        <w:rPr>
          <w:sz w:val="20"/>
          <w:szCs w:val="20"/>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Prepayment in full of the obligations under our $290 million Credit Facility may be required six months prior to any required repurchase date under our</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Holders of the $70 million 1.625% debentures have the option to require us to purchase their debentures at par on December 15, 2009, 2014 and 2019, and upon a change in control of the Company. Holders of the $175 million 3.5% debentures have the option to require us to purchase their debentures at par on October 15, 2012, 2015 and 2020, or upon a change in control of the Company. In connection with a recent amendment to our Credit Facility (discussed below), the lenders acknowledged that we have sufficient liquidity with respect to the December 15, 2009 repurchase date for the 1.625% debentures.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Restrictive covenants in our credit facilities may adversely affect us. The Credit Facility contains four financial covenants that we must meet as defined in the agreement: (1) total debt to EBITDA ratio, (2) senior secured debt to EBITDA ratio, (3) EBITDA to fixed charge coverage ratio and (4) minimum Consolidated Net Worth.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48"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recently been experiencing severe disruptions due to the current economic crisis. If we are unable</w:t>
      </w:r>
    </w:p>
    <w:p>
      <w:pPr>
        <w:sectPr>
          <w:pgSz w:w="11900" w:h="16838" w:orient="portrait"/>
          <w:cols w:equalWidth="0" w:num="1">
            <w:col w:w="11420"/>
          </w:cols>
          <w:pgMar w:left="240" w:top="419"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secure additional financing or such financing is not available at acceptable terms, we may be unable to secure financing for growth or refinance our debt obligations, if necessary.</w:t>
      </w:r>
    </w:p>
    <w:p>
      <w:pPr>
        <w:spacing w:after="0" w:line="13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1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the severe liquidity disruptions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interest rate swap agreements covering the period from June 1, 2007 through May 29, 2009 for a notional amount of $50 million that effectively converts that portion of our $190 million variable rate term loan to a fixed interest rate of 7.3% per annum. For the remaining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11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business may suffer from risks related to our recent acquisitions and potential future acquisitions, including our acquisition of RIA during 2007.</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During 2007, we acquired RIA, which was our largest acquisition to date.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85" w:lineRule="exact"/>
        <w:rPr>
          <w:sz w:val="20"/>
          <w:szCs w:val="20"/>
          <w:color w:val="auto"/>
        </w:rPr>
      </w:pPr>
    </w:p>
    <w:p>
      <w:pPr>
        <w:ind w:left="660" w:right="18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92"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may assume unanticipated liabilities and contingencies;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37"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w:t>
      </w:r>
    </w:p>
    <w:p>
      <w:pPr>
        <w:spacing w:after="0" w:line="1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total assets include approximately $613.6 million, or 43%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2008, we determined that certain goodwill and intangible assets of our Spanish prepaid business and our RIA money transfer business were impaired and we recorded a $220.1 million non-cash impairment charge. If operating results in any of our key markets, including the U.S., U.K., Germany, Spain and Australia, deteriorate or our plans do not progress as expected when we acquired these entities or if capital markets depress our value or that of similar companies, we may be required to record an additional impairment write-down of goodwill, intangible assets or other long-lived assets. This could have a material adverse effect on our results of operations and financial condition.</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Like other participants in the money transfer industry, as a result of immigration developments, downturns in certain labor markets and the current economic crisis, growth rates in money transfers from the U.S. to Mexico have slowed. This slowing of growth began during the middle of 2006 and continues to impact money transfer revenues for transactions from the U.S. to Mexico. These issues have also resulted in certain competitors lowering transaction fees and foreign currency exchange spreads in certain markets where we do business in an attempt to limit the impact on money transfer volumes. For 2008, money transfer transactions to Mexico, which</w:t>
      </w:r>
    </w:p>
    <w:p>
      <w:pPr>
        <w:sectPr>
          <w:pgSz w:w="11900" w:h="16838" w:orient="portrait"/>
          <w:cols w:equalWidth="0" w:num="1">
            <w:col w:w="11420"/>
          </w:cols>
          <w:pgMar w:left="240" w:top="419" w:right="239"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represented approximately 32% of total money transfer transactions, decreased by 9.1%. If this trend continues or worsens, or we experience similar trends in our international business, we may be required to record an additional impairment write-down of our goodwill, intangible assets or other long lived assets associated with the Money Transfer Segment.</w:t>
      </w:r>
    </w:p>
    <w:p>
      <w:pPr>
        <w:spacing w:after="0" w:line="15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services; and (iv) our money transfer and bill payment services. The continued expansion and development of our ATM business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install ATMs in an efficient and timely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business into new countries as currently planned;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outsourcing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agreements with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sufficient numbers of ATMs on a timely basis;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six to twelve months or longer. Moreover, banks evaluate a 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currently offer prepaid mobile airtime top-up services in Europe, the Middle East, Asia Pacific and North America. We plan to expand in these and other markets by taking advantage of our existing relationships with mobile phone operators, banks and retailers. This expansion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increase in the number of prepaid mobile phone users;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 In addition, the recessionary economic environment could reduce the level of transactions taking place on our networks, which will have a negative impact on our business.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April through September</w:t>
      </w:r>
    </w:p>
    <w:p>
      <w:pPr>
        <w:sectPr>
          <w:pgSz w:w="11900" w:h="16838" w:orient="portrait"/>
          <w:cols w:equalWidth="0" w:num="1">
            <w:col w:w="11420"/>
          </w:cols>
          <w:pgMar w:left="240" w:top="419" w:right="239"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timeframe coinciding with the increase in worker migration patterns. As a result of these seasonal variations, our quarterly operating results may fluctuate materially and could lead to volatility in the price of our shares.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18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 prolonged economic downturn or recession could materially impact our results from operations. A recessionary economic environment could have a negative impact on mobile phone operators,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prepaid business is dependent on certain factors that vary from market to market.</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Prepaid Processing Segment derives revenues based on processing fees and commissions from mobile and other telecommunication operators and distributors of prepaid wireless products. Growth in our prepaid business in any given market is driven by a number of factors, including the extent to which conversion from scratch cards to electronic distribution solutions is occurring or has been completed, the overall pace of growth in the prepaid mobile phone market, our market share of the retail distribution capacity and the level of commission that is paid to the various intermediaries in the prepaid mobile airtime distribution chain. In mature markets, such as the U.K., New Zealand and Spain, the conversion from scratch cards to electronic forms of distribution is either complete or nearing completion. Therefore, these factors will cease to provide the organic increases in the number of transactions per terminal that we have experienced historically. Also, competition among prepaid distributors results in retailer churn and the reduction of commissions paid by mobile operators,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the number of transactions, driven by acquisitions and organic growth. We do not expect to continue this rate of growth. If we cannot continue to increase our transaction levels and per-transaction fees and commissions continue to decline, the combined impact of these factors could adversely impact our financial results.</w:t>
      </w:r>
    </w:p>
    <w:p>
      <w:pPr>
        <w:spacing w:after="0" w:line="12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prepaid mobile airtime top-up and money transfer businesses may be susceptible to fraud and/or credit risks occurring at the retailer and/or consumer level.</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The failure of agents owing us significant amounts to remit funds to us or to repay such amounts could adversely affect our business, financial condition and results of operations.</w:t>
      </w:r>
    </w:p>
    <w:p>
      <w:pPr>
        <w:spacing w:after="0" w:line="12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mobile phone operators and retailers, our top-up business is subject to the risk of non-renewal of those contracts, or renewal under less favorable terms.</w:t>
      </w:r>
    </w:p>
    <w:p>
      <w:pPr>
        <w:spacing w:after="0" w:line="1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contracts with mobile phone operators to process prepaid mobile airtime recharge services typically have terms of less than three years. Many of those contracts may be canceled by either party upon three months’ notice. Our contracts with mobile phone operators are not exclusive, so these operators may enter into top-up contracts with other service providers. In addition, our top-up service contracts with major retailers typically have terms of one to three years, and our contracts with smaller retailers typically may be canceled by either party upon three to six months’ notice. The cancellation or non-renewal of one or more of our significant mobile phone operator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mobile phone operators could also have a material adverse effect on our business, financial condition or results of operations.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24"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16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1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1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4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w:t>
      </w:r>
    </w:p>
    <w:p>
      <w:pPr>
        <w:spacing w:after="0" w:line="14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Per-transaction fees have declined in certain markets in recent years. If we cannot continue to increase our transaction levels and per-transaction fees generally decline, our results would be adversely affected.</w:t>
      </w:r>
    </w:p>
    <w:p>
      <w:pPr>
        <w:spacing w:after="0" w:line="12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4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Our ability to continue complying with the requirements of OFAC, BSA, FINCEN, the PATRIOT Act and other regulations (both U.S. and foreign) is important to our success in achieving growth and an inability to do this could have an adverse impact on our revenues and earnings. Changes in U.S. and foreign government policies or enforcement toward immigration may have a negative affect on immigration in the U.S. and other countries, which could also have an adverse impact on our money transfer revenues.</w:t>
      </w:r>
    </w:p>
    <w:p>
      <w:pPr>
        <w:spacing w:after="0" w:line="1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1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could have a material adverse impact on our results of operations, financial condition and cash flow.</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5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generally have little control over the ATM transaction fees established in the markets where we operate, and therefore, cannot control any potential reductions in these fees.</w:t>
      </w:r>
    </w:p>
    <w:p>
      <w:pPr>
        <w:spacing w:after="0" w:line="13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144"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12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13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Beijing and Mumbai processing centers. Transactions in the Prepaid Processing Segment are processed through our Basildon, Martinsried, Madrid and Leawood, Kansas processing centers. Transactions in our Money Transfer Segment are processed through our Cerritos,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3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13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The current economic crisis increases the risk that criminals will attempt such data theft.</w:t>
      </w:r>
    </w:p>
    <w:p>
      <w:pPr>
        <w:spacing w:after="0" w:line="1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2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are required under German law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15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German law, only a licensed financial institution may operate ATMs. Because we are not a licensed financial institution we are required to have a ‘‘sponsor’’ bank to conduct our German ATM operations.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Germany or any other market, we could be prevented from doing business in the applicable market.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money transfer based revenue is primarily generated through the use of our agent and correspondent networks. Transaction volumes at existing locations may increase over time and new agents provide us with additional revenue.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to capital needed to capture increased market share.</w:t>
      </w:r>
    </w:p>
    <w:p>
      <w:pPr>
        <w:spacing w:after="0" w:line="14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15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Prepaid Processing Segment</w:t>
      </w:r>
      <w:r>
        <w:rPr>
          <w:rFonts w:ascii="Arial" w:cs="Arial" w:eastAsia="Arial" w:hAnsi="Arial"/>
          <w:sz w:val="17"/>
          <w:szCs w:val="17"/>
          <w:color w:val="auto"/>
        </w:rPr>
        <w:t>— We face competition in the prepaid business in all of our markets. A few multinational companies operate in several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and we therefore compete with them in a number of countries. In other markets, our competition is from smaller, local companies. Major retailers with high volumes are in a position to demand a larger share of commissions, which may compress our margins.</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Money Transfer Segment</w:t>
      </w:r>
      <w:r>
        <w:rPr>
          <w:rFonts w:ascii="Arial" w:cs="Arial" w:eastAsia="Arial" w:hAnsi="Arial"/>
          <w:sz w:val="16"/>
          <w:szCs w:val="16"/>
          <w:color w:val="auto"/>
        </w:rPr>
        <w:t>— 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Global Payments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12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3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2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and Asia Pacific, where the risk of continued political, economic and regulatory change that could impact our operating results is greater than in the U.S. or Western Europe.</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subsidiaries in Hungary, Poland, the Czech Republic, Romania, Slovakia, Spain, Greece, Croatia, India, Serbia, Bulgaria, Egypt and China, and have operations in other countries in Central Europe, the Middle East and Asia Pacific.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interpretation of existing laws or regulations, whether caused by a change in government or otherwise, could materially adversely affect our business, growth, financial condition or results of operations.</w:t>
      </w:r>
    </w:p>
    <w:p>
      <w:pPr>
        <w:spacing w:after="0" w:line="1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Bulgaria and other countries in Central Europe have been, and continue to be, substantially revised during the completion of their transition to the European Union.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4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13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1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4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As allowable under the Internal Revenue Code (the “Code”), the interest deduction from our convertible debentures are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 limited to the stated interest thereon. The scope of application of the anti-abuse regulations is unclear. However, we are of the view that application of the contingent payment debt instrument regulations to our convertible debentures is a reasonable result such that the anti-abuse regulation should not apply. If a contrary position were asserted and ultimately sustained, our tax deductions would be severely diminished with a resulting adverse effect on our cash flow and ability to service the convertible debentures.</w:t>
      </w:r>
    </w:p>
    <w:p>
      <w:pPr>
        <w:spacing w:after="0" w:line="13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were used for a domestic acquisition and the convertible debentures and other debt, if any, were deemed to be corporate acquisition indebtedness as defined in Section 279,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The interest expense attributable to these acquisitions exhausted all of the $5 million annual interest expense deduction permitted under the Code for certain convertible subordinated debt incurred for corporation acquisitions. Accordingly, if this limitation were to apply, no interest deductions would be allowed with respect to our October 2005 3.5% Convertible Debentures Due 2025. However, if the comparable interest deduction were eliminated our future payment of U.S. Federal and state income taxes, if any, could be accelerated.</w:t>
      </w:r>
    </w:p>
    <w:p>
      <w:pPr>
        <w:spacing w:after="0" w:line="1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passed, however, we cannot predict if there will be future tax legislation proposed and approved that would eliminate the comparable interest rate deduction.</w:t>
      </w:r>
    </w:p>
    <w:p>
      <w:pPr>
        <w:spacing w:after="0" w:line="2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are an international company conducting a complex business in many markets worldwide, we are subject to legal and operational risks related to staffing and management, as well as a broad array of local legal and regulatory requirements.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4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13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attempt to match any assets denominated in a currency with liabilities denominated in the same currency. However, the majority of our debt obligations are denominated in U.S. dollars, while a significant amount of our cash outflows, including the acquisition of ATMs, executive salaries, certain long-term contracts and a significant portion of our debt obligations,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U.S. dollar could have an adverse effect on our results.</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4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39"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that is opposed to by our management and board of directors.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46" w:lineRule="exact"/>
        <w:rPr>
          <w:sz w:val="20"/>
          <w:szCs w:val="20"/>
          <w:color w:val="auto"/>
        </w:rPr>
      </w:pPr>
    </w:p>
    <w:p>
      <w:pPr>
        <w:ind w:left="660" w:right="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non-cumulative voting for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control by our board of directors of the size of our board of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limitations on the ability of stockholders to call special meetings of stockholders; and</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 in the event a person or entity acquires, or initiates a tender offer to acquire, at least 15% of Euronet’s then outstanding common stock, the Rights will become exercisable for common stock having a value equal to two times the exercise price of the Right, or effectively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one-half of Euronet’s then-current stock price. The existence of the Rights Plan may discourage, delay or prevent a change of control or takeover attempt of our company by a third party that is opposed to by our management and board of directors.</w:t>
      </w:r>
    </w:p>
    <w:p>
      <w:pPr>
        <w:spacing w:after="0" w:line="13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10% of our Common Stock as of December 31, 2008, giving them significant control over decisions related to our Company.</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control includes the ability to influence the election of other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1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3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2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An additional 11.6 million shares of Common Stock, representing 23% of the shares outstanding as of December 31, 2008,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2008, we had an aggregate of 5.0 million options and restricted stock awards outstanding held by our directors, officers and employees, which entitles these holders to acquire an equal number of shares of our Common Stock upon exercise. Of this amount, 1.4 million options are vested and exercisable as of December 31, 2008. Approximately 0.2 million additional shares of our Common Stock may be issued in connection with our employee stock purchase plan. Another 6.4 million shares of Common Stock could be issued upon conversion of the Company’s Convertible Debentures issued in December 2004 and October 2005.</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based on current trading prices of our Common Stock, approximately 11.6 million shares could potentially be added to our total current Common Stock outstanding through the exercise of options or the issuance of additional shares, which could adversely impact the trading price for our stock. The actual number of shares issuable could be higher depending upon our stock price at the time of payment (i.e., more shares could be issuable if our share price declines).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5.0 million total options and restricted stock awards outstanding, an aggregate of 2.4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executive offices are located in Leawood, Kansas. As of December 31, 2008, we also maintain principal operational offices in Little Rock, Arkansas: Leawood, Kansas; Cerritos, California; San Juan, Puerto Rico; Budapest, Hungary; Warsaw, Poland; Zagreb, Croatia; Prague, Czech Republic; Berlin and Martinsried, Germany; Bucharest, Romania; Bratislava, Slovakia; Athens, Greece; Madrid, Spain; Belgrade, Serbia; Sofia, Bulgaria; Basildon and London, U.K.; Kiev, Ukraine; Rome and Milan, Italy; Paris, France; Geneva, Switzerland; Stockholm, Sweden; Brussels, Belgium; Dublin, Ireland; Cairo, Egypt; Mumbai, India; Sydney and Liverpool, Australia; Auckland, New Zealand; Beijing, China; Antiguo Cuscatlan, El Salvador; and Mexico City, Mexico. Our office leases generally provide for initial terms ranging from two to twelve years.</w:t>
      </w:r>
    </w:p>
    <w:p>
      <w:pPr>
        <w:spacing w:after="0" w:line="1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Belgrade, Serbia; Beijing, China; and Mumbai, India. Our processing centers for the Prepaid Processing Segment are located in Basildon, U.K.; Martinsried, Germany; Madrid, Spain; and Leawood, Kansas. Our processing center for the Money Transfer Segment is located in Cerritos, California.</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processing centers in Budapest, Belgrade, Beijing, Mumbai, Basildon, Martinsried, Leawood and Cerritos have off-site real time backup processing centers that are capable of providing full or partial processing capability in the event of failure of the primary processing centers. Our processing center in Madrid does not have an off-site backup processing center; however, it is migrating its transaction processing to the Martinsried processing center in 2009 where there is an off-site real time backup processing center.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discussion in Part II, Item 8 – Financial Statements and Supplementary Data and Note 22, Litigation and Contingencies, to the Consolidated Financial Statements included elsewhere in this report, regarding litigation is incorporated herein by reference.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matters submitted during the fourth quarter ended December 31, 2008 to a vote of security holders, through the solicitation of proxies or otherwise.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460"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 for our Common Stock for the quarters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quarters ended</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$16.68</w:t>
            </w: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6.87</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$33.25</w:t>
            </w:r>
          </w:p>
        </w:tc>
        <w:tc>
          <w:tcPr>
            <w:tcW w:w="5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$20.36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15.36</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$31.00</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16.28</w:t>
            </w:r>
          </w:p>
        </w:tc>
        <w:tc>
          <w:tcPr>
            <w:tcW w:w="1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$30.55</w:t>
            </w:r>
          </w:p>
        </w:tc>
        <w:tc>
          <w:tcPr>
            <w:tcW w:w="1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$30.57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19.07</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$30.57</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we had 88 stockholders of record of our Common Stock and none of our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2008, we did not issue any equity securities that were not registered under the Securities Act of 1933, which have not been previously reported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Set forth below is a graph comparing the total cumulative return on the Common Stock from December 31, 2003 through December 31, 2008 with the Total Returns Index for U.S. companies traded on the NASDAQ Global Select Market (the “Market Group”) and an index group of peer companies, the Total Returns Index for U.S. NASDAQ Financial Stocks (the “Peer Group”). The companies in each of the Market Group and the Peer Group were weighted by market capitalization. Returns are based on monthly changes in price and assume reinvested dividends. These calculations assume the value of an investment in the Common Stock, the Market Group and the Peer Group was $100 on December 31, 2003. Our Common Stock is traded on the NASDAQ Global Select Market under the symbol EEFT.</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Assumes Initial Investment of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125730</wp:posOffset>
            </wp:positionV>
            <wp:extent cx="5051425" cy="2289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5142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Calculated (or Derived) based from CRSP NASDAQ Stock Market, Center for Research in Security Prices (CRSP</w:t>
      </w:r>
      <w:r>
        <w:rPr>
          <w:rFonts w:ascii="Arial" w:cs="Arial" w:eastAsia="Arial" w:hAnsi="Arial"/>
          <w:sz w:val="15"/>
          <w:szCs w:val="15"/>
          <w:color w:val="auto"/>
        </w:rPr>
        <w:t>®</w:t>
      </w:r>
      <w:r>
        <w:rPr>
          <w:rFonts w:ascii="Arial" w:cs="Arial" w:eastAsia="Arial" w:hAnsi="Arial"/>
          <w:sz w:val="18"/>
          <w:szCs w:val="18"/>
          <w:color w:val="auto"/>
        </w:rPr>
        <w:t>), Booth School of Business, The University of Chicago. Used with permission. All rights reserved. Graph copyright 2008 Zacks Investment Research,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340" w:type="dxa"/>
            <w:vAlign w:val="bottom"/>
          </w:tcPr>
          <w:p>
            <w:pPr>
              <w:spacing w:after="0"/>
              <w:rPr>
                <w:sz w:val="12"/>
                <w:szCs w:val="12"/>
                <w:color w:val="auto"/>
              </w:rPr>
            </w:pPr>
          </w:p>
        </w:tc>
        <w:tc>
          <w:tcPr>
            <w:tcW w:w="180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1"/>
              </w:rPr>
              <w:t>Weighted average</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3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40" w:type="dxa"/>
            <w:vAlign w:val="bottom"/>
          </w:tcPr>
          <w:p>
            <w:pPr>
              <w:spacing w:after="0"/>
              <w:rPr>
                <w:sz w:val="12"/>
                <w:szCs w:val="12"/>
                <w:color w:val="auto"/>
              </w:rPr>
            </w:pPr>
          </w:p>
        </w:tc>
        <w:tc>
          <w:tcPr>
            <w:tcW w:w="18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Pr>
          <w:p>
            <w:pPr>
              <w:spacing w:after="0"/>
              <w:rPr>
                <w:sz w:val="12"/>
                <w:szCs w:val="12"/>
                <w:color w:val="auto"/>
              </w:rPr>
            </w:pPr>
          </w:p>
        </w:tc>
        <w:tc>
          <w:tcPr>
            <w:tcW w:w="194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21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 and rights</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(b)</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3,383,194</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11.71</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 unit awards</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1,536,274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4,919,468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summary consolidated financial data set forth below has been derived from, and is qualified by reference to, our audited Consolidated Financial Statements and the notes thereto, prepared in conformity with accounting principles generally accepted in the United States (“U.S. GAAP”), which have been audited by KPMG LLP, and should not be relied upon as an indication of future performance. We believe that the period-to-period comparisons of our financial results are not necessarily meaningful due to certain significant transactions, including numerous acquisitions (See Note 6, Acquisitions, to the Consolidated Financial Statements). The following information should be read in conjunction with Item 7 – Management’s Discussion and Analysis of Financial Condition and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2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Pr>
          <w:p>
            <w:pPr>
              <w:spacing w:after="0"/>
              <w:rPr>
                <w:sz w:val="14"/>
                <w:szCs w:val="14"/>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4"/>
                <w:szCs w:val="14"/>
                <w:color w:val="auto"/>
              </w:rPr>
              <w:t>(dollar amounts in thousands, except as noted)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Consolidated statements of operations data:</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1,045,665</w:t>
            </w:r>
          </w:p>
        </w:tc>
        <w:tc>
          <w:tcPr>
            <w:tcW w:w="3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902,666</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615,376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531,159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381,080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 (1)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1,138,435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536,014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461,007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335,550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56,251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46,997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28,590</w:t>
            </w: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22,800</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(149,021)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76,234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50,772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47,352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Other income (expenses)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(36,962)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9,212</w:t>
            </w: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(10,080)</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w w:val="93"/>
              </w:rPr>
              <w:t>Income (loss) from continuing operations before</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income taxes and minority interest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(184,733)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82,336</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60,644</w:t>
            </w:r>
          </w:p>
        </w:tc>
        <w:tc>
          <w:tcPr>
            <w:tcW w:w="1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38,457</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(27,759)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(2,040)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(194,026)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52,537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22,698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200"/>
              <w:spacing w:after="0"/>
              <w:rPr>
                <w:sz w:val="20"/>
                <w:szCs w:val="20"/>
                <w:color w:val="auto"/>
              </w:rPr>
            </w:pPr>
            <w:r>
              <w:rPr>
                <w:rFonts w:ascii="Arial" w:cs="Arial" w:eastAsia="Arial" w:hAnsi="Arial"/>
                <w:sz w:val="18"/>
                <w:szCs w:val="18"/>
                <w:color w:val="auto"/>
              </w:rPr>
              <w:t>Earnings (loss) per share from continuing</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Assets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1,440,124</w:t>
            </w:r>
          </w:p>
        </w:tc>
        <w:tc>
          <w:tcPr>
            <w:tcW w:w="3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1,886,156</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1,129,640</w:t>
            </w: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898,692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642,315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obligations, long-term portion</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349,073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315,000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Capital lease obligations, long-term portion</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13,409</w:t>
            </w:r>
          </w:p>
        </w:tc>
        <w:tc>
          <w:tcPr>
            <w:tcW w:w="1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12,229</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network data (unaudited):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w w:val="98"/>
              </w:rPr>
              <w:t>Number of operational ATMs at end of period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8,885</w:t>
            </w: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7,211</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EFT processing transactions during the period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463.6</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w w:val="94"/>
              </w:rPr>
              <w:t>Number of operational prepaid processing POS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terminals at end of period (rounded)</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296,000</w:t>
            </w:r>
          </w:p>
        </w:tc>
        <w:tc>
          <w:tcPr>
            <w:tcW w:w="1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237,000</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Prepaid processing transactions during the period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457.8</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348.0</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200"/>
              <w:spacing w:after="0" w:line="201" w:lineRule="exact"/>
              <w:rPr>
                <w:sz w:val="20"/>
                <w:szCs w:val="20"/>
                <w:color w:val="auto"/>
              </w:rPr>
            </w:pPr>
            <w:r>
              <w:rPr>
                <w:rFonts w:ascii="Arial" w:cs="Arial" w:eastAsia="Arial" w:hAnsi="Arial"/>
                <w:sz w:val="18"/>
                <w:szCs w:val="18"/>
                <w:color w:val="auto"/>
                <w:w w:val="98"/>
              </w:rPr>
              <w:t>Money transfer transactions during the period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3" w:lineRule="exact"/>
        <w:rPr>
          <w:sz w:val="20"/>
          <w:szCs w:val="20"/>
          <w:color w:val="auto"/>
        </w:rPr>
      </w:pPr>
    </w:p>
    <w:p>
      <w:pPr>
        <w:ind w:left="260" w:right="100" w:hanging="252"/>
        <w:spacing w:after="0" w:line="277"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for 2008 include a $220.1 million non-cash charge related to goodwill and acquired intangible assets. The results for 2007 include a benefit of $12.2 million for a federal excise tax refund.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380"/>
        <w:spacing w:after="0" w:line="40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COMPANY OVERVIEW, GEOGRAPHIC LOCATIONS AND PRINCIPAL PRODUCTS AND SERVICES</w:t>
      </w:r>
    </w:p>
    <w:p>
      <w:pPr>
        <w:spacing w:after="0" w:line="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December 31, 2008, we operate in the following three principal business segments:</w:t>
      </w:r>
    </w:p>
    <w:p>
      <w:pPr>
        <w:spacing w:after="0" w:line="80" w:lineRule="exact"/>
        <w:rPr>
          <w:sz w:val="20"/>
          <w:szCs w:val="20"/>
          <w:color w:val="auto"/>
        </w:rPr>
      </w:pPr>
    </w:p>
    <w:p>
      <w:pPr>
        <w:ind w:left="660" w:right="100" w:hanging="436"/>
        <w:spacing w:after="0" w:line="302"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10,128 ATMs and approximately 54,000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14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electronic distribution of prepaid mobile airtime and other prepaid products and collection services for various prepaid products, cards and services. Including terminals operated by unconsolidated subsidiaries, we operate a network of approximately 430,000 POS terminals providing electronic processing of prepaid mobile airtime top-up services in Europe, the Middle East, Asia Pacific and North America.</w:t>
      </w:r>
    </w:p>
    <w:p>
      <w:pPr>
        <w:spacing w:after="0" w:line="92" w:lineRule="exact"/>
        <w:rPr>
          <w:rFonts w:ascii="Arial" w:cs="Arial" w:eastAsia="Arial" w:hAnsi="Arial"/>
          <w:sz w:val="18"/>
          <w:szCs w:val="18"/>
          <w:b w:val="1"/>
          <w:bCs w:val="1"/>
          <w:color w:val="auto"/>
        </w:rPr>
      </w:pPr>
    </w:p>
    <w:p>
      <w:pPr>
        <w:ind w:left="660" w:right="30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Money Transfer Segment, which provides global consumer-to-consumer money transfer services through a sending network of agents and Company-owned stores primarily in North America and Europe, disbursing money transfers through a worldwide payer network. The Money Transfer Segment originates and terminates transactions through a network of approximately 75,800 locations, which include sending agents and Company-owned stores, and an extensive payer network in more than 100 countries.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five processing centers in Europe, two in Asia Pacific and two in North America. We have 23 principal offices in Europe, one in the Middle East, five in Asia Pacific, and six in North America. Our executive offices are located in Leawood, Kansas, USA. With approximately 76% of our revenues denominated in currencies other than the U.S. dollar, any significant changes in currency exchange rates will likely have a significant impact on our growth in revenues, operating income and diluted earnings per share (for more discussion, see Item 1A – Risk Factors and Item 7A – Quantitative and Qualitative Disclosure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20% of total consolidated revenue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2008,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1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represented approximately 58% of total consolidated revenue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2008,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bill payment, money transfer and prepaid mobile content such as music, ringtones and games.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 in the Money Transfer Segment, which represents approximately 22% of total consolidated revenue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2008,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and Europe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signing new 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increasing 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expansion of our prepaid mobile airtime top-up processing network;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expansion of our money transfer and bill payment network;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six to twelve months or longer.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1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entered the cross-border merchant processing and acquiring business through the execution of an agreement with a large petrol retailer in Central Europe. Since the beginning of 2007, we have devoted significant resources to the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generally involves the assumption of credit risk, as the principal amount of transactions is usually settled to merchants before settlements are received from card associations.</w:t>
      </w:r>
    </w:p>
    <w:p>
      <w:pPr>
        <w:sectPr>
          <w:pgSz w:w="11900" w:h="16838" w:orient="portrait"/>
          <w:cols w:equalWidth="0" w:num="1">
            <w:col w:w="11400"/>
          </w:cols>
          <w:pgMar w:left="240" w:top="419" w:right="25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mature markets, such as the U.K., New Zealand and Spain, the conversion from scratch cards to electronic forms of distribution is either complete or nearing completion. Because of this factor, we are not likely to experience the organic increases in the number of transactions per terminal that we have experienced historically. Also in mature markets, competition among prepaid distributors results in the increase of commissions paid to retailers and increases in retailer attrition rates.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 In Australia, our main competitor ceased business during 2008, allowing us to strengthen our position in this key market.</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the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w:t>
      </w:r>
    </w:p>
    <w:p>
      <w:pPr>
        <w:spacing w:after="0" w:line="18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Like other participants in the money transfer industry, as a result of immigration developments, downturns in certain labor markets and the current economic crisis, the number of money transfers from the U.S. to Mexico decreased in 2008 compared to 2007. We cannot predict how long these issues will continue to affect the U.S. market or whether other markets will experience similar issues.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w:t>
      </w:r>
    </w:p>
    <w:p>
      <w:pPr>
        <w:sectPr>
          <w:pgSz w:w="11900" w:h="16838" w:orient="portrait"/>
          <w:cols w:equalWidth="0" w:num="1">
            <w:col w:w="11400"/>
          </w:cols>
          <w:pgMar w:left="240" w:top="419" w:right="25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of each segment are the same as those referenced in the summary of significant accounting policies (see Note 3, Summary of Significant Accounting Policies and Practices, to the Consolidated Financial Statements). We evaluate performance of our segments based on income or loss from continuing operations before income taxes, foreign currency exchange gain (loss), minority interest and other nonrecurring gains and losses.</w:t>
      </w:r>
    </w:p>
    <w:p>
      <w:pPr>
        <w:spacing w:after="0" w:line="12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rapid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(LOSS) FOR THE YEARS ENDED DECEMBER 31, 2008, 2007 AND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93"/>
              </w:rPr>
              <w:t>Revenues</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6"/>
              </w:rPr>
              <w:t>Operating Income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174,049</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144,515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38,306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36,147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609,106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569,858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467,651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52,813</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231,302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158,759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(157,150)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1,045,665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902,666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615,376</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(123,503)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96,090</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36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1,045,665</w:t>
            </w:r>
          </w:p>
        </w:tc>
        <w:tc>
          <w:tcPr>
            <w:tcW w:w="320" w:type="dxa"/>
            <w:vAlign w:val="bottom"/>
          </w:tcPr>
          <w:p>
            <w:pPr>
              <w:spacing w:after="0"/>
              <w:rPr>
                <w:sz w:val="24"/>
                <w:szCs w:val="24"/>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902,666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615,376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(149,021)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76,234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50,772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annual consolidated revenues increased by 16% for 2008 over 2007, and 47% for 2007 over 2006. These increases reflect acquisitions, primarily RIA in April 2007, as well as growth in our business resulting from increases in the average number of ATMs managed and transactions processed. For further discussion regarding acquisitions, see Note 6, Acquisitions, to the Consolidated Financial Statements.</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operating income for 2008 includes a non-cash goodwill and intangible asset impairment charge of $220.1 million as discussed in Note 10, Goodwill and Acquired Intangible Assets, Net, to the Consolidated Financial Statements. The results for 2007 include an increase in operating income of $12.2 million for a federal excise tax refund discussed in Note 23, Federal Excise Tax Refund, to the Consolidated Financial Statements. Excluding the goodwill and intangible assets impairment charge in 2008 and the federal excise tax refund in 2007, our operating income increased 11% for 2008 over 2007 and 26% for 2007 over 2006. These increases were primarily the result of growth in transaction volumes and related revenues.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loss for 2008 was $195.1 million, or $3.97 per diluted share, compared to net income for 2007 of $53.5 million, or $1.11 per diluted share, and net income of $46.0 million, or $1.16 per diluted share for 2006. In addition to the explanations above, net loss for 2008 included an $18.8 million impairment loss on investment securities and a foreign currency exchange translation loss of $9.8 million, while net income for 2007 and 2006 included foreign currency exchange translation gains of $15.5 million and $10.3 million, respectively. Net loss for 2008 includes a loss from discontinued operations of $1.1 million, or $0.02 per diluted share while net income for 2007 and 2006 include gains from discontinued operations of $1.0 million and $0.6 million, respectively, or $0.02 per diluted share for each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8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Beginning in 2006 and through mid-2008, the U.S. dollar weakened compared to most of the currencies of the countries in which we operate. In the second half of 2008, the U.S. dollar strengthened significantly. Despite the recent strengthening, the U.S. dollar was, on average, weaker in 2008 than in 2007. Because our revenues and local expenses are recorded in the functional currencies of our operating entities, amounts we earned for 2008 and 2007 are positively impacted by the weakening of the U.S. dollar. We estimate that, depending on the mix of countries and currencies, our 2008 and 2007 operating income benefited by approximately 5% to 10% when compared to 2007 and 2006, respectively. While the benefit of the weakened U.S. dollar generally contributed to improvements in each segment in 2007, the benefit for 2008 was mainly concentrated in the EFT Processing Segment, largely due to the impact of the changes in exchange rates of the Polish zloty.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2008, 2007 AND 2006 – BY BUSINESS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6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8"/>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1"/>
        </w:trPr>
        <w:tc>
          <w:tcPr>
            <w:tcW w:w="484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174,049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31,208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9"/>
        </w:trPr>
        <w:tc>
          <w:tcPr>
            <w:tcW w:w="48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93,414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74,879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18,535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34,944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20"/>
              <w:spacing w:after="0"/>
              <w:rPr>
                <w:sz w:val="20"/>
                <w:szCs w:val="20"/>
                <w:color w:val="auto"/>
              </w:rPr>
            </w:pPr>
            <w:r>
              <w:rPr>
                <w:rFonts w:ascii="Arial" w:cs="Arial" w:eastAsia="Arial" w:hAnsi="Arial"/>
                <w:sz w:val="18"/>
                <w:szCs w:val="18"/>
                <w:color w:val="auto"/>
              </w:rPr>
              <w:t>31,874</w:t>
            </w: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3,070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14,952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4,446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19,195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20"/>
              <w:spacing w:after="0"/>
              <w:rPr>
                <w:sz w:val="20"/>
                <w:szCs w:val="20"/>
                <w:color w:val="auto"/>
              </w:rPr>
            </w:pPr>
            <w:r>
              <w:rPr>
                <w:rFonts w:ascii="Arial" w:cs="Arial" w:eastAsia="Arial" w:hAnsi="Arial"/>
                <w:sz w:val="18"/>
                <w:szCs w:val="18"/>
                <w:color w:val="auto"/>
              </w:rPr>
              <w:t>16,197</w:t>
            </w: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2,998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137,902</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29,049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38,306</w:t>
            </w:r>
          </w:p>
        </w:tc>
        <w:tc>
          <w:tcPr>
            <w:tcW w:w="32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20"/>
              <w:spacing w:after="0"/>
              <w:rPr>
                <w:sz w:val="20"/>
                <w:szCs w:val="20"/>
                <w:color w:val="auto"/>
              </w:rPr>
            </w:pPr>
            <w:r>
              <w:rPr>
                <w:rFonts w:ascii="Arial" w:cs="Arial" w:eastAsia="Arial" w:hAnsi="Arial"/>
                <w:sz w:val="18"/>
                <w:szCs w:val="18"/>
                <w:color w:val="auto"/>
              </w:rPr>
              <w:t>36,147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2,159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100.4</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ATMs as of December 31</w:t>
            </w: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10,128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20"/>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(1,219)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2008, we decided to sell Euronet Essentis Limited (“Essentis”), a U.K. software entity previously included in the EFT Processing Segment, in order to focus our investments and resources on our transactions processing businesses. We are in the process of selling the business. Accordingly, the results of operations for Essentis are shown as discontinued operations in the Consolidated Statements of Operations for all periods presented and have been removed from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revenue for 2008 increased when compared to 2007 primarily due to increases in the average number of ATMs operated and the number of transactions processed. These increases were attributable to many of our operations, but primarily our operations in Poland, India and Euronet Card Services Greece. Additionally, during 2008 the U.S. dollar was weaker on average than during 2007 relative to the currencies of most of the countries in which we operate. Because our revenues are recorded in the functional currencies of our operating entities, amounts we earn in foreign currencies are positively impacted by the weakening of the U.S. dollar. Partly offsetting these improvements were decreases in revenue associated with our operations in Romania due to a decrease in the per transaction fee structure with a customer that was granted in exchange for an extension of the contract term and the expiration of an ATM services contract discussed in more detail in the following paragraph.</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Average monthly revenue per ATM was $1,621 for 2008, compared to $1,447 for 2007 and revenue per transaction was $0.29 for both 2008 and 2007. The increase in revenues per ATM is generally the result of the expiration of an ATM services contract in the U.K. at the end of the first quarter 2008 that involved processing services only, with very little associated costs and, therefore, had lower-than-average revenue per ATM. As of December 31, 2007 and March 31, 2008, we were providing processing services for approximately 2,300 and 2,400 ATMs, respectively, under this contract. Partly offsetting this improvement is the addition of ATMs in China and India, where revenues per ATM have been historically lower than Central and Eastern Europe, generally due to lower labor costs.</w:t>
      </w:r>
    </w:p>
    <w:p>
      <w:pPr>
        <w:spacing w:after="0" w:line="15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typically takes six to twelve months or longer. Increasing consolidation in the banking industry could make this process less predictable.</w:t>
      </w:r>
    </w:p>
    <w:p>
      <w:pPr>
        <w:spacing w:after="0" w:line="19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obtain renewal of, or restructure, our ATM outsourcing agreements. During the fourth quarter 2008 and first quarter 2009, certain customer contracts were terminated or expired, resulting in a decrease of 689 ATMs in the fourth quarter 2008 and approximately 1,000 ATMs in the first quarter 2009.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by increases in ATMs driven under new contracts, expansion of ATMs under existing contracts and the deployment of ATMs in markets where we operate Euronet-branded ATMs.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entered into the contracts. We have been able to renew or extend most of the remaining contracts that came up for renewal in 2008 or expiration in 2009. While we have been successful in many cases in obtaining new terms that preserve the same level of earnings arising from the agreements, we have not been successful in all cases, and therefore we expect to experience reductions in revenue in future quarters arising from the expiration or restructuring of agreements.</w:t>
      </w:r>
    </w:p>
    <w:p>
      <w:pPr>
        <w:spacing w:after="0" w:line="1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contracts that expired during the fourth quarter 2008 and first quarter 2009, excluding substantial termination fees that we expect to receive, we estimate that the impact to 2009 will be a reduction in revenue of approximately $15 million to $16 million, resulting in reduced operating income of approximately $3 million to $4 million. We cannot be sure we will have sufficient revenues from new contracts to offset potential revenue reductions from expired or restructured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2008, compared to 2007, is attributed to the increase in the average number of ATMs under operation, particularly the growing number of independently deployed ATMs in new markets, and the launch of our cross-border merchant acquiring business. Throughout 2007 and into 2008, we incurred substantial capital and operating expenditures in anticipation of entering the cross-border merchant acquiring business after we entered into an agreement for these services with a large petrol retailer in Central Europe. The revenues recorded after launching this business in mid-2008 have not been significant; however, the cost structure is largely in place and is contributing to the increase in direct operating costs and certain other expenses discussed below. Additionally, 2008 and 2007 include losses of approximately $0.7 million and $1.9 million, respectively, primarily in Poland and Hungary, as a result of certain fraudulent transactions by card holders on our network.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which is calculated as revenues less direct operating costs, increased to $111.8 million for 2008 from $99.2 million for 2007. This increase is mainly attributable to the increase in revenues discussed above. Gross profit as a percentage of revenues (gross margin) was 54% for 2008 compared to 57% for 2007. The decrease in gross margin is primarily due to the impact of the expiration of the ATM services contract in the U.K. and launching the cross-border merchant acquiring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salaries and benefits for 2008 compared to 2007 was due to staffing costs to support growth in the average number of ATMs managed and transactions processed and for new products, such as POS, card processing and cross-border merchant processing and acquiring. Salaries and benefits also increased as a result of general merit increases awarded to employees. As a percentage of revenue, however, these costs decreased slightly to 17% of revenues for 2008 compared to 18% for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Selling, general and administrative expenses for 2007 include a $1.2 million arbitration loss awarded by a tribunal in Budapest, Hungary arising from a claim by a former cash supply contractor in Central Europe. Excluding the impact of the arbitration loss, as a percentage of revenues, selling general and administrative expenses increased to 9% in 2008 compared to 8% in 2007. This increase in selling, general and administrative expenses for 2008 compared to 2007 is due primarily to the launch of our cross-border merchant acquiring business that occurred during the second quarter 2008. As explained above, the revenues recorded after launching this business have not been significant; however, the cost structure is in place to support this new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depreciation and amortization expense for 2008 compared to 2007 is due primarily to additional ATMs in Poland and India and additional equipment and software for our processing centers in Hungary and China. As a percentage of revenue, these expenses remained flat at 9% for both 2008 and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operating income was primarily due to the increases in revenues described above. Additionally, operating income was affected by several unique items in 2008 and 2007: 2007 operating income was reduced $1.2 million by the arbitration loss described above; operating income was $1.2 million greater in 2008 compared to 2007 due to the decrease in fraudulent card losses described</w:t>
      </w:r>
    </w:p>
    <w:p>
      <w:pPr>
        <w:sectPr>
          <w:pgSz w:w="11900" w:h="16838" w:orient="portrait"/>
          <w:cols w:equalWidth="0" w:num="1">
            <w:col w:w="11400"/>
          </w:cols>
          <w:pgMar w:left="240" w:top="419" w:right="259" w:bottom="811"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811"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above; operating income was $7.6 million less in 2008 compared to 2007 due to the expiration of the ATM services contract and the launching of the cross-border merchant acquiring business described above. Excluding the impacts of these items, operating income increased 20% in 2008 compared to 2007, was 22% as a percentage of revenues for 2008 compared to 21% for 2007 and was $0.06 per transaction for both 2008 and 2007.</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income for 2008 and 2007 also includes $1.0 million and $1.2 million, respectively, in losses associated with expanding operations for the Company’s 75% owned joint venture in China. As of December 31, 2008, we had deployed and were providing all of the day-to-day outsourcing services for 544 ATMs. Under current agreements, we expect that the total number of ATMs in China deployed and for which we will be providing day-to-day outsourcing services will increase to over 1,000 during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2008 and 2007, the EFT Segment had a software contract backlog of approximately $7.9 million compared to approximately $5.7 million as of December 31, 2007. This backlog represents software sales based on signed contracts under which we continue to have performance milestones before the sale will be completed. We recognize revenue on a percentage of completion method, based on certain milestone conditions, for our software solutions. As a result, we have not recognized all the revenues associated with these sales contracts. We cannot give assurances that the milestones under the contracts will be completed or that we will be able to recognize the related revenue within the next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Compared to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4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144,515</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29,534</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51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74,879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56,851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18,028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31,874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27,417</w:t>
            </w:r>
          </w:p>
        </w:tc>
        <w:tc>
          <w:tcPr>
            <w:tcW w:w="1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4,457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14,952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12,069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2,883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16,197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13,900</w:t>
            </w:r>
          </w:p>
        </w:tc>
        <w:tc>
          <w:tcPr>
            <w:tcW w:w="1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2,297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110,237</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27,665</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1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36,147</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34,278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1,869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463.6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ATMs as of December 31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2,462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8,066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for 2007 increased when compared to 2006 primarily due to increases in the number of ATMs operated and, for owned ATMs, the number of transactions processed, primarily in Poland and India. These increases were attributable to most of our operations, but primarily our operations in Poland, India and Greece and our software operations. Additionally, beginning in 2006 and during 2007, the U.S. dollar weakened compared to the currencies of most of the countries in which we operate. Because our revenues are recorded in the functional currencies of our operating entities, amounts we earn in foreign currencies are positively impacted by the weakening of the U.S. dollar.</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Partially offsetting these increases was a reduction in revenues associated with the extension of certain customer contracts for several years beyond their original terms. In exchange for these extensions, we paid or received up-front payments and agreed on gradually declining fee structures. As prescribed by U.S. GAAP,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that is less than contractual invoices and cash receipts in the early periods of the agreement and revenue that is greater than the contractual invoices and cash receipts in the later years of the agreement. As a result of the revenue recognition under these contracts, amounts invoiced under the contracts exceeded the amount of revenue that we recognized by about $2.7 million for 2007, compared to approximately $1.6 million for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Average monthly revenue per ATM was $1,447 for 2007, compared to $1,493 for 2006 and revenue per transaction was $0.29 for 2007, compared to $0.31 for 2006. The decrease in revenues per ATM and revenues per transaction was due to the addition of ATMs where related revenue has not yet developed to mature levels, the impact of the contract extensions discussed above and the addition of ATMs in India where revenues per ATM have been historically lower than Central and Eastern Europe generally due to lower labor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increase in direct operating cost for 2007, compared to 2006, was attributed to the increase in the number of ATMs under operation. Additionally, 2007 includes losses of approximately $1.9 million, primarily in Poland and Hungary, as a result of certain fraudulent transactions by card holders on our network.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Gross profit increased to $99.2 million for 2007 from $87.7 million for 2006. This increase was attributable to the increase in revenues discussed above. Gross margin was 57% for 2007 compared to 61% for 2006. The decrease in gross margin was due to the impact of accounting for certain contract renewals, the fraudulent transaction losses and other fluctuations in revenues and direct operating costs discussed above, as well as the increased contributions of our subsidiary in India, which has historically earned a lower gross margin than our other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salaries and benefits for 2007 compared to 2006 was due to staffing costs to expand in emerging markets, such as India, China and new European markets, and additional products, such as POS, card processing and cross-border merchant processing and acquiring. Salaries and benefits also increased as a result of general merit increases awarded to employees and certain additional staffing requirements due to the larger number of ATMs under operation and transactions processed. As a percentage of revenue, however, these costs remained relatively flat at 18% of revenues for 2007 compared to 19% for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selling, general and administrative expenses for 2007 compared to 2006 was due to costs to expand in emerging markets, such as India, China and new European markets, and additional products, such as POS, card processing and cross-border merchant processing and acquiring. Additionally, during 2007, we recorded a loss of $1.2 million under an arbitral award granted by a tribunal in Budapest, Hungary arising from a claim by a former cash supply contractor in Central Europe. The cash supply contractor claimed it provided us with cash during the fourth quarter 1999 and first quarter 2000 that was not returned. As a percentage of revenue, selling, general and administrative expenses were relatively flat at 9% for 2007 and 8% for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depreciation and amortization expense for 2007 compared to 2006 was due primarily to additional equipment and software for the expansion of our Hungarian processing center incurred during 2006, additional ATMs in Poland and India. As a percentage of revenue, these expenses decreased slightly to 9% for 2007 from 10% for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in operating income was primarily due to the increases in revenues described above, offset by the $1.1 million decrease in revenues related to certain contract renewals, the $1.9 million fraudulent card losses and the arbitration loss described in the sections above. Operating income as a percentage of revenues was 21% for 2007 compared to 24% for 2006 and $0.06 per transaction for 2007 compared to $0.07 per transaction for 2006. Adjusting for the impact of the fraudulent card losses and the arbitration loss, operating income as a percentage of revenue would have been 23% and operating income per transaction would have been $0.07.</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income for 2007 and 2006 also includes $1.2 million and $1.3 million, respectively, in losses associated with expanding operations for the Company’s 75% owned joint venture in China. As of December 31, 2007, we had deployed and were providing all of the day-to-day outsourcing services for over 250 ATMs.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2008 and 2007: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6"/>
          </w:tcPr>
          <w:p>
            <w:pPr>
              <w:jc w:val="right"/>
              <w:ind w:right="19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0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609,106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569,858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39,248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9"/>
        </w:trPr>
        <w:tc>
          <w:tcPr>
            <w:tcW w:w="4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495,971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464,874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31,097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28,574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27,493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w:t>
            </w:r>
          </w:p>
        </w:tc>
        <w:tc>
          <w:tcPr>
            <w:tcW w:w="5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20,567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50,681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50,681</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excise tax refund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12,191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16,441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16,302</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139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613,765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517,045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96,720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(4,659)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460"/>
              <w:spacing w:after="0"/>
              <w:rPr>
                <w:sz w:val="20"/>
                <w:szCs w:val="20"/>
                <w:color w:val="auto"/>
              </w:rPr>
            </w:pPr>
            <w:r>
              <w:rPr>
                <w:rFonts w:ascii="Arial" w:cs="Arial" w:eastAsia="Arial" w:hAnsi="Arial"/>
                <w:sz w:val="18"/>
                <w:szCs w:val="18"/>
                <w:color w:val="auto"/>
              </w:rPr>
              <w:t>52,813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(57,472)</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634.8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increase in revenues for 2008 compared to 2007 was generally attributable to the increase in total transactions processed across most of our Prepaid Processing Segment operations, particularly Australia, Germany and Poland. The growth in Australia has been the result of our main competitor ceasing business during 2008, allowing us to strengthen our position in this key market.</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13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Revenues per transaction decreased to $0.85 for 2008 from $0.90 for 2007 due primarily to the growth in revenues and transactions recorded by our ATX subsidiary, which is 51% Euronet-owned. In accordance with U.S. GAAP, ATX is consolidated and the amounts in our financial statements and in the table above reflect 100% of ATX’s results. Results attributable to the 49% minority owner are reflected in the minority interest line of our Consolidated Statements of Operations.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Partly offsetting this decrease was the growth in both volumes and revenues in Australia which generally has higher revenues per transaction, but also pays higher commission rates to retailers, than our other Prepaid Processing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increase in total transactions processed.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profit was $113.1 million for 2008 compared to $105.0 million for 2007. Gross margin increased to 19% for 2008 compared to 18% for 2007 and gross profit per transaction was $0.16 for 2008 compared to $0.17 for 2007. Most of the reduction in gross profit per transaction is due to the growth of revenues and transactions at our ATX subsidiary and the general maturity of the prepaid mobile airtime business in many of our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salaries and benefits increased for 2008 compared to 2007 to support development in new and growing markets, as a percentage of revenue, they decreased slightly to 4.7% for 2008 from 4.8% for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increase in selling, general and administrative expenses for 2008 compared to 2007 is the result of additional overhead to support development in new and growing markets. As a percentage of revenues, these selling, general and administrative expenses remained flat at 3.6% for both 2008 and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2008, we recorded a non-cash impairment charge of $50.7 million related to the goodwill of the Spanish prepaid business in accordance with the provisions of SFAS No. 142, “Goodwill and Other Intangible Assets.” We perform our annual goodwill impairment test during the fourth quarter of each year, which coincided this year with severe disruptions in the credit markets and the macroeconomic business climate. These events have caused credit, currency and stock markets to plummet in the second half of 2008 and have adversely impacted corporate valuations across most industries, all of which contributed to a significant decline in our stock price. An important component of the 2008 goodwill impairment testing was the reconciliation of a company’s equity to its market capitalization. During the fourth quarter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the Company’s business outlook and projections for the Spanish prepaid business, we determined that the resulting valuations were not sufficient to support the recorded value of our investment. Specifically, growth in the prepaid mobile phone business in Spain has been slower than expected and commission pressure from mobile operators, as well as intense competition from other prepaid processors, has reduced profitability. Any adjustment to that estimated charge resulting from the completion of the measurement of the impairment loss will be recognized in the first quarter 2009. See Note 10, Goodwill and Acquired Intangible Assets, Net, to the Consolidated Financial Statements for a further discussion of this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excise tax refund</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2006, the Internal Revenue Service (“IRS”) announced that Internal Revenue Code Section 4251 (relating to communications excise tax) will no longer apply to, among other services, prepaid mobile airtime services such as those offered by the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During 2007, $12.2 million was recorded for amounts paid during this period as a reduction to operating expenses of the Prepaid Processing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in depreciation and amortization for 2008 compared to 2007 reflects additional POS terminals installed as the business has grown. As a percentage of revenues, depreciation and amortization expense decreased to 2.7% for 2008 from 2.9% for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decrease in operating income for 2008 compared to 2007 is mainly due to the goodwill impairment charge in 2008 and the benefit of the federal excise tax refund in 2007. Excluding the goodwill impairment charge and the benefit of the federal excise tax refund, operating income as a percentage of revenues was 7.6% for 2008 compared to 7.1% for 2007. The increase is due to the growth in revenues and transactions processed and the impact of leveraging operating costs. Also excluding the goodwill impairment charge and the federal excise tax refund, operating income per transaction remained flat at $0.06 for 2008 and 2007.</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Compared to 2006</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the Prepaid Processing Segment for the years ended December 31, 2007 and 2006: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(Decrease)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569,858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467,651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102,207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9"/>
        </w:trPr>
        <w:tc>
          <w:tcPr>
            <w:tcW w:w="40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464,874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376,329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88,545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27,493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22,561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4,932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17,011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3,556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Federal excise tax refund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(12,191)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(12,191)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14,128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2,174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0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517,045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430,029</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87,016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52,813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15,191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634.8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457.8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177.0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revenues for 2007 compared to 2006 was generally attributable to: (i) the increase in total transactions processed across all of our Prepaid Processing Segment operations; (ii) $47.2 million in revenues contributed by Omega Logic and Brodos Romania, which were acquired in the first quarter 2007; and (iii) foreign currency translations to the U.S. dollar. Beginning in 2006 and during 2007, the U.S. dollar weakened compared to most of the currencies of the countries in which we operate. Because our revenues are recorded in the functional currencies of our operating entities, amounts we earn are positively impacted by the weakening of the U.S. dollar.</w:t>
      </w:r>
    </w:p>
    <w:p>
      <w:pPr>
        <w:spacing w:after="0" w:line="16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Revenue growth was partially offset by reduced revenue growth in Spain resulting from the second quarter 2006 expiration of a preferential commission arrangement with a Spanish mobile operator. Additionally, in certain more mature markets, such as the U.K., New Zealand and Spain, our revenue growth slowed substantially and, in some cases, revenues decreased because conversion from scratch cards to electronic top-up was substantially complete and certain mobile operators and retailers were driving competitive reductions in pricing and margins.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per transaction decreased to $0.90 for 2007 from $1.02 for 2006 due primarily to the growth in revenues and transactions recorded by our ATX subsidiary. Transaction volumes for ATX in 2007 increased over 100% compared to 2006. Partially offsetting the decreases described above was the growth in both volumes and revenues in Australia and the U.S., which generally have higher revenues per transaction, but also pay higher commission rates to retailers, than our other Prepaid Processing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direct operating costs was generally attributable to the increase in total transactions processed and foreign currency translations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compared to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Gross profit, which represents revenues less direct costs, was $105.0 million for 2007 compared to $91.3 million for 2006. Gross margin decreased to 18% for 2007 compared to 20% for 2006 and gross profit per transaction was $0.17 for 2007 compared to $0.20 for 2006. Most of the reduction in gross profit per transaction was due to the growth of revenues and transactions at our ATX subsidiary, the expiration of preferential commission arrangements in Spain discussed above and the general maturity of the prepaid mobile airtime business in many of our markets.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salaries and benefits for 2007 compared to 2006 was primarily the result of the acquisitions of Brodos Romania and Omega Logic, as well as additional overhead to support development in other new and growing markets. As a percentage of revenue, salaries and benefits remained flat at 4.8% for both 2007 and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increase in selling, general and administrative expenses for 2007 compared to 2006 was the result of the acquisitions of Brodos Romania and Omega Logic, as well as additional overhead to support development in other new and growing markets. As a percentage of revenues these selling, general and administrative expenses remained flat at 3.6% for both 2007 and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excise tax refund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2007, $12.2 million was recorded as a reduction to operating expenses of the Prepaid Processing Segment related to the federal excise tax refund more fully described in the previous section entitled “2008 Compared to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in depreciation and amortization for 2007 compared to 2006 was primarily due to the acquisitions of Brodos Romania and Omega Logic. As a percentage of revenues, depreciation and amortization decreased slightly to 2.9% for 2007 from 3.0% for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improvement in operating income for 2007 compared to 2006 was due to the significant growth in revenues and transactions processed, the federal excise tax refund and the benefit of foreign currency translations to the U.S. dollar, partially offset by the impact of the events in Spain discussed above and the costs of development in new and growing markets.</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Excluding the benefit of the federal excise tax refund, operating income as a percentage of revenues was 7.1% for 2007 compared to 8.0% for 2006. The decrease is primarily due to the events in Spain and operating expenses incurred to support development in new and growing markets. Also excluding the federal excise tax refund, operating income per transaction was $0.06 for 2007 compared to $0.08 for 2006. The decrease in operating income per transaction is due to the events in Spain, the impact of maturing markets and the growth in revenues and transactions at our ATX subsidiary. These decreases were partially offset by the benefit of foreign currency translations to the U.S. dollar.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Money Transfer Segment was established during April 2007 with the acquisition of RIA, which is more fully described in Note 6, Acquisitions, to the Consolidated Financial Statements included in this report. To assist in better understanding the results of the Money Transfer Segment, unaudited pro forma results for 2007 have been provided as if RIA’s results were included in our consolidated results of operations beginning January 1, 2007. The pro forma financial information is not intended to represent, or be indicative of, the consolidated results of operations or financial condition that would have been reported had the RIA acquisition been completed as of the beginning of the periods presented.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Compared to 2007</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actual results of operations for the years ended December 31, 2008 and 2007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As Reported</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rPr>
              <w:t>Year-over-Year Change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8"/>
              </w:rPr>
              <w:t>Increase</w:t>
            </w: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231,302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158,759</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72,543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9"/>
        </w:trPr>
        <w:tc>
          <w:tcPr>
            <w:tcW w:w="47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114,457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83,795</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30,662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50,543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32,705</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17,838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21,459</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13,214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169,396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169,396</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13,670</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5,713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72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388,452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151,629</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236,823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(157,150)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(164,280)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2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the results of operations for the year ended December 31, 2008 to the pro forma results of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for the Money Transfer Segment: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Year-over-Year 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Increase</w:t>
            </w: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7"/>
              </w:rPr>
              <w:t>Pro Forma</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204,948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26,354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4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108,589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5,868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50,543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42,383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8,160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27,444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7,229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w w:val="94"/>
              </w:rPr>
              <w:t>Goodwill and acquired intangible assets impairment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169,396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169,396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17,700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388,452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196,116</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192,336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(157,150)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8,832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(165,982)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Transactions processed (millions)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15.5</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206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Comparison of pro forma operating results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During 2007, we combined our previous money transfer business with RIA and incurred total exit costs of $0.9 million. These costs represented the accelerated depreciation and amortization of property and equipment, software and leasehold improvements that were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disposed of during 2007; the write off of marketing materials and trademarks that have been discontinued or will not be used; the write off of accounts receivable from agents that did not meet RIA’s credit requirements; and severance and retention payments made to certain employees. These exit costs are not included in pro forma operating expenses in the above table.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 exchange rates and selling the currency to customers at retail exchange rates. Revenue per transaction was $13.85 for 2008 compared to pro forma revenue per transaction of $13.22 for 2007. On a historical basis, about 75% of our Money Transfer Segment revenues are derived from transaction fees, about 25% is derived from the foreign currency spread and other small amounts of revenue are derived from sources such as fees for cashing checks, issuing money orders and processing bill payments. For 2008, 68% of our money transfers were initiated in the U.S., 29% in Europe and 3% in other countries, such as Canada and Australia. For 2007, 75% of our money transfers were initiated in the U.S., 23% in Europe and 2% in other countries. We expect that the U.S. will continue to represent our highest volume market; however, significant future growth is expected to be derived from non-U.S. initiated sources.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revenues for 2008 compared to pro forma revenues for 2007 is primarily due to an 8% increase in the number of transactions processed for 2008 compared to 2007. For 2008, money transfers to Mexico, which represented 32% of total money transfers, decreased by 9%, while transfers to all other countries increased 18% when compared to the prior year due to the expansion of our operations and continued growth in immigrant worker populations in countries other than the U.S. The decline in transfers to Mexico was largely the result of immigration issues, downturns in certain labor markets and the current economic crisis.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While direct operating costs generally increase or decrease by a similar percentage as transactions, growth in transactions has outpaced the growth in direct costs in 2008 due to a greater growth rate for Company-owned stores rather than for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Gross profit was $116.8 million for 2008 compared to pro forma gross profit of $96.4 million for 2007. This improvement is primarily due to the growth in money transfer transactions originated in non-U.S. locations, discussed above, along with favorable management of foreign currency exchange rate spreads. We have not engaged in the competitive price wars in our industry that some of our competitors have initiated, choosing instead to preserve our pricing structure and service levels and maintain a more profitable customer base. We cannot predict how long these issues will continue to affect the U.S. market or whether other markets will experience similar issues and we cannot predict whether we will change our strategy over the short or long term in order to protect or increase market share. Gross margin was 51% for 2008 compared to pro forma gross margin of 47% for 2007. The improvement primarily reflects the strong growth in transaction volume in our more profitable non-U.S. locations.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salaries and benefits for 2008 compared to pro forma salaries and benefits for 2007 is primarily due to merit increases and additional costs to support our global expansion efforts, primarily the opening of Company-owned stores in Germany, France, Spain and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8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2008 compared to pro forma selling, general and administrative expenses for 2007 is primarily to support our global expansion efforts.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2008, we recorded a non-cash impairment charge of $169.4 million related to certain goodwill and intangible assets of the RIA money transfer business in accordance with the provisions of SFAS No. 142, “Goodwill and Other Intangible Assets” and SFAS No. 144, “Accounting for the Impairment or Disposal of Long-Lived Assets.” We perform our annual goodwill impairment test during the fourth quarter of each year, which coincided this year with severe disruptions in the credit markets and the macroeconomic business climate. These events have caused credit, currency and stock markets to plummet in the second half of 2008 and have adversely impacted corporate valuations across most industries, all of which contributed to a significant decline in our stock price. An important component of the 2008 goodwill impairment testing was the reconciliation of a company’s equity to its market capitalization. During the fourth quarter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the business outlook and projections for the Money Transfer Segment, we determined that the resulting valuations were not sufficient to support the recorded value of our investment. Specifically, we have experienced reductions in volumes for money transfers between the U.S. and Mexico, among other corridors, that were initially expected to continue expanding. Should the current economic crisis worsen or should other factors cause us to significantly lower our cash flow projections for our money transfer business, we will need to reassess the business for further possible impairment. Any adjustment to that estimated charge resulting from the completion of the measurement of the impairment loss will be recognized in the first quarter 2009. See Note 10, Goodwill and Acquired Intangible Assets, Net, to the Consolidated Financial Statements for a further discussion of this charge.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5" w:lineRule="exact"/>
        <w:rPr>
          <w:sz w:val="20"/>
          <w:szCs w:val="20"/>
          <w:color w:val="auto"/>
        </w:rPr>
      </w:pPr>
    </w:p>
    <w:p>
      <w:pPr>
        <w:ind w:right="54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intangibles and also includes depreciation of money transfer terminals, computers and software, leasehold improvements and office equipment. The increase in depreciation and amortization for 2008 compared to pro forma depreciation and amortization for 2007 is primarily due to additional computer equipment in our customer service centers and increased leasehold improvements, office equipment and computer equipment for expansion of our Company-owned stores. As a percentage of revenues, depreciation and amortization was relatively flat at 8.4% for 2008 compared to pro forma depreciation and amortization of 8.6% for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decrease in operating income for 2008 compared to pro forma operating income for 2007 is due to the goodwill and acquired intangible impairment charge in 2008. Excluding this charge, operating income increased 39% in 2008 compared to pro forma operating income for 2007 which is the result of increased revenues and gross profit as discussed in more detail above, partly offset by additional costs incurred to support our global expansion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2008, 2007 and 2006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2008</w:t>
            </w:r>
          </w:p>
        </w:tc>
        <w:tc>
          <w:tcPr>
            <w:tcW w:w="1420" w:type="dxa"/>
            <w:vAlign w:val="bottom"/>
            <w:gridSpan w:val="2"/>
          </w:tcPr>
          <w:p>
            <w:pPr>
              <w:jc w:val="center"/>
              <w:ind w:left="455"/>
              <w:spacing w:after="0" w:line="119" w:lineRule="exact"/>
              <w:rPr>
                <w:sz w:val="20"/>
                <w:szCs w:val="20"/>
                <w:color w:val="auto"/>
              </w:rPr>
            </w:pPr>
            <w:r>
              <w:rPr>
                <w:rFonts w:ascii="Arial" w:cs="Arial" w:eastAsia="Arial" w:hAnsi="Arial"/>
                <w:sz w:val="13"/>
                <w:szCs w:val="13"/>
                <w:b w:val="1"/>
                <w:bCs w:val="1"/>
                <w:color w:val="auto"/>
                <w:w w:val="96"/>
              </w:rPr>
              <w:t>2007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50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5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13,217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9,249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4,343</w:t>
            </w: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25,518</w:t>
            </w:r>
          </w:p>
        </w:tc>
        <w:tc>
          <w:tcPr>
            <w:tcW w:w="7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19,856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17,833</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Operating expenses for Corporate Services increased by 29% for 2008 and 11% for 2007 compared to the respective prior year. The increase in salaries and benefits for 2008 compared to 2007 is primarily the result of severance costs related to certain senior level positions and increased share-based compensation related to awards made to new employees, including those in the Money Transfer Segment. The increase in selling, general and administrative expenses is due primarily to the write-off of $3.0 million in professional fees and settlement costs associated with our abandoned acquisition of MoneyGram. The increase in corporate depreciation and amortization is the result of amortization associated with the third quarter 2007 purchase of an enterprise-wide desk-top license.</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decrease in salaries and benefits compensation for 2007 compared to 2006 was due primarily to lower incentive compensation accruals and the December 2006 resignation of our former President and Chief Operating Officer. The increase in selling, general and administrative expenses was mainly the result of higher professional fees and other expenses associated with acquisitions that were not completed, including Envios de Valores La Nacional Corp. (“La Nacional”). See Note 22, Litigation and Contingencies, to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Consolidated Financial Statements for further discussion regarding La Nacional. The increase in corporate depreciation and amortization is the result of amortization associated with the enterprise-wide desk-top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2008</w:t>
            </w:r>
          </w:p>
        </w:tc>
        <w:tc>
          <w:tcPr>
            <w:tcW w:w="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2007</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Increase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72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(Decrease)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378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Percent</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16,250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13,644</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(24,538)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(26,126)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(14,719)</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Impairment loss on investment securities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(18,760)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early retirement of debt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n/m</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Foreign currency exchange gain (loss),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(9,821)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15,497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10,287</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(35,712)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9,872</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n/m</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decrease in interest income for 2008 from 2007 is primarily due to a decline in short-term interest rates and a decrease in average cash balances on hand during 2008. Partly offsetting this decrease was the recognition of $1.6 million in 2008 for interest related to a federal excise tax refund. The increase in interest income for 2007 over 2006 was primarily due to investment of the unused proceeds from the $154.3 million private equity placement that was completed during March 2007, as well as cash generated from operations. Increasing average cash deposits held in our trust accounts related to the administration of customer collections and vendor remittance activities of the Prepaid Processing Segment have also generated increased interest income as the Segment’s operations have grown. Improvements in interest income for 2007 compared to 2006 were also due to higher average interest rates resulting from a gradual shift of investments from money market accounts to commercial paper and the general rise in short-term treasury rates during 2007.</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Short-term interest rates continue to be at historically low levels at the beginning of 2009 and if rates continue to be near these levels, we expect interest income earned on our invested balances for 2009 will decrease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decrease in interest expense for 2008 from 2007 is primarily due to the reductions in borrowings from scheduled repayments and early retirements along with lower interest rates paid on floating-rate debt. We also reduced borrowings under the revolving credit facility to finance the working capital requirements of the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interest expense for 2007 over 2006 was primarily related to the additional borrowings to finance the April 2007 acquisition of RIA, described in Note 6, Acquisitions, to the Consolidated Financial Statements. Additionally, we incurred borrowings under the revolving credit facility to finance the working capital requirements of the Money Transfer Segment as described above. The increase in interest expense was also due to higher overall interest rates on our debt obligations in 2007 compared to 2006. Including amortization of deferred financing costs, interest expense on the term loan and revolving credit facility was approximately 7.5%, compared to approximately 4.0% for the $315 million in outstanding convertible debentures.</w:t>
      </w:r>
    </w:p>
    <w:p>
      <w:pPr>
        <w:spacing w:after="0" w:line="13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Similar to the impact on interest income, due to the recent trend of decreasing short-term interest rates, we expect that interest paid on our floating-rate borrowings for 2009 will also decrease if short-term interest rates remain near their current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9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Income from unconsolidated affiliates mainly represents the equity in income of our 40% equity investment in e-pay Malaysia and our 49% investment in Euronet Middle East, an EFT Processing Segment joint venture in Bahrain. The increase in income for 2008 from 2007 is the result of increased earnings from our equity investment in e-pay Malaysia and our share of the earnings of Euronet Middle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East. The increase is partly offset by the $0.4 million gain recognized from the sale of our 8% interest in CashNet Telecommunications Egypt SAE (CashNet) during 2007.</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increase in income from unconsolidated affiliates recorded for 2007 compared to 2006 was primarily because of the $0.4 million gain from the sale of our interest in CashNet. The remainder of income from unconsolidated affiliates represents the income from our investment in e-pay Malaysia. During 2007, we recognized $0.7 million of equity losses related to e-pay Malaysia’s unsuccessful expansion efforts into Indonesia.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investment securities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2008, the value of our investment in MoneyGram declined and the decline was determined to be other than temporary. Accordingly, we recognized an $18.8 million impairment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retirement of debt</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2008, we repurchased in privately negotiated transactions $70 million in principal amount of the $140 million 1.625% convertible debentures due 2024. This resulted in a $6.1 million pre-tax gain, net of the write-off of unamortized deferred financing costs. Additionally, losses on early retirement of debt of $0.5 million were recorded representing the pro-rata write-off of deferred financing costs associated with the portion of the $190 million term loan that was prepaid during 2008. We expect to continue to prepay amounts outstanding under the term loan and/or repurchase additional outstanding 1.625% convertible debentures through available cash flows. Accordingly, we would recognize losses on early retirement of debt for the pro-rata portion of unamortized deferred financing costs and gains on early retirement of debt for any repurchase of the debentures at a discount to par value.</w:t>
      </w:r>
    </w:p>
    <w:p>
      <w:pPr>
        <w:spacing w:after="0" w:line="15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Loss on early retirement of debt of $0.4 million for 2007 represents the pro-rata write-off of deferred financing costs associated with the portion of the $190 million term loan that was prepaid during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 (loss)</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either the entity making or receiving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127"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recorded a net foreign currency exchange loss of $9.8 million during 2008 and net foreign currency exchange gains of $15.5 million and $10.3 million during 2007 and 2006, respectively. Throughout 2006 and 2007, the U.S. dollar weakened against most European-based currencies, primarily the euro and British pound, creating realized and unrealized foreign currency exchange gains. This compares to 2008, when in the latter part of the year the U.S. dollar strengthened against these currencies and we, therefore, recorded realized and unrealized foreign currency exchange losses.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 and 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(184,733)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82,336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(183,798)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80,296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59,667</w:t>
            </w: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10,228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27,759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(194,026)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52,537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45,373</w:t>
            </w:r>
          </w:p>
        </w:tc>
        <w:tc>
          <w:tcPr>
            <w:tcW w:w="0" w:type="dxa"/>
            <w:vAlign w:val="bottom"/>
          </w:tcPr>
          <w:p>
            <w:pPr>
              <w:spacing w:after="0"/>
              <w:rPr>
                <w:sz w:val="1"/>
                <w:szCs w:val="1"/>
                <w:color w:val="auto"/>
              </w:rPr>
            </w:pPr>
          </w:p>
        </w:tc>
      </w:tr>
      <w:tr>
        <w:trPr>
          <w:trHeight w:val="20"/>
        </w:trPr>
        <w:tc>
          <w:tcPr>
            <w:tcW w:w="76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(183,798)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80,296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Adjust: Foreign currency exchange gain (loss), net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15,497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(220,077)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Adjust: Impairment loss on investment securities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(18,760)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 income taxes, foreign currency exchange gain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net and 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64,799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49,380</w:t>
            </w:r>
          </w:p>
        </w:tc>
        <w:tc>
          <w:tcPr>
            <w:tcW w:w="0" w:type="dxa"/>
            <w:vAlign w:val="bottom"/>
          </w:tcPr>
          <w:p>
            <w:pPr>
              <w:spacing w:after="0"/>
              <w:rPr>
                <w:sz w:val="1"/>
                <w:szCs w:val="1"/>
                <w:color w:val="auto"/>
              </w:rPr>
            </w:pPr>
          </w:p>
        </w:tc>
      </w:tr>
      <w:tr>
        <w:trPr>
          <w:trHeight w:val="20"/>
        </w:trPr>
        <w:tc>
          <w:tcPr>
            <w:tcW w:w="76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10,228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27,759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 Income tax expense (benefit) attributable to foreign currency exchange gain (loss),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Adjust: Income tax benefit attributable to goodwill and acquired intangible assets impairment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25,909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13,551</w:t>
            </w:r>
          </w:p>
        </w:tc>
        <w:tc>
          <w:tcPr>
            <w:tcW w:w="0" w:type="dxa"/>
            <w:vAlign w:val="bottom"/>
          </w:tcPr>
          <w:p>
            <w:pPr>
              <w:spacing w:after="0"/>
              <w:rPr>
                <w:sz w:val="1"/>
                <w:szCs w:val="1"/>
                <w:color w:val="auto"/>
              </w:rPr>
            </w:pPr>
          </w:p>
        </w:tc>
      </w:tr>
      <w:tr>
        <w:trPr>
          <w:trHeight w:val="20"/>
        </w:trPr>
        <w:tc>
          <w:tcPr>
            <w:tcW w:w="766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3"/>
          </w:tcPr>
          <w:p>
            <w:pPr>
              <w:spacing w:after="0"/>
              <w:rPr>
                <w:sz w:val="20"/>
                <w:szCs w:val="20"/>
                <w:color w:val="auto"/>
              </w:rPr>
            </w:pPr>
            <w:r>
              <w:rPr>
                <w:rFonts w:ascii="Arial" w:cs="Arial" w:eastAsia="Arial" w:hAnsi="Arial"/>
                <w:sz w:val="18"/>
                <w:szCs w:val="18"/>
                <w:color w:val="auto"/>
              </w:rPr>
              <w:t>Effective income tax rate, as adjusted</w:t>
            </w: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calculate our effective tax rate by dividing income tax expense by pre-tax book income including the effect of minority interest. Our effective tax rates were (5.6%), 34.6% and 24.0% for the years ended December 31, 2008, 2007 and 2006, respectively. There are several factors that have caused our effective tax rate to fluctuate over the past three years. The most significant of these factors include the Company’s tax position in the U.S., the impact of foreign currency exchange translation results and, specific to the year ended December 31, 2008, the impairments for goodwill and acquired intangible assets and for investments securities. Excluding foreign currency exchange translation results and the impairments to goodwill and acquired intangible assets and to investment securities from pre-tax income, as well as the related tax effects for these items, our effective tax rates were 36.8%, 40.0% and 27.4% for the years ended December 31, 2008, 2007 and 2006, respectively.</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increases in the effective tax rates for 2008 and 2007 compared to 2006, excluding foreign currency gains and losses and the impairment charges, were primarily related to the recognition of income tax expense in the U.S. During 2006 tax expense related to our U.S. operations was offset by reductions in our valuation allowance against our U.S. tax net operating losses. The remaining valuation allowance against our U.S. tax net operating losses was reversed in 2007. The 2008 and 2007 effective tax rates were also unfavorably impacted by the acquisition of RIA, which operates in jurisdictions that have tax rates that are higher than our historical effective tax rate, and the recognition of significant deferred tax benefits for net operating losses in certain countries during 2006.</w:t>
      </w:r>
    </w:p>
    <w:p>
      <w:pPr>
        <w:spacing w:after="0" w:line="15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conjunction with the goodwill impairment test performed in the fourth quarter of 2008, we reviewed the impact of the adverse macroeconomic business conditions and outlook, as well as business forecasts, on the realization of our net operating losses and other deferred tax assets. Based on this information, we concluded that a valuation allowance was necessary against the net deferred tax assets, including tax net operating losses, of our U.S. and Spanish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18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Minority interest was a benefit of $0.9 million for the year ended December 31, 2008 and an expense of $2.0 million and $1.0 million for the years ended December 31, 2007 and 2006, respectively. Minority interest represents the elimination of the net income (loss) attributable to the minority shareholders’ portion of our consolidated subsidiaries that are not wholly-owned, including Movilcarga, of which we own 80%; ATX, of</w:t>
      </w:r>
    </w:p>
    <w:p>
      <w:pPr>
        <w:sectPr>
          <w:pgSz w:w="11900" w:h="16838" w:orient="portrait"/>
          <w:cols w:equalWidth="0" w:num="1">
            <w:col w:w="11420"/>
          </w:cols>
          <w:pgMar w:left="240" w:top="419" w:right="239" w:bottom="1162"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62"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which we own 51%; our 75% owned subsidiary in China; and e-pay SRL, of which we own 51%. The benefit in 2008 is the minority interest share of the goodwill impairment charge in Spain.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second quarter of 2008, we decided to sell Essentis in order to focus our investments and resources on our transaction processing businesses. We are in the process of selling the business. Accordingly, Essentis’s results of operations are shown as discontinued operations in the Consolidated Statements of Operations for all periods presented.</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related assets or liabilities held for sale at December 31, 2008 or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recorded a net loss of $195.1 million in 2008 compared to net income of $53.5 million and $46.0 million for 2007 and 2006, respectively. As more fully discussed above, the decrease of $248.6 million in 2008 compared to 2007 was mainly the result of the $225.3 million decrease in operating income driven by the $220.1 million non-cash goodwill and acquired intangible assets impairment charge in 2008 and the $12.2 million federal excise tax refund recorded in 2007. Additionally, 2008 results include an $18.8 million unrealized loss on investment securities and a $25.3 million increase in foreign currency losses. Furthermore, net interest expense increased $4.0 million and net income from discontinued operations decreased $2.0 million. Partly offsetting these losses were a $17.5 million decrease in income tax expense, a $6.0 million improvement in income from the net gain on early retirement of debt, a $3.0 million benefit from changes in results attributed to minority interests and a $0.3 million increase in income from unconsolidated affiliates.</w:t>
      </w:r>
    </w:p>
    <w:p>
      <w:pPr>
        <w:spacing w:after="0" w:line="14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increase of $7.5 million in 2007 over 2006 was primarily the result of an increase in operating income of $25.5 million, including the federal excise tax refund of $12.2 million, an increase in the net foreign currency exchange gain of $5.2 million, an increase in income from unconsolidated affiliates of $0.3 million and an increase in income from discontinued operations of $0.3 million. These increases were partially offset by an increase in net interest expense of $8.8 million, an increase in income tax expense of $13.5 million, a loss on early retirement of debt of $0.4 million and an increase in income attributable to minority interest of $1.1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18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recorded a loss on translation adjustment of $79.3 million in 2008 and gains on translation adjustment of $41.8 million and $26.4 million in 2007 and 2006, respectively. Throughout 2006 and 2007, the U.S. dollar weakened against most European-based currencies, primarily the euro and British pound, creating translation gains. However, in the latter half of 2008, the U.S. dollar strengthened against most of those currencies, resulting in translation losses which were recorded in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2008, we had working capital, which is the difference between total current assets and total current liabilities, of $95.7 million, compared to working capital of $279.3 million as of December 31, 2007. Our ratio of current assets to current liabilities was 1.16 at December 31, 2008, compared to 1.53 as of December 31, 2007. The decrease in working capital is due primarily to the use of cash to reduce long-term debt and the reclassification of the remaining $70.0 million in Convertible Senior Debentures to current liabilities.</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December 31, 2008, working capital in the Money Transfer Segment was $41.1 million. We expect that working capital needs will increase as we expand this business. The Prepaid Processing Segment produces positive working capital, but much of it is restricted in connection with the administration of its customer collection and vendor remittance activities; therefore, it deposits those amounts in a restricted cash account. The EFT Processing Segment has little working capital requirements.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flows provided by operating activities were $91.2 million for 2008, compared to $78.3 million for 2007. The increase was primarily due to fluctuations in working capital, including the collection of $12.2 million for the federal excise tax refund that was recognized in net income during 2007. The increase in depreciation and amortization expense that is added to net income to arrive at operating cash flows is due largely to the inclusion of RIA for a full year, compared to nine months in 2007. Other fluctuations in working capital are mainly the result of changes in the timing of the settlement process with mobile operators in the Prepaid Procesing Segment around year-end.</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provided by operating activities decreased to $78.3 million for 2007, compared to $95.9 million for 2006, primarily due to fluctuations in working capital associated with the timing of the settlement process with mobile operators in the Prepaid Processing Segment. Offsetting this decrease, operating cash flows also reflect an increase in net income, net of depreciation and amortization expense, and the federal excise tax refund, which was accrued in 2007. The increase in depreciation and amortization expense was primarily the result of the acquisition of RIA.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Cash flows used in investing activities were $21.3 million for 2008, compared to $439.9 million for 2007. Our investing activities for 2008 include the return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$26 million we placed in escrow in 2007 in connection with the agreement to acquire Envios de Valores La Nacional Corp. (“La Nacional”).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10, 2008, we entered into a settlement agreement with La Nacional and its stockholder evidencing the parties’ mutual agreement not to consummate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in exchange for payment by Euronet of a portion of the legal fees incurred by La Nacional. Our investing activities also include $43.0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$42.3 million for the purchase of property and equipment, software development and other long-term assets in 2008 and 2007, respectively. While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acquisitions in 2008 were $5.4 million, we used $352.7 million in 2007, primarily for the acquisition of RIA, and another $20 million used to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MoneyGram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in investing activities were $439.9 million in 2007, compared to $26.1 million in 2006. Our investing activities for 2007 consisted of</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$352.7 million in cash paid related to acquisitions, primarily RIA, $20.0 milling for the purchase of MoneyGram common stock and $26.0 million placed in escrow in connection with the agreement to acquire La Nacional. We also spent $42.3 million for purchases of property and equipment and software development. Our investing activities for 2006 included $2.1 million in cash paid for acquisitions and $25.1 million for purchases of property and equipment and software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Cash flows used for financing activities were $145.7 million during 2008, compared to cash provided of $301.5 million during 2007. Our financing activities for 2008 consisted primarily of net repayments of debt obligations of $146.6 million.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2008 we had a total of $270.0 million in borrowings and $315.1 million in repayments under our revolving credit facility. In 2008, we repurchased $70 million in principal amount of our 1.625% convertible debentures for $63.4 million in cash. Additionally, we paid $1.9 million of scheduled payments and $30.1 million of early payments on our term loan, as well as $6.8 million of capital lease obligations.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financing activities for 2007 consisted primarily of $190.0 million in proceeds from borrowings under our term loan agreement that were used to finance a portion of the acquisition of RIA and proceeds from the equity private placement and stock option exercises totaling $167.7 million. Partially offsetting these increases were repayments and early retirements of debt obligations of $30.9 million, net repayments of borrowings under the revolving credit facility of $8.9 million and repayments of capital lease obligations of $10.4 million. We also paid dividends to minority interest stockholders of $2.8 million and debt issuance costs associated with our credit facility of $3.8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$1.9 million of the balance each year, with the remaining balance payable at the end of the seven-year term. We prepaid amounts on this loan in 2007 and 2008 and we estimate that we will be able to repay the remaining $132 million term loan prior to its maturity date through cash flows available from operations, provided our operating cash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flows are not required for future business developments. Up front financing costs of $4.8 million were deferred and are being amortized over the terms of the respective loans.</w:t>
      </w:r>
    </w:p>
    <w:p>
      <w:pPr>
        <w:spacing w:after="0" w:line="14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April 2008, we entered into an amendment to the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In September 2008 and December 2008, we repurchased in privately negotiated transactions $55 million and $15 million, respectively, in principal amount of the debentures. Additionally, we incurred costs of $0.6 million in connection with the amendment, which will be recognized as additional interest expense over the remaining term of the Credit Facility.</w:t>
      </w:r>
    </w:p>
    <w:p>
      <w:pPr>
        <w:spacing w:after="0" w:line="13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During February 2009, we entered into Amendment No. 2 to the Credit Facility to, among other items, (i) (a) grant us the ability to repurchase the remaining $70 million of outstanding 1.625% Convertible Senior Debentures Due 2024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Furthermore, in February 2009, our Board of Directors authorized the repurchase of up $70 million of these debentures, from time to time, in open market or privately negotiated purchases. We incurred costs of approximately $1.5 million in connection with the amendment, which will be recognized as additional interest expense over the remaining term of the Credit Facility.</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16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may be required to repay our obligations under the Credit Facility six months before the potential repurchase dates, the first being October 15, 2012, under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1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2008, after making required repayments on the term loan of $3.3 million and voluntary prepayments of $54.7 million, we had borrowings of $132.0 million outstanding against the term loan. We had borrowings of $16.7 million and stand-by letters of credit of $30.9 million outstanding against the revolving credit facility. The remaining $52.4 million under the revolving credit facility ($77.4 million if the facility were increased to $125 million) was available for borrowing. Borrowings under the revolving credit facility are being used to fund short-term working capital requirements in the U.S., Spain and India. As of December 31, 2008, our weighted average interest rate under the revolving credit facility was 5.3% and under the term loan was 5.5%, excluding amortization of deferred financing costs.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December 31, 2008 were primarily the $70.0 million 1.625% Convertible Senior Debentures Due 2024 as the holders have the option to require us to repurchase their debentures at par on December 15, 2009, and the $1.9 million annual repayment requirement under the term loan. Certain of our subsidiaries also have available credit lines and overdraft facilities to supplement short-term working capital requirements, when necessary, and there was $0.2 million outstanding against these facilities as of December 31, 2008.</w:t>
      </w:r>
    </w:p>
    <w:p>
      <w:pPr>
        <w:spacing w:after="0" w:line="1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14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16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have $70 million in principal amount of 1.625% Convertible Senior Debentures Due 2024 that are convertible into 2.1 million shares of Euronet Common Stock at a conversion price of $33.63 per share upon the occurrence of certain events (relating to the closing prices of Euronet Common Stock exceeding certain thresholds for specified periods). We will pay contingent interest for the six-month period from December 20, 2009 through June 14, 2010 and for each six-month period thereafter from June 15 to December 14 or December 15 to June 14 if the average trading price of the debentures for the applicable five trading-day period preceding such applicable six-month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Unless the price of our common stock appreciates substantially before December 2009, we believe it is likely that the holders of the debentures will exercise this option effective December 15, 2009. Based upon our current expectations, we believe we will have sufficient cash available to fund the potential $70 million purchase price using our cash currently on hand, cash flows we expect to generate during 2009 and amounts we expect to be available to borrow under our revolving credit facility. However, if our capital resources are insufficient to meet these obligations, we may be required to seek additional debt or equity financing.</w:t>
      </w:r>
    </w:p>
    <w:p>
      <w:pPr>
        <w:spacing w:after="0" w:line="12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Should holders of the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 and in Note 12, Debt Obligations, to the Consolidated Financial Statements.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that allow the Company to make grants of shares of restricted Common Stock, or options to purchase shares of Common Stock, to certain current and prospective key employees, directors and consultants. During 2008, 78,938 stock options were exercised at an average exercise price of $9.54, resulting in proceeds to us of approximately $0.8 million.</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sponsor a qualified Employee Stock Purchase Plan (“ESPP”) under which we reserved 500,000 shares of Common Stock for purchase under the plan by employees through payroll deductions according to specific eligibility and participation requirements. This plan qualifies as an “employee stock purchase plan” under Section 423 of the Internal Revenue Code of 1986. Offerings commence at the beginning of each quarter and expire at the end of the quarter.</w:t>
      </w:r>
    </w:p>
    <w:p>
      <w:pPr>
        <w:ind w:right="60"/>
        <w:spacing w:after="0" w:line="295" w:lineRule="auto"/>
        <w:rPr>
          <w:sz w:val="20"/>
          <w:szCs w:val="20"/>
          <w:color w:val="auto"/>
        </w:rPr>
      </w:pPr>
      <w:r>
        <w:rPr>
          <w:rFonts w:ascii="Arial" w:cs="Arial" w:eastAsia="Arial" w:hAnsi="Arial"/>
          <w:sz w:val="16"/>
          <w:szCs w:val="16"/>
          <w:color w:val="auto"/>
        </w:rPr>
        <w:t>Under the plan, participating employees are granted options, which immediately vest and are automatically exercised on the final date of the respective offering period. The exercise price of Common Stock options purchased is the lesser of 85% of the “fair market value” (as defined in the ESPP) of the shares on the first day of each offering or the last day of each offering. The options are funded by participating employees’ payroll deductions or cash payments. During 2008, we issued 59,983 shares at an average price of $18.38 per share, resulting in proceeds to us of approximately $1.1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discussed further in Note 18, Stock Plans,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8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As partial consideration for the acquisition of RIA, we granted the sellers of RIA 3,685,098 contingent value rights (“CVRs”) and 3,685,098 stock appreciation rights (“SARs”). The 3,685,098 CVRs matured on October 1, 2008 and we elected to settle the CVRs by issuing 1,114,550 additional shares of Euronet Common Stock valued at $20 million. The 3,685,098 SARs entitled the sellers to acquire additional shares of Euronet Common Stock at an exercise price of $27.14 at any time through October 1, 2008 and were not exercised before their expiration.</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the legal process in the dispute has remained dormant for over a year. Any additional payments, if ultimately determined to be owed the seller, will be recorded as additional goodwill and could be made in either cash or a combination of cash and Euronet Common Stock at our option.</w:t>
      </w:r>
    </w:p>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the section entitled “contingencies” below for discussion of liquidity and capital resources involving a settlement agreement related to a previous agreement to acquire La Nacional.</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2009 and 2014. The leases bear interest between 3.6% and 20.7% per year. As of December 31, 2008, we owed $11.0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1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2008 were $42.9 million, of which $1.5 million were funded through capital leases. These capital expenditures were primarily for the purchase of ATMs to meet contractual requirements in Poland and India, the purchase and installation of ATMs in key under-penetrated markets, the purchase of POS terminals for the Prepaid Processing and Money Transfer Segments, and office and data center computer equipment and software. Included in capital expenditures for office and data center equipment and software for 2008 is approximately $3.7 million in capital expenditures for the purchase and development of the necessary processing systems and capabilities to enter the cross-border merchant processing and acquiring business. Total capital expenditures for 2009 are estimated to be approximately $35 million to $45 million.</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 additional $2.0 million in software development cost was capitalized during 2008 for the development and enhancement of our EFT Processing Segment software products. See Note 21, Computer Software to be Sold, to the Consolidated Financial Statements for a further discussion.</w:t>
      </w:r>
    </w:p>
    <w:p>
      <w:pPr>
        <w:spacing w:after="0" w:line="1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Prepaid Processing Segment, approximately 100,000 of the approximately 430,000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14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EFT Processing Segment, we are required to maintain ATM hardware for Euronet-owned ATMs and software for all ATMs in our network and in our processing centers in accordance with certain regulations and mandates established by local country regulatory and administrative bodies as well as EMV (Europay, MasterCard and Visa) chip card support. Additionally, as regulations change or new regulations or mandates are issued, we may have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w:t>
      </w:r>
    </w:p>
    <w:p>
      <w:pPr>
        <w:spacing w:after="0" w:line="15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 During 2005, a former cash supply contractor in Central Europe (the “Contractor”) claimed that we owed approximately $2.0 million for the provision of cash during the fourth quarter 1999 and first quarter 2000 that had not been returned. This claim was made after we terminated our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paid and recorded as selling, general and administrative expenses of the EFT Processing Segment during 2007.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Cross border merchant processing and acquiring</w:t>
      </w:r>
      <w:r>
        <w:rPr>
          <w:rFonts w:ascii="Arial" w:cs="Arial" w:eastAsia="Arial" w:hAnsi="Arial"/>
          <w:sz w:val="18"/>
          <w:szCs w:val="18"/>
          <w:color w:val="auto"/>
        </w:rPr>
        <w:t xml:space="preserve"> – In our EFT Processing Segment, we have entered the cross-border merchant processing and acquiring business, through the execution of an agreement with a large petrol retailer in Central Europe. Since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beginning of 2007, we have devoted significant resources, including capital expenditures of approximately $7.5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incurred $6.5 million in operating losses related to this business in 2008 and expect to incur approximately $3.0 million to $4.0 million in operating losses during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Historically, the Compensation Committee of our Board of Directors has awarded nonvested shares or nonvested share units (“restricted stock”) and stock options as an element of long-term management incentive compensation. The amount of future compensation expense related to awards of restricted stock is based on the market price for Euronet Common Stock at the grant date. For grants of stock options, we used the Black-Scholes option pricing model or Monte Carlo simulation model for the determination of fair value for stock option grants and plan to use the Black Scholes option pricing model or Monte Carlo simulation model, as appropriate, for future stock option grants, if any. The grant date for stock options or restricted stock is the date at which all key terms and conditions of the grant have been determined and the Company becomes contingently obligated to transfer assets to the employee who renders the requisite service, generally the date at which grants are approved by our Board of Directors or Compensation Committee thereof. Share-based compensation expense for awards with only service conditions is generally recognized as expense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Expense for stock options and restricted stock is generally recorded as a corporate expense.</w:t>
      </w:r>
    </w:p>
    <w:p>
      <w:pPr>
        <w:spacing w:after="0" w:line="1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total unrecognized compensation cost related to unvested stock option and restricted stock awards of $32.6 million that will be recognized over a weighted average period of 3.8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8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Due to these factors,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have certain significant off balance sheet items described below and in the following section, “—Contractual Obligations” (also see Note 24, Guarantees, to the Consolidated Financial Statements).</w:t>
      </w:r>
    </w:p>
    <w:p>
      <w:pPr>
        <w:spacing w:after="0" w:line="13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2008 we had $44.8 million of bank guarantees issued on our behalf, of which $8.4 million are collateralized by cash deposits held by the respective issuing banks and $30.9 million are supported by stand-by letters of credit issued against the revolving credit facility. These letters of credit reduce the amount available for borrowing under our revolving credit facility.</w:t>
      </w:r>
    </w:p>
    <w:p>
      <w:pPr>
        <w:spacing w:after="0" w:line="14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occasion we grant guarantees in support of obligations of subsidiaries. As of December 31, 2008, we had granted guarantees for cash in various ATM networks amounting to $18.6 million over the terms of the cash supply agreements and performance guarantees amounting to approximately $26.9 million over the terms of the agreements with the customers.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we enter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provisions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140" w:hanging="436"/>
        <w:spacing w:after="0" w:line="286"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In connection with contracts with financial institutions in the EFT Processing Segment, we are responsible for damages to ATMs and theft of ATM network cash that, generally, is not recorded on the Consolidated Balance Sheet. As of December 31, 2008, the balance of ATM network cash for which we were responsible was approximately $415 million. We maintain insurance policies to mitigate this exposure;</w:t>
      </w:r>
    </w:p>
    <w:p>
      <w:pPr>
        <w:spacing w:after="0" w:line="70" w:lineRule="exact"/>
        <w:rPr>
          <w:rFonts w:ascii="Arial" w:cs="Arial" w:eastAsia="Arial" w:hAnsi="Arial"/>
          <w:sz w:val="17"/>
          <w:szCs w:val="17"/>
          <w:b w:val="1"/>
          <w:bCs w:val="1"/>
          <w:color w:val="auto"/>
        </w:rPr>
      </w:pPr>
    </w:p>
    <w:p>
      <w:pPr>
        <w:ind w:left="660" w:right="440" w:hanging="436"/>
        <w:spacing w:after="0" w:line="264"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have entered into purchase and service agreements with our vendors and into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73"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we have entered into agreements containing indemnification provisions, which are generally described as follows: (i) in connection with acquisitions made by Euronet, we have agreed to indemnify the seller against third party claims made against the seller relating to the subject subsidiary,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83" w:lineRule="exact"/>
        <w:rPr>
          <w:rFonts w:ascii="Arial" w:cs="Arial" w:eastAsia="Arial" w:hAnsi="Arial"/>
          <w:sz w:val="17"/>
          <w:szCs w:val="17"/>
          <w:b w:val="1"/>
          <w:bCs w:val="1"/>
          <w:color w:val="auto"/>
        </w:rPr>
      </w:pPr>
    </w:p>
    <w:p>
      <w:pPr>
        <w:ind w:left="660" w:right="36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have entered into agreements with certain third parties, including banks that provide fiduciary and other services to Euronet or to our benefit plans. Under such agreements, we have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connection with our entry into the money transfer business, we have issued surety bonds in compliance with licensing requirements of the applicable governmental authorities.</w:t>
      </w:r>
    </w:p>
    <w:p>
      <w:pPr>
        <w:spacing w:after="0" w:line="14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are also required to meet minimum capitalization and cash requirements of various regulatory authorities in the jurisdictions in which we have money transfer operations. We are not aware of any significant claims made by the indemnified parties or third parties to guarantee agreements with us and, accordingly, no liabilities were recorded as of December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8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Less than</w:t>
            </w:r>
          </w:p>
        </w:tc>
        <w:tc>
          <w:tcPr>
            <w:tcW w:w="480" w:type="dxa"/>
            <w:vAlign w:val="bottom"/>
          </w:tcPr>
          <w:p>
            <w:pPr>
              <w:spacing w:after="0"/>
              <w:rPr>
                <w:sz w:val="10"/>
                <w:szCs w:val="10"/>
                <w:color w:val="auto"/>
              </w:rPr>
            </w:pPr>
          </w:p>
        </w:tc>
        <w:tc>
          <w:tcPr>
            <w:tcW w:w="146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38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4"/>
              </w:rPr>
              <w:t>32,040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214,373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Estimated contingent acquisition obligations</w:t>
            </w: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Obligations under operating leases</w:t>
            </w: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60,417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18,775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w w:val="94"/>
              </w:rPr>
              <w:t>25,704</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10,901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534,327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4"/>
              </w:rPr>
              <w:t>65,205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226,026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purposes of the above table, our $70 million convertible debentures issued in December 2004 are considered due during 2009, and our $175 million convertible debentures issued in October 2005 are considered due during 2012, representing the first years in which holders have the right to exercise their put option. Additionally, the above table only includes interest on these convertible debentures up to these dates. Although in certain circumstances we may be required to repay our obligations under the Credit Facility six months before any potential repurchase date under our $175 million 3.5% convertible debentures, the table above assumes that these circumstances will not be met and the Credit Facility will be fully repaid at maturity. We have assumed $16.7 million, the December 31, 2008 balance, will be outstanding at all times under the revolving credit facility. The computation of interest for debt obligations with variable interest rates reflects interest rates in effect at December 31, 2008. For additional information on debt obligations, see Note 12, Debt Obligations, to the Consolidated Financial Statements.</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Estimated contingent acquisition obligations as of December 31, 2008 are additional consideration to be settled in cash or Euronet Common Stock that we may have to pay during 2009 and 2010 in connection with the acquisition of Brodos, totaling up to $2.5 million. See Note 6, Acquisitions, to the Consolidated Financial Statements for a more complete description of these acquisitions.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15, Leases, to the Consolidated Financial Statements.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total liability for uncertain tax positions under Financial Accounting Standards Board (“FASB”) Interpretation No. 48 (“FIN 48”) was $8.2 million as of December 31, 2008. We are not able to reasonably estimate the amount by which the liability will increase or decrease over time; however, at this time, we do not expect a significant payment related to these obligations within the next year. See Note 16, Taxes, to the Consolidated Financial Statements for additional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U.S.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income statement effect is generally derived from changes in deferred income taxes, net of valuation allowances, on the balance sheet as measured by differences in the book and tax bases of our assets and liabilities.</w:t>
      </w:r>
    </w:p>
    <w:p>
      <w:pPr>
        <w:spacing w:after="0" w:line="13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16, Taxes, to the Consolidated Financial Statements, gross deferred tax assets were $122.9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partially offset by a valuation allowance of $85.1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70"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2008.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Additionally, we follow the provisions of FIN 48 to account for uncertainty in income tax positions. FIN 48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accordance with SFAS No. 141, “Business Combinations,” we allocate the acquisition purchase price to the tangible assets, liabilities and intangible assets acquired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2008, the Consolidated Balance Sheet includes goodwill of $488.3 million and acquired intangible assets, net of accumulated amortization, of $125.3 million.</w:t>
      </w:r>
    </w:p>
    <w:p>
      <w:pPr>
        <w:spacing w:after="0" w:line="1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accordance with SFAS No. 142, “Goodwill and Other Intangible Assets,”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goodwill, to estimate an implied fair value of the reporting unit’s goodwill. An impairment loss is recognized for any excess of the carrying value of the reporting unit’s goodwill over the implied fair value. As a result of our annual impairment test for the year ended December 31, 2008, we recorded a non-cash goodwill impairment charge of $219.8 million. See Note 10, Goodwill and Acquired Intangible Assets, Net, to the Consolidated Financial Statements for additional information regarding this charge. Our annual impairment tests during the years 2007 and 2006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 could change, which may result in the recording of additional material non-cash impairment charges during the year in which these changes take place.</w:t>
      </w:r>
    </w:p>
    <w:p>
      <w:pPr>
        <w:spacing w:after="0" w:line="1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“Impact of New and Emerging Accounting Pronouncements Not Yet Adopted” below for discussion regarding issuance of SFAS No. 141R, “Business Combinations,” that will be effective for acquisitions we complete after January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accordance with SFAS No. 144, “Accounting for the Impairment or Disposal of Long-Lived Assets,”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Emerging Issues Task Force (“EITF”) 99-19, “Reporting Revenue Gross as Principle versus Net as an Agent,” EITF 00-21, “Accounting for Revenue Arrangements with Multiple Deliverables,” and other various interpretations.</w:t>
      </w:r>
    </w:p>
    <w:p>
      <w:pPr>
        <w:spacing w:after="0" w:line="1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record certain revenues in the EFT Processing Segment related to the sale of EFT software solutions for electronic payment and transaction delivery systems, including professional fees for implementation and customization, ongoing software maintenance and associated computer hardware. When determining the proper revenue recognition for these items, in addition to SAB 101, SAB 104, and EITF 00-21, we also consider the guidance contained in Statement of Position (“SOP”) 97-2, “Software Revenue Recognition,” as amended by SOP 98-4 and SOP 98-9, and SOP 81-1, “Accounting for Performance of Construction-Type and Certain Production-Type Contracts.” Applying U.S. GAAP revenue recognition guidance to the software business requires more detailed knowledge of the rules and is subject to more complex judgment. For the year ended December 31, 2008, revenues from software and software-related products and services represented less than 2% of our total consolidated revenues.</w:t>
      </w:r>
    </w:p>
    <w:p>
      <w:pPr>
        <w:spacing w:after="0" w:line="1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 producing activities, as well as the proper and consistent application of our determined methodology.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During February 2009, we entered into Amendment No. 2 to the Credit Facility to, among other items, (i) (a) grant us the ability to repurchase the remaining $70 million of outstanding 1.625% Convertible Senior Debentures Due 2024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We incurred costs of approximately $1.5 million in connection with the amendment, which will be recognized as additional interest expense over the remaining term of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EMERGING ACCOUNTING PRONOUNCEMENTS NOT YET ADOPTED</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May 2008, the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our $140 million convertible senior debentures and our $175 million convertible debentures. The new accounting treatment will require us to retrospectively record a significant amount of non-cash interest as the discount on the debt is amortized. We estimate that we will record additional interest expense of approximately $12 million for each of the years ended December 31, 2008 and 2007. Additionally, the pre-tax gains on the early retirements of the convertible debentures in 2008 will be reduced by approximately $4 million.</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Our adoption of SFAS No. 161 is not expected to have a material impact on the Consolidated Financial Statements.</w:t>
      </w:r>
    </w:p>
    <w:p>
      <w:pPr>
        <w:spacing w:after="0" w:line="1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Our adoption of FSP FAS 142-3 is not expected to have a material impact on the Consolidated Financial Statements.</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2007, the FASB issued SFAS No. 141R, “Business Combinations,” which is a revision of SFAS No. 141, “Business Combinations.” SFAS No. 141R will apply to all business combinations and will require most identifiable assets, liabilities, noncontrolling interests, and goodwill acquired in a business combination to be recorded at “full fair value.” SFAS No. 141R will also require transaction-related costs to be expensed in the period incurred, rather than capitalizing these costs as a component of the respective purchase price. SFAS No. 141R is effective for acquisitions that we may complete after January 1, 2009 and early adoption was prohibited. The adoption will have a significant impact on the accounting treatment for acquisitions occurring after the effective date.</w:t>
      </w:r>
    </w:p>
    <w:p>
      <w:pPr>
        <w:spacing w:after="0" w:line="15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that replaces Accounting Research Bulletin (“ARB”) 51, “Consolidated Financial Statements.” SFAS No. 160 will require noncontrolling interests (previously referred to as minority interests) to be reported as a component of equity, which will change the accounting for transactions with noncontrolling interest holders. SFAS No. 160 is effective for Euronet on January 1, 2009 and will result in a change in the classification of noncontrolling interest from a component of liabilities to a component of equity in Consolidated Balance Sheets and will change the accounting for transactions with noncontrolling shareholders after the effective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as amended.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and financing plans and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technological advances,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Although we believe that the expectations reflected in such forward-looking statements are reasonable, we can give no assurance that such expectations will prove to be correct. Forward-looking statements are typically identified by the words believe, expect, anticipate, intend, estimate and similar expressions.</w:t>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including, but not limited to, those referred to above and as set forth in Item 1A – Risk Factors.</w:t>
      </w:r>
    </w:p>
    <w:p>
      <w:pPr>
        <w:spacing w:after="0" w:line="166" w:lineRule="exact"/>
        <w:rPr>
          <w:sz w:val="20"/>
          <w:szCs w:val="20"/>
          <w:color w:val="auto"/>
        </w:rPr>
      </w:pPr>
    </w:p>
    <w:p>
      <w:pPr>
        <w:ind w:right="4120"/>
        <w:spacing w:after="0" w:line="407"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i w:val="1"/>
          <w:iCs w:val="1"/>
          <w:color w:val="auto"/>
        </w:rPr>
        <w:t>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completing the acquisition of RIA in April 2007, we entered into a $290 million secured syndicated credit facility consisting of a</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which accrue interest at variable rates. This credit facility replaced our $50 million revolving credit facility. The credit facility may be expanded by up to an additional $150 million in term loans and up to an additional $25 million for the revolving line of credit, subject to satisfaction of certain conditions including pro forma debt covenant compliance. This facility substantially increased our interest rate risk.</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2008, our total outstanding debt was $405.0 million. Of this amount, $245 million, or 61% of our total debt obligations, relates to contingent convertible debentures having fixed coupon rates. Our $175 million contingent convertible debentures, issued in October 2005, accrue interest at a rate of 3.5% per annum. The $70 million contingent convertible debentures, issued in December 2004 accrue interest at a rate of 1.625% per annum. Based on quoted market prices, as of December 31, 2008 the fair value of our fixed rate convertible debentures was $175.7 million, compared to a carrying value of $245 million.</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Through the use of interest rate swap agreements covering the period from June 1, 2007 to May 29, 2009, an additional $50.0 million of our variable rate term debt, or 12% of our total debt, has been effectively converted to a fixed rate of 7.3%. As of December 31, 2008, the unrealized loss on the interest rate swap agreements was $0.8 million. Interest expense, including amortization of deferred debt issuance costs, for our total $295.0 million in fixed rate debt totals approximately $12.2 million per year, or a weighted average interest rate of 4.1% annually. Additionally, approximately $11.0 million, or 3% of our total debt obligations, relate to capitalized leases with fixed payment and interest terms that expire between 2009 and 2014.</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remaining $99.0 million, or 24%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annualized interest expense of approximately $1.8 million. This computation excludes the $50.0 million relating to the interest rate swap discussed above and the potential $150.0 million from an expanded term loan because of the limited circumstances under which the additional amounts would be available to us for borrowing. For more information regarding our debt obligations, see Note 12, Debt Obligations, to the Consolidated Financial Statements.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years ended December 31, 2008 and 2007, 76% of our revenues were generated in non-U.S. dollar countries. We expect to continue generating a significant portion of our revenues in countries with currencies other than the U.S. dollar.</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to the euro, British pound, Australian dollar and Polish zloty. As of December 31, 2008,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 million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December 31, 2008, we had foreign currency derivative instruments, primarily forward contracts, outstanding with a notional value of $56.5 million, primarily in euros that were not designated as hedges and mature in a weighted average of five days. The fair value of these forward contracts as of December 31, 2008 was an unrealized gain of approximately $0.3 million, which was mostly offset by the unrealized loss on the related foreign currency receivables.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70"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2008 and 2007, and the related consolidated statements of operations, changes in stockholders’ equity and cash flows for each of the years in the three-year period ended December 31, 2008. We also have audited the Company’s internal control over financial reporting as of December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Euronet Worldwide, Inc.’s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these consolidated financial statements and an opinion on the Company’s internal control over financial reporting based on our audits.</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We believe that our audits provide a reasonable basis for our opinions.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2008 and 2007, and the results of their operations and their cash flows for each of the years in the three-year period ended December 31, 2008, in conformity with U.S. generally accepted accounting principles. Also in our opinion, Euronet Worldwide, Inc. maintained, in all material respects, effective internal control over financial reporting as of December 31, 2008,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As discussed in Note 3 to the consolidated financial statements, the Company adopted the provisions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as of January 1, 2008. Also, as discussed in Notes 3 and 16 to the consolidated financial statements, 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an interpretation of FASB Statement No. 109, as of January 1, 2007.</w:t>
      </w:r>
    </w:p>
    <w:p>
      <w:pPr>
        <w:spacing w:after="0" w:line="7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181,341</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131,025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61,279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tcPr>
          <w:p>
            <w:pPr>
              <w:ind w:left="200"/>
              <w:spacing w:after="0" w:line="201" w:lineRule="exact"/>
              <w:rPr>
                <w:sz w:val="20"/>
                <w:szCs w:val="20"/>
                <w:color w:val="auto"/>
              </w:rPr>
            </w:pPr>
            <w:r>
              <w:rPr>
                <w:rFonts w:ascii="Arial" w:cs="Arial" w:eastAsia="Arial" w:hAnsi="Arial"/>
                <w:sz w:val="18"/>
                <w:szCs w:val="18"/>
                <w:color w:val="auto"/>
                <w:w w:val="96"/>
              </w:rPr>
              <w:t>Trade accounts receivable, net of allowances for doubtful accounts of $9,445 at December 31, 2008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$6,194 at December 31, 2007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261,084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35,352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682,349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802,484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Property and equipment, net of accumulated depreciation of $125,258 at December 31, 2008 and $119,190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December 31, 2007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89,532</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488,305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762,723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Acquired intangible assets, net of accumulated amortization of $62,920 at December 31, 2008 and $44,450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December 31, 2007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125,313</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29,304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net of accumulated amortization of $17,476 at December 31, 2008 and $12,649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21,268</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1,440,124</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1,886,156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245,671</w:t>
            </w:r>
          </w:p>
        </w:tc>
        <w:tc>
          <w:tcPr>
            <w:tcW w:w="42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306,155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223,814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4,614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portion of long-term debt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72,098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16,590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14,914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586,652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523,174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321,909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6,356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51,745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6,872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981,119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1,162,254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$0.02 par value. 90,000,000 shares authorized; 50,605,909 issued at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and 49,159,968 issued at December 31, 2007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668,133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658,047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Treasury stock, at cost, 225,072 shares at December 31, 2008 and 207,065 shares at December 31, 2007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(201,002)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(9,350)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1,440,124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1,886,156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919"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19"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205,257</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174,049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609,106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569,858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231,302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158,759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1,045,665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902,666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615,376</w:t>
            </w:r>
          </w:p>
        </w:tc>
        <w:tc>
          <w:tcPr>
            <w:tcW w:w="0" w:type="dxa"/>
            <w:vAlign w:val="bottom"/>
          </w:tcPr>
          <w:p>
            <w:pPr>
              <w:spacing w:after="0"/>
              <w:rPr>
                <w:sz w:val="1"/>
                <w:szCs w:val="1"/>
                <w:color w:val="auto"/>
              </w:rPr>
            </w:pPr>
          </w:p>
        </w:tc>
      </w:tr>
      <w:tr>
        <w:trPr>
          <w:trHeight w:val="439"/>
        </w:trPr>
        <w:tc>
          <w:tcPr>
            <w:tcW w:w="6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703,842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623,548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129,098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105,289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220,077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excise tax refund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56,251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46,997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1,194,686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826,432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564,604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(149,021)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76,234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50,772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16,250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Gain (loss) on early retirement of debt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(35,712)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6,102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Income (loss) from continuing operations before income taxes and minority</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(184,733)</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82,336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(10,228)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(27,759)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(194,026)</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52,537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45,373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(195,097)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53,504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49,180,908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45,260,803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37,037,435</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 diluted:</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49,180,908</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51,014,086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42,456,137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757"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57"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No.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1"/>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Subscription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Paid in</w:t>
            </w: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Receivable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35,776,431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312,025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1060" w:type="dxa"/>
            <w:vAlign w:val="bottom"/>
          </w:tcPr>
          <w:p>
            <w:pPr>
              <w:jc w:val="right"/>
              <w:spacing w:after="0"/>
              <w:rPr>
                <w:sz w:val="20"/>
                <w:szCs w:val="20"/>
                <w:color w:val="auto"/>
              </w:rPr>
            </w:pPr>
            <w:r>
              <w:rPr>
                <w:rFonts w:ascii="Arial" w:cs="Arial" w:eastAsia="Arial" w:hAnsi="Arial"/>
                <w:sz w:val="18"/>
                <w:szCs w:val="18"/>
                <w:color w:val="auto"/>
              </w:rPr>
              <w:t>1,539,014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14,630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7,366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109,542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4,123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20" w:type="dxa"/>
            <w:vAlign w:val="bottom"/>
            <w:gridSpan w:val="2"/>
          </w:tcPr>
          <w:p>
            <w:pPr>
              <w:spacing w:after="0"/>
              <w:rPr>
                <w:sz w:val="20"/>
                <w:szCs w:val="20"/>
                <w:color w:val="auto"/>
              </w:rPr>
            </w:pPr>
            <w:r>
              <w:rPr>
                <w:rFonts w:ascii="Arial" w:cs="Arial" w:eastAsia="Arial" w:hAnsi="Arial"/>
                <w:sz w:val="18"/>
                <w:szCs w:val="18"/>
                <w:color w:val="auto"/>
              </w:rPr>
              <w:t>Balance at December 31, 2006</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37,440,027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338,216</w:t>
            </w:r>
          </w:p>
        </w:tc>
        <w:tc>
          <w:tcPr>
            <w:tcW w:w="8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available-for-sale</w:t>
            </w: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809,313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8,177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4,329,035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149,594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Private placement of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6,374,528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154,192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2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48,952,903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658,047</w:t>
            </w:r>
          </w:p>
        </w:tc>
        <w:tc>
          <w:tcPr>
            <w:tcW w:w="8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8,579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contingent value rights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1,114,550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50,380,837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668,133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Comprehensive Income (Loss)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3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5"/>
              </w:rPr>
              <w:t>Accumulated</w:t>
            </w:r>
          </w:p>
        </w:tc>
        <w:tc>
          <w:tcPr>
            <w:tcW w:w="16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Restricted</w:t>
            </w:r>
          </w:p>
        </w:tc>
        <w:tc>
          <w:tcPr>
            <w:tcW w:w="1000" w:type="dxa"/>
            <w:vAlign w:val="bottom"/>
            <w:tcBorders>
              <w:top w:val="single" w:sz="8" w:color="auto"/>
            </w:tcBorders>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Cumulative</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rPr>
              <w:t>Other</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Translation</w:t>
            </w: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Reserve</w:t>
            </w:r>
          </w:p>
        </w:tc>
        <w:tc>
          <w:tcPr>
            <w:tcW w:w="70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Adjustment</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(105,411)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210,239</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46,002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26,371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72,373</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Shares issued for acquisitions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Balance at December 31, 2006</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(59,409)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28,823</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53,504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acquisitions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Private placement of shares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70,621</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(195,097)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(79,261)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contingent value rights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(201,002)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8100" w:type="dxa"/>
            <w:vAlign w:val="bottom"/>
            <w:gridSpan w:val="9"/>
          </w:tcPr>
          <w:p>
            <w:pPr>
              <w:ind w:left="334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(195,097)</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53,504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432"/>
        </w:trPr>
        <w:tc>
          <w:tcPr>
            <w:tcW w:w="6780" w:type="dxa"/>
            <w:vAlign w:val="bottom"/>
            <w:gridSpan w:val="2"/>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57,208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8,547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7,736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220,077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18,760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Gain on repurchase of bonds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(6,625)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Income (loss) assigned to minority interest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3,481</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2,354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5,260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(5,595)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(46,054)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(19,169)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3,619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(21,363)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1,635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(20,210)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1,835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93,052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91,248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78,336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95,927</w:t>
            </w:r>
          </w:p>
        </w:tc>
        <w:tc>
          <w:tcPr>
            <w:tcW w:w="0" w:type="dxa"/>
            <w:vAlign w:val="bottom"/>
          </w:tcPr>
          <w:p>
            <w:pPr>
              <w:spacing w:after="0"/>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(352,684)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26,000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(26,000)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available for sale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(19,990)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(39,710)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(38,083)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(21,349)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(439,937)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(26,125)</w:t>
            </w:r>
          </w:p>
        </w:tc>
        <w:tc>
          <w:tcPr>
            <w:tcW w:w="0" w:type="dxa"/>
            <w:vAlign w:val="bottom"/>
          </w:tcPr>
          <w:p>
            <w:pPr>
              <w:spacing w:after="0"/>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167,727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line="201" w:lineRule="exact"/>
              <w:rPr>
                <w:sz w:val="20"/>
                <w:szCs w:val="20"/>
                <w:color w:val="auto"/>
              </w:rPr>
            </w:pPr>
            <w:r>
              <w:rPr>
                <w:rFonts w:ascii="Arial" w:cs="Arial" w:eastAsia="Arial" w:hAnsi="Arial"/>
                <w:sz w:val="18"/>
                <w:szCs w:val="18"/>
                <w:color w:val="auto"/>
              </w:rPr>
              <w:t>Net borrowings (repayments) of short-term debt obligations and revolving credit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agreements classified as current liabilities</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(4,862)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270,020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880,013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(315,061)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(888,950)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(95,375)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(26,000)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(145,730)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301,537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24,722</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8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(9,867)</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6,597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(85,698)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(53,467)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color w:val="auto"/>
              </w:rPr>
              <w:t>Cash and cash equivalents at beginning of period (includes cash of discontinued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operations of $722 in 2008, $1,446 in 2007 and $0 in 2006)</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267,591</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321,058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Cash and cash equivalents at end of period (includes cash of discontinued operations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$552 in 2008, $722 in 2007 and $1,446 in 2006)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181,893</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267,591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22,124</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24,110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23,745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ectPr>
          <w:pgSz w:w="11900" w:h="16838" w:orient="portrait"/>
          <w:cols w:equalWidth="0" w:num="1">
            <w:col w:w="11420"/>
          </w:cols>
          <w:pgMar w:left="240" w:top="419" w:right="239" w:bottom="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980"/>
        <w:spacing w:after="0" w:line="407" w:lineRule="auto"/>
        <w:rPr>
          <w:sz w:val="20"/>
          <w:szCs w:val="20"/>
          <w:color w:val="auto"/>
        </w:rPr>
      </w:pPr>
      <w:r>
        <w:rPr>
          <w:rFonts w:ascii="Arial" w:cs="Arial" w:eastAsia="Arial" w:hAnsi="Arial"/>
          <w:sz w:val="18"/>
          <w:szCs w:val="18"/>
          <w:b w:val="1"/>
          <w:bCs w:val="1"/>
          <w:color w:val="auto"/>
        </w:rPr>
        <w:t>NOTES TO THE CONSOLIDATED FINANCIAL STATEMENTS FOR THE YEARS ENDED DECEMBER 31, 2008, 2007, AND 2006 (1) ORGANIZATION</w:t>
      </w:r>
    </w:p>
    <w:p>
      <w:pPr>
        <w:spacing w:after="0" w:line="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international providers of “top-up” services for prepaid products, primarily prepaid mobile airtime. The EFT Processing Segment provides end-to-end solutions relating to operations of automated teller machine (“ATM”) and Point of Sale (“POS”) networks, and debit and credit card processing in Europe, the Middle East and Asia Pacific.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primarily in North America and Europe, disbursing money transfers through a worldwide payer network.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exercise significant influence, are accounted for under the equity method. Euronet is not involved with any variable interest entities, as defined by the Financial Accounting Standards Board (“FASB”) Interpretation No. 46R, “Consolidation of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in acquisitions and revenue recognition. Actual results could differ from those estimates.</w:t>
      </w:r>
    </w:p>
    <w:p>
      <w:pPr>
        <w:spacing w:after="0" w:line="184" w:lineRule="exact"/>
        <w:rPr>
          <w:sz w:val="20"/>
          <w:szCs w:val="20"/>
          <w:color w:val="auto"/>
        </w:rPr>
      </w:pPr>
    </w:p>
    <w:p>
      <w:pPr>
        <w:ind w:right="4920"/>
        <w:spacing w:after="0" w:line="407" w:lineRule="auto"/>
        <w:rPr>
          <w:sz w:val="20"/>
          <w:szCs w:val="20"/>
          <w:color w:val="auto"/>
        </w:rPr>
      </w:pPr>
      <w:r>
        <w:rPr>
          <w:rFonts w:ascii="Arial" w:cs="Arial" w:eastAsia="Arial" w:hAnsi="Arial"/>
          <w:sz w:val="18"/>
          <w:szCs w:val="18"/>
          <w:b w:val="1"/>
          <w:bCs w:val="1"/>
          <w:color w:val="auto"/>
        </w:rPr>
        <w:t xml:space="preserve">(3) SUMMARY OF SIGNIFICANT ACCOUNTING POLICIES AND PRACTICES </w:t>
      </w:r>
      <w:r>
        <w:rPr>
          <w:rFonts w:ascii="Arial" w:cs="Arial" w:eastAsia="Arial" w:hAnsi="Arial"/>
          <w:sz w:val="18"/>
          <w:szCs w:val="18"/>
          <w:b w:val="1"/>
          <w:bCs w:val="1"/>
          <w:i w:val="1"/>
          <w:iCs w:val="1"/>
          <w:color w:val="auto"/>
        </w:rPr>
        <w:t>Foreign currencies</w:t>
      </w:r>
    </w:p>
    <w:p>
      <w:pPr>
        <w:spacing w:after="0" w:line="1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8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Inventory — PINs and other is valued at the lower of cost or fair market value and represents primarily prepaid personal identification number (“PIN”) inventory for prepaid mobile airtime related to the Prepaid Processing Segment. PIN inventory is generally managed on a specific identification basis that approximates first in, first out for the respective denomination of prepaid mobile airtime sold. Additionally, from time to time, Inventory — PINs and other may include POS terminals, mobile phone handsets and ATMs held by the Company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ectPr>
          <w:pgSz w:w="11900" w:h="16838" w:orient="portrait"/>
          <w:cols w:equalWidth="0" w:num="1">
            <w:col w:w="11400"/>
          </w:cols>
          <w:pgMar w:left="240" w:top="41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Depreciation is calculated using the straight-line method over the estimated useful lives of the respective assets. Depreciation and amortization rates are generally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Automated teller machines (ATMs) or ATM upgrades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POS terminals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Vehicles and office equipment</w:t>
            </w:r>
          </w:p>
        </w:tc>
        <w:tc>
          <w:tcPr>
            <w:tcW w:w="57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ATM cassettes</w:t>
            </w:r>
          </w:p>
        </w:tc>
        <w:tc>
          <w:tcPr>
            <w:tcW w:w="5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 accounts for goodwill and other intangible assets in accordance with Statement of Financial Accounting Standards (“SFAS”) No. 142, “Goodwill and Other Intangible Assets.” SFAS No. 142 requires that the Company test for impairment on an annual basis and whenever events or circumstances dictate.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the Company’s annual impairment test for the year ended December 31, 2008, the Company recorded a non-cash goodwill impairment charge of $219.8 million. See Note 10, Goodwill and Acquired Intangible Assets, Net, for additional information regarding this charge. The Company’s annual impairment tests for the years ended December 31, 2007 and 2006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SFAS No. 142,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4980" w:type="dxa"/>
            <w:vAlign w:val="bottom"/>
          </w:tcPr>
          <w:p>
            <w:pPr>
              <w:jc w:val="right"/>
              <w:spacing w:after="0"/>
              <w:rPr>
                <w:sz w:val="20"/>
                <w:szCs w:val="20"/>
                <w:color w:val="auto"/>
              </w:rPr>
            </w:pPr>
            <w:r>
              <w:rPr>
                <w:rFonts w:ascii="Arial" w:cs="Arial" w:eastAsia="Arial" w:hAnsi="Arial"/>
                <w:sz w:val="18"/>
                <w:szCs w:val="18"/>
                <w:color w:val="auto"/>
              </w:rPr>
              <w:t>2 – 20 years</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Developed software technology</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980" w:type="dxa"/>
            <w:vAlign w:val="bottom"/>
          </w:tcPr>
          <w:p>
            <w:pPr>
              <w:jc w:val="right"/>
              <w:spacing w:after="0"/>
              <w:rPr>
                <w:sz w:val="20"/>
                <w:szCs w:val="20"/>
                <w:color w:val="auto"/>
              </w:rPr>
            </w:pPr>
            <w:r>
              <w:rPr>
                <w:rFonts w:ascii="Arial" w:cs="Arial" w:eastAsia="Arial" w:hAnsi="Arial"/>
                <w:sz w:val="18"/>
                <w:szCs w:val="18"/>
                <w:color w:val="auto"/>
              </w:rPr>
              <w:t>3 – 9 years</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8"/>
                <w:szCs w:val="18"/>
                <w:color w:val="auto"/>
              </w:rPr>
            </w:pPr>
          </w:p>
        </w:tc>
      </w:tr>
    </w:tbl>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10, Goodwill and Acquired Intangible Assets, Net, for additional information regarding SFAS No. 142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Other assets include deferred financing costs, costs related to in process acquisitions,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 in affiliates, primarily related to the Company’s 40% investment in e-pay Malaysia, as of December 31, 2008 and 2007 was $2.5 million and $2.1 million, respectively. Undistributed earnings in these affiliates as of December 31, 2008 and 2007 were $2.8 million and $2.0 million, respectively.</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six months ended June 30, 2008, the value of the Company’s investment in MoneyGram declined and the Company determined the decline to be other than temporary. Accordingly, the Company</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recognized impairment losses associated with the investment of $18.8 million during the six months ended June 30, 2008 and reversed the $0.6 million gain recorded during 2007 in other comprehensive income. Additionally, the $0.1 million gain during the six months ended December 31, 2008 was recorded in other comprehensive income. The investment is recorded in other current assets on the Company’s Consolidated Balance Sheet as of December 31, 2008.</w:t>
      </w:r>
    </w:p>
    <w:p>
      <w:pPr>
        <w:ind w:right="600"/>
        <w:spacing w:after="0" w:line="261" w:lineRule="auto"/>
        <w:rPr>
          <w:sz w:val="20"/>
          <w:szCs w:val="20"/>
          <w:color w:val="auto"/>
        </w:rPr>
      </w:pPr>
      <w:r>
        <w:rPr>
          <w:rFonts w:ascii="Arial" w:cs="Arial" w:eastAsia="Arial" w:hAnsi="Arial"/>
          <w:sz w:val="18"/>
          <w:szCs w:val="18"/>
          <w:color w:val="auto"/>
        </w:rPr>
        <w:t>During the first quarter 2008, the Company also recorded acquisition related expenses totaling $3.0 million, which are included in selling,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2007, the Company adopted the provisions of FASB Interpretation No. 48, “Accounting for Uncertainty in Income Taxes” (“FIN 48”), an interpretation of SFAS No. 109, “Accounting for Income Taxes.” The Company’s policy is to record estimated interest and penalties related to the underpayment of income taxes as income tax expense in the Consolidated Statements of Operations. See Note 16, Taxes, for further discussion regarding the adoption of FIN 48.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The Company presents taxes collected and remitted to governmental authorities on a net basis in the accompanying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January 1, 2008, the Company adopted the provisions of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 Accordingly, this Statement does not require any new fair value measurements. Additionally, FASB Staff Position No. 157-2, “Effective Date of FASB Statement No. 157,” delayed the effective date of SFAS No. 157 to fiscal years beginning after November 15, 2008 for certain nonfinancial assets and liabilities. Beginning January 1, 2009, the Company adopted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The Company does not expect the provisions of SFAS No. 157 related to these items to have a material impact on its consolidated financial statements. See Note 20, Financial Instruments and Fair Value Measurements, for the required fair value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SFAS No. 133, “Accounting for Derivative Instruments and Hedging Activities,” as amended, which requires that all derivative instruments be recognized as either assets or liabilities on the balance sheet at fair value. During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12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Money Transfer Segment, the Company enters into foreign currency derivative contracts, primarily forward contracts, to offset foreign currency exposure related to the notional value of money transfer settlement assets and liabilities in currencies other than the U.S. dollar. These contracts are considered derivative instruments under the provisions of SFAS No. 133; however, the Company does not designate such instruments as hedges for accounting purposes. Accordingly, changes in the value of these contracts are recognized immediately as a component of foreign currency exchange gain (loss), net in the Consolidated Statement of Operations. The impact of changes in value of these contracts, together with the impact of the change in value of the related foreign currency denominated settlement asset or liability, on the Company’s Consolidated Statement of Operations and Consolidated Balance Sheets is not significant.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 See Note 13, Derivative Instruments and Hedging Activities, for further discussion of derivative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14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EFT Processing</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in the EFT Processing Segment is derived from primarily two sources: i) transaction and management fees from owned and outsourced ATM, POS and card processing networks; and ii) from the sale of EFT software solutions for electronic payment and transaction delivery systems.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Transaction-based fees include charges for cash withdrawals, balance inquiries, transactions not completed because the relevant card issuer does not give authorization or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6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1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Revenue from the sale of EFT software solutions represent software license fees, professional service fees for installation and customization, ongoing software maintenance fees and revenue from the sale of hardware associated with the system.</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recognizes professional service fee revenue in accordance with the provisions of Statement of Position (“SOP”) 97-2, “Software Revenue Recognition,” as amended by SOP 98-4, SOP 98-9 and clarified by SAB 101, SAB 104, “Revenue Recognition,” and EITF Issue No. 00-21, “Accounting for Revenue Arrangements with Multiple Deliverables.” SOP 97-2, as amended, generally requires revenue earned on software arrangements involving multiple-elements to be allocated to each element based on the relative fair values of those elements. Revenue from multiple-element software arrangements is recognized using the residual method. Under the residual method, revenue is recognized in a multiple-element arrangement when vendor-specific objective evidence of fair value exists for all of the undelivered elements in the arrangement, but does not exist for one or more of the delivered elements in the arrangement. The Company allocates revenue to each element in a multiple-element arrangement based on the element’s respective fair value, with the fair value determined by the price charged when that element is sold separately.</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 of completion method, following the guidance in SOP 81-1, “Accounting for Performance of Construction-Type and Certain Production-Type Contracts,” as prescribed by SOP 97-2. This method is based on the percentage of professional service fees that are provided compared with the total estimated professional services to be provided over the entire term of the contract. The effect of changes to total estimated contract costs is recognized in the period such changes are determined and provisions for estimated losses are made in the period in which the loss first becomes probable and estimable. Revenues from software licensing agreement contracts representing newly released products deemed to have a higher than normal risk of failure during installation are recognized on a completed contract basis whereby revenues and related costs are deferred until the contract is complete.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$0.9 million and $1.0 million as of December 31, 2008 and 2007, respectively, and is recorded in prepaid expenses and other current assets. Billings in excess of revenue on software license agreements was $3.7 million and $1.7 million as of December 31, 2008 and 2007, respectively and is recorded as deferred revenue until such time the above revenue recognition criteria are met.</w:t>
      </w:r>
    </w:p>
    <w:p>
      <w:pPr>
        <w:spacing w:after="0" w:line="13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u w:val="single" w:color="auto"/>
          <w:color w:val="auto"/>
        </w:rPr>
        <w:t>Prepaid Processing</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Substantially all of the revenue generated in the Prepaid Processing Segment is derived from commissions or processing fees associated with distribution and/or processing of prepaid mobile airtime and other telecommunication products. These fees and commissions are received from mobile and other telecommunication operators, top-up distributors or retailers. In accordance with EITF 99-19, “Reporting Revenue Gross as Principal versus Net as an Agent,” commissions received from mobile and other telecommunication operators are recognized as revenue during the period in which the Company provides the service. The portion of the commission that is paid to retailers is recorded as a direct operating cost. Transactions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processed through a network of POS terminals and direct connections to the electronic payment systems of retailers. Transaction processing fees are recognized at the time the transactions are processed.</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EITF 99-19, revenue for money transfer services represents a transaction fee in addition to the difference between purchasing currency at wholesale exchange rates and selling the currency to consumers at retail exchange rates. Revenue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Computer software to be sold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applies SFAS No. 2, “Accounting for Research and Development Costs,” and SFAS No. 86, “Accounting for the Costs of Computer Software to be Sold, Leased or Otherwise Marketed,”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21,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costs are included in other assets and are amortized on a product-by-product basis, equal to the greater of the amount computed using</w:t>
      </w:r>
    </w:p>
    <w:p>
      <w:pPr>
        <w:spacing w:after="0" w:line="46" w:lineRule="exact"/>
        <w:rPr>
          <w:sz w:val="20"/>
          <w:szCs w:val="20"/>
          <w:color w:val="auto"/>
        </w:rPr>
      </w:pPr>
    </w:p>
    <w:p>
      <w:pPr>
        <w:jc w:val="both"/>
        <w:ind w:right="20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that current gross revenues for a product bear to the total of current and anticipated future gross revenues for that product or (ii) the straight-line method over the remaining estimated economic life of the product, generally three years, including the period being reported on. Amortization commences when the product is available for general release to customers.</w:t>
      </w:r>
    </w:p>
    <w:p>
      <w:pPr>
        <w:spacing w:after="0" w:line="15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are capitalized based upon AICPA Statement of Position No. 98-1, “Accounting for the Costs of Computer Software Developed or Obtained for Internal Use.”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 Internal-use software development costs are amortized using an estimated useful life of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follows the provisions of SFAS No. 123R, “Share-Based Payment,” which is a revision of SFAS No. 123, “Accounting for Stock-Based Compensation,” and supersedes Accounting Principles Board (“APB”) Opinion No. 25, “Accounting for Stock Issued to Employees.” For equity classified awards, SFAS No. 123R requires the determination of the fair value of the share-based compensation at the grant date and subsequent recognition of the related expense over the period in which the share-based compensation is earned (“requisite service period”). The portion of share-based compensation to be settled in cash is accounted for as a liability classified award. The fair value of these awards is remeasured at each reporting period and the related compensation expense is adjusted.</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The Company has elected to use the “with and without method” when calculating the income tax benefit associated with its share-based payment arrangements. See Note 18, Stock Plans, for further disclosure.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2008, the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the Company’s $140 million convertible senior debentures and its $175 million convertible debentures. The new accounting treatment will require Euronet to retrospectively record a significant amount of non-cash interest as the discount on the debt is amortized. The Company estimates that it will record additional interest expense of approximately $12 million for each of the years ended December 31, 2008 and 2007. Additionally, the pre-tax gains on the early retirements of the convertible debentures recorded during the year ended December 31, 2008 will be reduced by approximately $4 million.</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The Company’s adoption of SFAS No. 161 is not expected to have a material impact on the Consolidated Financial Statements.</w:t>
      </w:r>
    </w:p>
    <w:p>
      <w:pPr>
        <w:spacing w:after="0" w:line="1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The Company’s adoption of FSP FAS 142-3 is not expected to have a material impact on the Consolidated Financial Statements.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141R, “Business Combinations,” which is a revision of SFAS No. 141, “Business Combinations.” SFAS No. 141R will apply to all business combinations and will require most identifiable assets, liabilities, noncontrolling interests, and goodwill acquired in a business combination to be recorded at “full fair value” at the acquisition date. SFAS No 141R will also require transaction-related costs to be expensed in the period incurred, rather than capitalizing these costs as a component of the respective purchase price. SFAS No. 141R is effective for Euronet for acquisitions completed after January 1, 2009 and early adoption is prohibited. The adoption will have a significant impact on the accounting treatment for acquisitions occurring after the effective date.</w:t>
      </w:r>
    </w:p>
    <w:p>
      <w:pPr>
        <w:spacing w:after="0" w:line="1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that replaces Accounting Research Bulletin (“ARB”) 51, “Consolidated Financial Statements.” SFAS No. 160 will require noncontrolling interests (previously referred to as minority interests) to be reported as a component of equity, which will change the accounting for transactions with noncontrolling interest holders. SFAS No. 160 is effective for Euronet on January 1, 2009 and will result in a change in the classification of the Company’s noncontrolling interest from a component of liabilities to a component of equity in Consolidated Balance Sheets and will change the accounting for transactions with noncontrolling shareholders after the effective date. The adoption of SFAS No. 160 is not expected to have a material impact on the Company’s Consolidated Financial Statements.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The following table provides a reconciliation of net income to earnings available to common stockholders and the computation of diluted weighted average number of common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Reconciliation of net income to earnings available to common stockholders: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53,504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of 1.625% convertible debentures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56,679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45,260,803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37,037,435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4,163,488</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shares issuable in connection with acquisition obligations (See Note 6 -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478,149</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1,111,646</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Potentially diluted weighted average shares outstanding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51,014,086</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42,456,137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For the year ended December 31, 2008, the Company incurred a net loss; therefore, diluted loss per share is the same as basic loss per share. The calculation of diluted earnings per share excludes stock options or shares of restricted stock that are anti-dilutive to the Company’s weighted average common shares outstanding for the years ended December 31, 2008, 2007 and 2006 of approximately 5,046,000, 458,000 and 240,000,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$140 million of 1.625% convertible senior debentures due 2024 and $175 million of 3.5% convertible debentures due 2025 (see Note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12, Debt Obligations) that, if converted, would have a potentially dilutive effect on the Company’s stock. The $140 million 1.625% debentures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into 4.2 million shares of Common Stock for the periods when the entire issuance was outstanding, with an initial conversion date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2009, and the $175 million 3.5% debentures are convertible into 4.3 million shares of Common Stock, initially in October 2012, or earlier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occurrence of certain conditions. See Note 12, Debt Obligations, for discussion of the Company’s repurchase of a portion of the 1.625% debentures.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by EITF Issue No. 04-8, “The Effect of Contingently Convertible Debt on Diluted Earnings per Share,” if dilutive, the impact of the contingently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issuable shares must be included in the calculation of diluted earnings per share under the “if-converted” method, regardless of whether the conditions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the debentures would be convertible into shares of the Company’s Common Stock have been met. Under the if-converted method, the assumed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of the 1.625% convertible debentures was anti-dilutive for the year ended December 31, 2008 and was dilutive for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and 2006 and, accordingly, the impact has been included in the above computation of potentially diluted weighted average shares outstanding for 2007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2006 only. Under the if-converted method, the assumed conversion of the 3.5% convertible debentures was anti-dilutive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2007 and 2006. Accordingly, the impact has been excluded from the above computation of potentially dilutive weighted average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quarter 2008, the Company committed to a plan to sell Euronet Essentis Limited (“Essentis”), a U.K. software entity, in order to focus its investments and resources on its transaction processing businesses. The Company is in the process of selling the business. Accordingly, Essentis’s results of operations are shown as discontinued operations in the Consolidated Statements of Operations for all periods presented. Previously, Essentis’s results were reported in the EFT Processing Segment. The segment results in Note 19, Business Segment Information, also reflect the reclassification of Essentis’s results to discontinued operations. The following amounts related to Essentis have been segregated from continuing operations and reported as discontinued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gridSpan w:val="3"/>
            <w:vMerge w:val="continue"/>
          </w:tcPr>
          <w:p>
            <w:pPr>
              <w:spacing w:after="0"/>
              <w:rPr>
                <w:sz w:val="12"/>
                <w:szCs w:val="12"/>
                <w:color w:val="auto"/>
              </w:rPr>
            </w:pPr>
          </w:p>
        </w:tc>
        <w:tc>
          <w:tcPr>
            <w:tcW w:w="11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$ 9,670</w:t>
            </w: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87"/>
              </w:rPr>
              <w:t>14,908</w:t>
            </w: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83"/>
              </w:rPr>
              <w:t>13,805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100" w:type="dxa"/>
            <w:vAlign w:val="bottom"/>
          </w:tcPr>
          <w:p>
            <w:pPr>
              <w:ind w:left="220"/>
              <w:spacing w:after="0"/>
              <w:rPr>
                <w:sz w:val="20"/>
                <w:szCs w:val="20"/>
                <w:color w:val="auto"/>
              </w:rPr>
            </w:pPr>
            <w:r>
              <w:rPr>
                <w:rFonts w:ascii="Arial" w:cs="Arial" w:eastAsia="Arial" w:hAnsi="Arial"/>
                <w:sz w:val="18"/>
                <w:szCs w:val="18"/>
                <w:color w:val="auto"/>
              </w:rPr>
              <w:t>$(1,686)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920</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623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include Essentis’s net assets expected to be sold and the major classes of its assets and liabilities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7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Trade accounts receivable, net of allowance for doubtful accounts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760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6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3,796</w:t>
            </w:r>
          </w:p>
        </w:tc>
        <w:tc>
          <w:tcPr>
            <w:tcW w:w="3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July 2002, the Company sold substantially all of the non-current assets and related capital lease obligations of its ATM processing business in France to Atos S.A. During 2007, the Company received a binding French Supreme Court decision relating to a lawsuit in France that resulted in a cash recovery and gain to the Company of $0.3 million, net of legal costs. There were no assets or liabilities held for sale related to the operations in France at December 31, 2008 or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4, 2007, the Company completed the acquisition of the common stock of RIA, which expanded the Company’s money transfer operations in the U.S. and internationally. The purchase price of $505.5 million was comprised of $358.3 million in cash, 4,053,606 shares of Euronet Common Stock valued at $110.0 million, 3,685,098 contingent value rights (“CVRs”) and stock appreciation rights (“SARs”) valued at a total of $32.1 million and transaction costs of approximately $5.1 million. The Company financed the cash portion of the purchase price through a combination of cash on hand and $190 million in additional debt obligations. The following table summarizes the allocation of the purchase price to the fair values of the acquired tangible and intangible assets at the acquisition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89"/>
              </w:rPr>
              <w:t>Estimated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7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rPr>
              <w:t>Life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8"/>
                <w:szCs w:val="18"/>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8"/>
                <w:szCs w:val="18"/>
                <w:color w:val="auto"/>
                <w:w w:val="89"/>
              </w:rPr>
              <w:t>various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9"/>
              </w:rPr>
              <w:t>3 - 8 years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Weighted average life</w:t>
            </w:r>
          </w:p>
        </w:tc>
        <w:tc>
          <w:tcPr>
            <w:tcW w:w="540" w:type="dxa"/>
            <w:vAlign w:val="bottom"/>
          </w:tcPr>
          <w:p>
            <w:pPr>
              <w:spacing w:after="0"/>
              <w:rPr>
                <w:sz w:val="18"/>
                <w:szCs w:val="18"/>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8"/>
                <w:szCs w:val="18"/>
                <w:color w:val="auto"/>
                <w:w w:val="86"/>
              </w:rPr>
              <w:t>7.0 years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5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6"/>
              </w:rPr>
              <w:t>20 years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Software</w:t>
            </w:r>
          </w:p>
        </w:tc>
        <w:tc>
          <w:tcPr>
            <w:tcW w:w="540" w:type="dxa"/>
            <w:vAlign w:val="bottom"/>
          </w:tcPr>
          <w:p>
            <w:pPr>
              <w:spacing w:after="0"/>
              <w:rPr>
                <w:sz w:val="18"/>
                <w:szCs w:val="18"/>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8"/>
                <w:szCs w:val="18"/>
                <w:color w:val="auto"/>
                <w:w w:val="88"/>
              </w:rPr>
              <w:t>5 years</w:t>
            </w: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8"/>
              </w:rPr>
              <w:t>3 years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center"/>
              <w:ind w:right="760"/>
              <w:spacing w:after="0"/>
              <w:rPr>
                <w:sz w:val="20"/>
                <w:szCs w:val="20"/>
                <w:color w:val="auto"/>
              </w:rPr>
            </w:pPr>
            <w:r>
              <w:rPr>
                <w:rFonts w:ascii="Arial" w:cs="Arial" w:eastAsia="Arial" w:hAnsi="Arial"/>
                <w:sz w:val="18"/>
                <w:szCs w:val="18"/>
                <w:color w:val="auto"/>
                <w:w w:val="95"/>
              </w:rPr>
              <w:t>Indefinite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404,599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2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Assets acquired</w:t>
            </w:r>
          </w:p>
        </w:tc>
        <w:tc>
          <w:tcPr>
            <w:tcW w:w="54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606,989</w:t>
            </w: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22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505,501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terms of the Stock Purchase Agreement, $35.0 million in cash and 276,382 shares of Euronet Common Stock valued at $7.5 million are being held in escrow to secure certain obligations of the sellers under the Stock Purchase Agreement. These amounts have been reflected in the purchase price because the Company has determined beyond a reasonable doubt that the obligations will be met. The 3,685,098 CVRs matured on October 1, 2008 and resulted in the issuance of $20 million of additional shares of Euronet Common Stock. The 3,685,098 SARs entitled the sellers to acquire additional shares of Euronet Common Stock at an exercise price of $27.14 at any time through October 1, 2008 and expired unexercised. The combination of the CVRs and SARs entitled the sellers to additional consideration of at least $20 million in Euronet Common Stock or cash. Management estimated the total fair value of the CVRs and SARs at approximately $32.1 million using a Black Scholes pricing model. These and other terms and conditions applicable to the CVRs and SARs are set forth in the agreements governing these instruments. Of the amount allocated to goodwill, approximately $225.5 million is deductible for income tax purposes.</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in April 2007, the Company combined its previous money transfer business with RIA and incurred total exit costs of approximately $0.9 million during 2007. These costs were recorded as operating expenses and represent the accelerated depreciation and amortization of property and equipment, software and leasehold improvements that were disposed of during 2007; the write off of marketing materials and trademarks that have been discontinued or will not be used; the write off of accounts receivable from agents that did not meet RIA’s credit requirements; and severance and retention payments made to certain employees. Additional costs incurred in association with exiting the Company’s previous money transfer business, if any, are not expected to be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8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During 2007, the Company completed three other acquisitions described below for an aggregate purchase price of $26.5 million, comprised of $18.1 million in cash, 275,429 shares of Euronet Common Stock valued at $7.6 million and notes payable of $0.8 million. In connection with one of these acquisitions, the Company agreed to certain contingent consideration arrangements based on the value of Euronet Common Stock and the achievement of certain performance criteria. Upon the achievement of certain performance criteria, during 2009 and 2010, the Company may have to pay a total of $2.5 million in cash or 75,489 shares of Euronet Common Stock, at the option of the seller.</w:t>
      </w:r>
    </w:p>
    <w:p>
      <w:pPr>
        <w:spacing w:after="0" w:line="80" w:lineRule="exact"/>
        <w:rPr>
          <w:sz w:val="20"/>
          <w:szCs w:val="20"/>
          <w:color w:val="auto"/>
        </w:rPr>
      </w:pPr>
    </w:p>
    <w:p>
      <w:pPr>
        <w:ind w:left="660" w:right="140" w:hanging="436"/>
        <w:spacing w:after="0" w:line="286"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70" w:lineRule="exact"/>
        <w:rPr>
          <w:rFonts w:ascii="Arial" w:cs="Arial" w:eastAsia="Arial" w:hAnsi="Arial"/>
          <w:sz w:val="17"/>
          <w:szCs w:val="17"/>
          <w:b w:val="1"/>
          <w:bCs w:val="1"/>
          <w:color w:val="auto"/>
        </w:rPr>
      </w:pPr>
    </w:p>
    <w:p>
      <w:pPr>
        <w:jc w:val="both"/>
        <w:ind w:left="660" w:right="52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86" w:lineRule="exact"/>
        <w:rPr>
          <w:rFonts w:ascii="Arial" w:cs="Arial" w:eastAsia="Arial" w:hAnsi="Arial"/>
          <w:sz w:val="18"/>
          <w:szCs w:val="18"/>
          <w:b w:val="1"/>
          <w:bCs w:val="1"/>
          <w:color w:val="auto"/>
        </w:rPr>
      </w:pPr>
    </w:p>
    <w:p>
      <w:pPr>
        <w:jc w:val="both"/>
        <w:ind w:left="660" w:right="8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During April 2007, PaySpot, Inc. (a wholly-owned subsidiary of Euronet) acquired customer relationships from Synergy Telecom, Inc. (“Synergy”) and Synergy agreed not to compete with PaySpot in the prepaid mobile phone top-up business in the U.S. for a period of five years. This acquisition enhances the Company’s Prepaid Processing Segment business in the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Essentis Limited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January 2006, the Company completed the acquisition of the assets of Essentis Limited for approximately $2.9 million, which was comprised of</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$0.9 million in cash and approximately $2.0 million in assumed liabilities. Essentis is a U.K. company that owns and develops software packages that enhance Euronet’s outsourcing and software offerings to banks. There are no potential additional purchase price or escrow arrangements associated with the acquisition of Essentis.</w:t>
      </w:r>
    </w:p>
    <w:p>
      <w:pPr>
        <w:spacing w:after="0" w:line="1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2006, the Company issued 109,542 shares of Euronet Common Stock, valued at $4.1 million, in settlement of contingent payment arrangements associated with the Company’s 2005 acquisitions. This settlement was recorded as an increase in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NON-CASH FINANCING AND INVESTING ACTIVITIES</w:t>
      </w:r>
    </w:p>
    <w:p>
      <w:pPr>
        <w:spacing w:after="0" w:line="18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Capital lease obligations of $1.5 million, $3.0 million and $4.9 million during the years ended December 31, 2008, 2007 and 2006, respectively, were incurred when the Company entered into leases primarily for new ATMs, to upgrade ATMs or for data center computer equipment.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Note 6, Acquisitions, for a description of non-cash financing and investing activities related to the Company’s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RESTRICTED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and/or cash held on behalf of others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122,007</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Acquisition escrow</w:t>
            </w:r>
          </w:p>
        </w:tc>
        <w:tc>
          <w:tcPr>
            <w:tcW w:w="20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on bank credit arrangements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ATM network cash</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131,025</w:t>
            </w:r>
          </w:p>
        </w:tc>
        <w:tc>
          <w:tcPr>
            <w:tcW w:w="84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140,222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Cash held in trust and/or cash held on behalf of others is in connection with the administration of the customer collection and vendor remittance activities in the Prepaid Processing Segment. Amounts collected on behalf of mobile operators are deposited into a restricted cash account. The Company has deposits with commercial banks to cover guarantees. The bank credit arrangements primarily represent cash collateral for bank guarantees. ATM network cash represents balances held that are equivalent to the value of certain banks’ cash held in Euronet’s ATM network.</w:t>
      </w:r>
    </w:p>
    <w:p>
      <w:pPr>
        <w:spacing w:after="0" w:line="14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Acquisition escrow represents cash placed in escrow in connection with an agreement to acquire Envios de Valores La Nacional Corp. and its U.S. based affiliates (“La Nacional”). See Note 22, Litigation and Contingencies, for further discussion of events related to the Company’s agreement with La Nacional.</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2008 and 2007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86,606</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POS terminals</w:t>
            </w:r>
          </w:p>
        </w:tc>
        <w:tc>
          <w:tcPr>
            <w:tcW w:w="20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32,323</w:t>
            </w: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31,346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Computers and software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64,515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51,597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214,790</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(125,258)</w:t>
            </w: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(119,190)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89,532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2008, 2007 and 2006 was $30.2 million, $25.2 million and $19.0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ACQUIRED INTANGIBLE ASSETS, NET</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2008 and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 2008</w:t>
            </w:r>
          </w:p>
        </w:tc>
        <w:tc>
          <w:tcPr>
            <w:tcW w:w="6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December 31, 2007</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Gross Carrying</w:t>
            </w:r>
          </w:p>
        </w:tc>
        <w:tc>
          <w:tcPr>
            <w:tcW w:w="74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8"/>
              </w:rPr>
              <w:t>Accumulated</w:t>
            </w:r>
          </w:p>
        </w:tc>
        <w:tc>
          <w:tcPr>
            <w:tcW w:w="760" w:type="dxa"/>
            <w:vAlign w:val="bottom"/>
          </w:tcPr>
          <w:p>
            <w:pPr>
              <w:spacing w:after="0"/>
              <w:rPr>
                <w:sz w:val="10"/>
                <w:szCs w:val="10"/>
                <w:color w:val="auto"/>
              </w:rPr>
            </w:pPr>
          </w:p>
        </w:tc>
        <w:tc>
          <w:tcPr>
            <w:tcW w:w="1320" w:type="dxa"/>
            <w:vAlign w:val="bottom"/>
            <w:gridSpan w:val="3"/>
          </w:tcPr>
          <w:p>
            <w:pPr>
              <w:jc w:val="center"/>
              <w:ind w:right="300"/>
              <w:spacing w:after="0" w:line="123" w:lineRule="exact"/>
              <w:rPr>
                <w:sz w:val="20"/>
                <w:szCs w:val="20"/>
                <w:color w:val="auto"/>
              </w:rPr>
            </w:pPr>
            <w:r>
              <w:rPr>
                <w:rFonts w:ascii="Arial" w:cs="Arial" w:eastAsia="Arial" w:hAnsi="Arial"/>
                <w:sz w:val="14"/>
                <w:szCs w:val="14"/>
                <w:color w:val="auto"/>
                <w:w w:val="95"/>
              </w:rPr>
              <w:t>Gross Carrying</w:t>
            </w:r>
          </w:p>
        </w:tc>
        <w:tc>
          <w:tcPr>
            <w:tcW w:w="300" w:type="dxa"/>
            <w:vAlign w:val="bottom"/>
          </w:tcPr>
          <w:p>
            <w:pPr>
              <w:spacing w:after="0"/>
              <w:rPr>
                <w:sz w:val="10"/>
                <w:szCs w:val="10"/>
                <w:color w:val="auto"/>
              </w:rPr>
            </w:pPr>
          </w:p>
        </w:tc>
        <w:tc>
          <w:tcPr>
            <w:tcW w:w="86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8"/>
              </w:rPr>
              <w:t>Accumulated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2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color w:val="auto"/>
              </w:rPr>
              <w:t>Amount</w:t>
            </w:r>
          </w:p>
        </w:tc>
        <w:tc>
          <w:tcPr>
            <w:tcW w:w="740" w:type="dxa"/>
            <w:vAlign w:val="bottom"/>
          </w:tcPr>
          <w:p>
            <w:pPr>
              <w:spacing w:after="0"/>
              <w:rPr>
                <w:sz w:val="14"/>
                <w:szCs w:val="14"/>
                <w:color w:val="auto"/>
              </w:rPr>
            </w:pPr>
          </w:p>
        </w:tc>
        <w:tc>
          <w:tcPr>
            <w:tcW w:w="1640" w:type="dxa"/>
            <w:vAlign w:val="bottom"/>
            <w:gridSpan w:val="3"/>
          </w:tcPr>
          <w:p>
            <w:pPr>
              <w:jc w:val="right"/>
              <w:ind w:right="82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Amount</w:t>
            </w:r>
          </w:p>
        </w:tc>
        <w:tc>
          <w:tcPr>
            <w:tcW w:w="3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139,671</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53,801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147,713</w:t>
            </w:r>
          </w:p>
        </w:tc>
        <w:tc>
          <w:tcPr>
            <w:tcW w:w="5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Trademarks and tradenames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40,793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43,191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Patent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40" w:type="dxa"/>
            <w:vAlign w:val="bottom"/>
            <w:gridSpan w:val="3"/>
          </w:tcPr>
          <w:p>
            <w:pPr>
              <w:spacing w:after="0"/>
              <w:rPr>
                <w:sz w:val="20"/>
                <w:szCs w:val="20"/>
                <w:color w:val="auto"/>
              </w:rPr>
            </w:pPr>
            <w:r>
              <w:rPr>
                <w:rFonts w:ascii="Arial" w:cs="Arial" w:eastAsia="Arial" w:hAnsi="Arial"/>
                <w:sz w:val="18"/>
                <w:szCs w:val="18"/>
                <w:color w:val="auto"/>
              </w:rPr>
              <w:t>Totals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188,233</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62,920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199,587</w:t>
            </w:r>
          </w:p>
        </w:tc>
        <w:tc>
          <w:tcPr>
            <w:tcW w:w="5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44,450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2007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Amortizable</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380" w:type="dxa"/>
            <w:vAlign w:val="bottom"/>
          </w:tcPr>
          <w:p>
            <w:pPr>
              <w:spacing w:after="0"/>
              <w:rPr>
                <w:sz w:val="12"/>
                <w:szCs w:val="12"/>
                <w:color w:val="auto"/>
              </w:rPr>
            </w:pPr>
          </w:p>
        </w:tc>
        <w:tc>
          <w:tcPr>
            <w:tcW w:w="13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Goodwill</w:t>
            </w:r>
          </w:p>
        </w:tc>
        <w:tc>
          <w:tcPr>
            <w:tcW w:w="4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Assets</w:t>
            </w: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1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48,405</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$ 297,134</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Increases (decreases):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RIA</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111,920</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404,599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2007 acquisitions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8,366</w:t>
            </w:r>
          </w:p>
        </w:tc>
        <w:tc>
          <w:tcPr>
            <w:tcW w:w="440" w:type="dxa"/>
            <w:vAlign w:val="bottom"/>
          </w:tcPr>
          <w:p>
            <w:pPr>
              <w:spacing w:after="0"/>
              <w:rPr>
                <w:sz w:val="18"/>
                <w:szCs w:val="18"/>
                <w:color w:val="auto"/>
              </w:rPr>
            </w:pP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21,553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(20,385)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6,831</w:t>
            </w:r>
          </w:p>
        </w:tc>
        <w:tc>
          <w:tcPr>
            <w:tcW w:w="440" w:type="dxa"/>
            <w:vAlign w:val="bottom"/>
          </w:tcPr>
          <w:p>
            <w:pPr>
              <w:spacing w:after="0"/>
              <w:rPr>
                <w:sz w:val="18"/>
                <w:szCs w:val="18"/>
                <w:color w:val="auto"/>
              </w:rPr>
            </w:pP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39,437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155,137</w:t>
            </w:r>
          </w:p>
        </w:tc>
        <w:tc>
          <w:tcPr>
            <w:tcW w:w="4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$ 762,723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$ 917,860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Decreases:</w:t>
            </w: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(219,756)</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(24,173)</w:t>
            </w:r>
          </w:p>
        </w:tc>
        <w:tc>
          <w:tcPr>
            <w:tcW w:w="3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(5,330)</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(54,662)</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(59,992)</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gridSpan w:val="2"/>
          </w:tcPr>
          <w:p>
            <w:pPr>
              <w:spacing w:after="0"/>
              <w:rPr>
                <w:sz w:val="20"/>
                <w:szCs w:val="20"/>
                <w:color w:val="auto"/>
              </w:rPr>
            </w:pPr>
            <w:r>
              <w:rPr>
                <w:rFonts w:ascii="Arial" w:cs="Arial" w:eastAsia="Arial" w:hAnsi="Arial"/>
                <w:sz w:val="18"/>
                <w:szCs w:val="18"/>
                <w:color w:val="auto"/>
              </w:rPr>
              <w:t>Balance as of December 31, 2008</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125,313</w:t>
            </w:r>
          </w:p>
        </w:tc>
        <w:tc>
          <w:tcPr>
            <w:tcW w:w="440" w:type="dxa"/>
            <w:vAlign w:val="bottom"/>
          </w:tcPr>
          <w:p>
            <w:pPr>
              <w:spacing w:after="0"/>
              <w:rPr>
                <w:sz w:val="24"/>
                <w:szCs w:val="24"/>
                <w:color w:val="auto"/>
              </w:rPr>
            </w:pP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$ 488,305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$ 613,618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78</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result of the 2008 annual goodwill impairment test, the Company recorded an estimated non-cash goodwill impairment charge of $219.8 million. The Company performs its annual goodwill impairment test during the fourth quarter of each year, which coincided with severe disruptions in the credit markets and a macroeconomic business climate that had adverse impacts on stock markets and contributed to a significant decline in the Company’s stock price. 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 An important key component of the 2008 goodwill impairment test was the reconciliation of the Company’s equity to market capitalization. During the fourth quarter 2008 and into 2009, the Company’s total market capitalization was less than the recorded value of the Company’s equity by an amount up to approximately 45% of recorded equity, creating a strong indicator of potential impairment of our goodwill balance.</w:t>
      </w:r>
    </w:p>
    <w:p>
      <w:pPr>
        <w:spacing w:after="0" w:line="15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Because of the macroeconomic conditions described above and their impacts on the Company, after incorporating assumptions that the Company or another purchaser would likely make into the Company’s business outlook and projections for certain of the Company’s acquired businesses, the Company determined that the resulting valuations were not sufficient to support the recorded value of the Company’s investments. Specifically, the Company has experienced reductions in volumes for money transfers between the U.S. and Mexico, among other corridors, that were initially expected to continue expanding. Additionally, growth in the Spanish prepaid mobile phone business in general has been slower than expected and commission pressure from mobile operators, as well as intense competition from other prepaid processors, has reduced profitability.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Accordingly, during the fourth quarter 2008, the Company recorded a total impairment charge related to goodwill of $219.8 million, comprised of</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$169.1 million related to the RIA money transfer business acquired in April 2007 and $50.7 million related to the Spanish prepaid businesses acquired in separate transactions during November 2004 and March 2005. The $219.8 million goodwill impairment charge is the Company’s best estimate of the goodwill charge as of December 31, 2008. Any adjustment to that estimated charge resulting from the completion of the measurement of the impairment loss will be recognized in the first quarter 2009.</w:t>
      </w:r>
    </w:p>
    <w:p>
      <w:pPr>
        <w:spacing w:after="0" w:line="1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related assessment in accordance with SFAS No. 144, “Accounting for the Impairment or Disposal of Long-Lived Assets”, it was determined that certain trade names and customer relationships of the RIA money transfer business were impaired and the Company recorded a non-cash impairment charge of $0.3 million in 2008 related to those assets.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the total goodwill balance of $488.3 million as of December 31, 2008, $250.5 million relates to the Money Transfer Segment, $214.4 million relates to the Prepaid Processing Segment and the remaining $23.4 million relates to the EFT Processing Segment. Amortization expense for intangible assets with finite lives was $24.2 million, $20.4 million and $8.3 million for the years ended December 31, 2008, 2007 and 2006, respectively. Estimated amortization expense on intangible assets as of December 31, 2008 with finite lives is expected to be $22.7 million for 2009, $22.3 million for 2010, $18.5 million for 2011, $16.0 million for 2012 and $11.4 million for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 AND OTHER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2008 and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43,661</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Accrued amounts due to mobile operators</w:t>
            </w:r>
          </w:p>
        </w:tc>
        <w:tc>
          <w:tcPr>
            <w:tcW w:w="20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152,795</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 settlement obligations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223,814</w:t>
            </w:r>
          </w:p>
        </w:tc>
        <w:tc>
          <w:tcPr>
            <w:tcW w:w="84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167,054</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DEBT OBLIGATIONS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3"/>
          </w:tcPr>
          <w:p>
            <w:pPr>
              <w:spacing w:after="0"/>
              <w:rPr>
                <w:sz w:val="20"/>
                <w:szCs w:val="20"/>
                <w:color w:val="auto"/>
              </w:rPr>
            </w:pPr>
            <w:r>
              <w:rPr>
                <w:rFonts w:ascii="Arial" w:cs="Arial" w:eastAsia="Arial" w:hAnsi="Arial"/>
                <w:sz w:val="18"/>
                <w:szCs w:val="18"/>
                <w:i w:val="1"/>
                <w:iCs w:val="1"/>
                <w:color w:val="auto"/>
              </w:rPr>
              <w:t>Short-term debt obligations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obligations outstanding were $0.2 million at December 31, 2008 with a weighted average interest rate of 6.8%.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70,000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132,000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Revolving credit agreements</w:t>
            </w:r>
          </w:p>
        </w:tc>
        <w:tc>
          <w:tcPr>
            <w:tcW w:w="20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16,719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393,809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 obligations</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(71,900)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Long-term debt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321,909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539,303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On December 15, 2004, the Company completed the sale of $140 million of 1.625% Contingent Convertible Senior Debentures Due 2024 (“Convertible Senior Debentures”). The Company received net proceeds from the sale of $135.4 million, after fees totaling $4.6 million. During the year ended December 31, 2008, the Company repurchased in privately negotiated transactions $70 million in principal amount of the Convertible Senior Debentures. This resulted in a $6.1 million pre-tax gain on early retirement of debt, net of the write-off of unamortized debt issuance costs. The remaining $70 million of outstanding Convertible Senior Debentures have an interest rate of 1.625% per annum payable semi-annually in June and December, and are convertible into a total of 2.1 million shares of Euronet Common Stock at a conversion price of $33.63 per share if certain conditions are met (relating to the closing prices of Euronet common stock exceeding certain thresholds for specified periods). The Company will pay contingent interest, during any six-month period commencing with the period from December 20, 2009 through June 14, 2010, and for each six-month period thereafter for which the average trading price of the debentures for the applicable five trading-day period preceding such applicable interest period equals or exceeds 120% of the principal amount of the debentures. Contingent interest will equal 0.30% per annum of the average trading price of a debenture for such five trading-day periods. The Convertible Senior Debentures may not be redeemed by the Company until December 20, 2009 but are redeemable at any time thereafter at par. Holders of the Convertible Senior Debentures have the option to require the Company to purchase their debentures at par on December 15, 2009, 2014 and 2019, or upon a change in control of the Company. These terms and other material terms and conditions applicable to the Convertible Senior Debentures are set forth in the indenture governing the debentures. In connection with the Convertible Senior Debentures, the Company recorded $4.6 million in debt issuance costs, which are being amortized over five years, the term of the initial put option by the holders of the Convertible Senior Debentures. Pro rata amounts of the debt issuance costs were written off when the early retirements of the Convertible Senior Debentures occurred. The Convertible Senior Debentures are general unsecured and unsubordinated obligations and rank equally in right of payment with all other existing and future unsecured and unsubordinated obligations and senior in right of payment to all of the Company’s future subordinated indebtedness. The Convertible Senior Debentures are effectively subordinated to existing and future secured indebtedness, including indebtedness under the Company’s credit facilities with respect to any collateral securing such indebtedness. The Convertible Senior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or other additional indebtedness.</w:t>
      </w: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4, 2005, the Company completed the sale of $175 million of 3.5% Contingent Convertible Debentures Due 2025 (“Convertible Debentures”). The Company received net proceeds from the sale of $169.9 million, after fees totaling $5.1 million. The Convertible Debentures have an interest rate of 3.5% per annum payable semi-annually in April and October, and are convertible into a total of 4.3 million shares of Euronet Common Stock at a conversion price of $40.48 per share if certain conditions are met (relating to the closing prices of Euronet common stock exceeding certain thresholds for specified periods). The Company will pay contingent interest, during any six-month period commencing with the period from October 15, 2012 through April 14, 2013, and for each six-month period thereafter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thereof, including with different lenders and in higher amounts) and will rank equally in right of payment with all other existing and future unsecured obligations and senior in right of payment to all future subordinated indebtedness. The Convertible Debentures will not be subordinated in right of payment to the remaining $70 million of 1.625% Convertible Senior Debentures described above.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that replaced the previous $50 million revolving credit facility. The $190 million seven-year term loan bears interest at LIBOR plus 200 basis points or prime plus 100 basis points and contains a 1% per annum original principal amortization requirement, payable quarterly, with the remaining balance outstanding due in April 2014. The $100 million revolving line of credit bears interest at LIBOR or prime plus a margin that adjusts each quarter based upon the Company’s consolidated total leverage ratio, and expires in April 2012. The term loan may be expanded by up to an additional $150 million and the revolving credit facility may be expanded by up to an additional $25 million, subject to satisfaction of certain conditions, including pro-forma debt covenant compliance. The Credit Facility contains certain mandatory prepayments, customary events of default and financial covenants, including leverage ratios. Financing costs of $4.8 million have been deferred and are being amortized over the terms of the respective loans. Euronet and certain subsidiaries have guaranteed the repayment of obligations under the Credit Facility and have granted security interests in the shares (or other equity interests) of certain subsidiaries along with a security interest in certain other personal property collateral of Euronet and certain subsidiaries. The weighted average interest rate of the Company’s borrowings under the term loan was 5.5% and 7.1% as of December 31, 2008 and 2007, respectively.</w:t>
      </w:r>
    </w:p>
    <w:p>
      <w:pPr>
        <w:spacing w:after="0" w:line="12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April 2008, the Company entered into Amendment No. 1 to the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The Company incurred costs of $0.6 million in connection with the amendment, which will be recognized as additional interest expense over the remaining term of the Credit Facility. During February 2009, the Company entered into Amendment No. 2 to the Credit Facility. See Note 26, Subsequent Events, for further discussion about the amendment.</w:t>
      </w:r>
    </w:p>
    <w:p>
      <w:pPr>
        <w:spacing w:after="0" w:line="13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As of December 31, 2008, the Company had $16.7 million in borrowing and $30.9 million in stand-by letters of credit/bank guarantees outstanding against the revolving credit facility. As of December 31, 2007, the Company had $62.2 million in borrowings and $25.3 million in stand-by letters of credit/bank guarantees outstanding against the revolving credit facility. Stand-by letters of credit/bank guarantees are generally used to secure trade credit and performance obligations. The Company pays an interest rate for stand-by letters of credit/bank guarantees at a rate that adjusts each quarter based upon the Company’s consolidated total leverage ratio. At December 31, 2008 the stand-by letter of credit interest charges were 1.25% per annum. Because the revolving credit agreements expire beyond one year, the borrowings were classified as long-term debt obligations in the December 31, 2008 and 2007 Consolidated Balance Sheets. The weighted average interest rate of the Company’s borrowings under the revolving credit facility was 5.3% and 7.0% as of December 31, 2008 and 2007, respectively.</w:t>
      </w:r>
    </w:p>
    <w:p>
      <w:pPr>
        <w:spacing w:after="0" w:line="1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year ended December 31, 2008, the Company repaid $32.0 million of the term loan, of which $1.9 million was pursuant to mandatory repayments, while $30.1 million represented prepayment of amounts not yet due and resulted in the Company recognizing a $0.5 million loss on early retirement of debt. During the year ended December 31, 2007, the Company repaid $26.0 million of the term loan, of which $1.4 million was pursuant to mandatory repayments, while $24.6 million represented prepayment of amounts not yet due and resulted in the Company recognizing a $0.4 million loss on early retirement of debt.</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2008, aggregate annual maturities of long-term debt are $71.9 million in 2009, $1.9 million in 2010, $1.9 million in 2011, $193.7 million in 2012, $1.9 million in 2013 and $122.5 million in periods thereafter. This maturity schedule reflects amounts borrowed under the revolving credit agreement maturing in 2012 and the term loan maturing in 2014, consistent with the contractual maturities of the agreements. For Convertible Debentures, the maturity schedule reflects due dates that coincide with the terms of the initial put options by the holders of the Convertible Debentures.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 AND HEDGING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2007, the Company entered into interest rate swap agreements for a total notional amount of $50 million to manage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exposure related to a portion of the term loan as required under the agreement, which currently bears interest at LIBOR plus 200 basis points. The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swap agreements are determined to be cash flow hedges and effectively convert $50 million of the term loan to a fixed interest rate of 7.3%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2009 maturity date of the swap agreements. The Company recorded liabilities of $0.8 million in the accrued expenses and other current liabilities caption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Consolidated Balance Sheet as of December 31, 2008 and $1.0 million in other long-term liabilities as of December 31, 2007 to recognize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values of the swap agreements. The impact to accumulated other comprehensive income for the years ended December 31, 2008 and 2007 was a gain of</w:t>
      </w:r>
    </w:p>
    <w:p>
      <w:pPr>
        <w:spacing w:after="0" w:line="4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$0.2 million and a loss of $1.0 million, respectively. The fair values of swap agreements are based on the LIBOR swap rate, credit spreads and other relevant market conditions. The fair values represent the net amount the Company would have been required to pay at December 31, 2008 and 2007 to terminate the positions. If the Company does not terminate these swap agreements prior to the maturity date, the fair value will be zero and no payment will be required to be made.</w:t>
      </w:r>
    </w:p>
    <w:p>
      <w:pPr>
        <w:spacing w:after="0" w:line="1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2008 and 2007, the Company had foreign currency derivatives contracts, including forward contracts and swap agreements, outstanding with a notional value of $56.5 million and $52.6 million, respectively, primarily in euros, which were not designated as hedges and had a weighted average maturity of five days as of each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PRIVATE PLACEMENT</w:t>
      </w:r>
    </w:p>
    <w:p>
      <w:pPr>
        <w:spacing w:after="0" w:line="189"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2009 and 2014 and bear interest at rates between 3.6% and 20.7%.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under capital leases as of December 31, 2008 and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ATMs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38,599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38,022</w:t>
            </w: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(26,917)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non-cancelable operating leases, which expire over the next ten years. Rent expense for the years ended December 31, 2008, 2007 and 2006 amounted to $24.6 million, $20.5 million and $12.9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 capital leases and the noncancelable operating leases (with initial or remaining lease terms in excess of one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8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2009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12,475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60,417</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(1,505)</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Present value of net minimum capital lease payments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(4,614)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under capital lease obligations, less current portion</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TAXES</w:t>
      </w:r>
    </w:p>
    <w:p>
      <w:pPr>
        <w:spacing w:after="0" w:line="1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tax assets and liabilities are determined based on the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2008, 2007 and 2006 are presented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240" w:type="dxa"/>
            <w:vAlign w:val="bottom"/>
            <w:gridSpan w:val="4"/>
          </w:tcPr>
          <w:p>
            <w:pPr>
              <w:jc w:val="right"/>
              <w:ind w:right="120"/>
              <w:spacing w:after="0"/>
              <w:rPr>
                <w:sz w:val="20"/>
                <w:szCs w:val="20"/>
                <w:color w:val="auto"/>
              </w:rPr>
            </w:pPr>
            <w:r>
              <w:rPr>
                <w:rFonts w:ascii="Arial" w:cs="Arial" w:eastAsia="Arial" w:hAnsi="Arial"/>
                <w:sz w:val="18"/>
                <w:szCs w:val="18"/>
                <w:color w:val="auto"/>
              </w:rPr>
              <w:t>$ (169,597)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32,971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3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(27,288)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Asia Pacific</w:t>
            </w:r>
          </w:p>
        </w:tc>
        <w:tc>
          <w:tcPr>
            <w:tcW w:w="3240" w:type="dxa"/>
            <w:vAlign w:val="bottom"/>
            <w:gridSpan w:val="4"/>
          </w:tcPr>
          <w:p>
            <w:pPr>
              <w:jc w:val="right"/>
              <w:ind w:right="180"/>
              <w:spacing w:after="0"/>
              <w:rPr>
                <w:sz w:val="20"/>
                <w:szCs w:val="20"/>
                <w:color w:val="auto"/>
              </w:rPr>
            </w:pPr>
            <w:r>
              <w:rPr>
                <w:rFonts w:ascii="Arial" w:cs="Arial" w:eastAsia="Arial" w:hAnsi="Arial"/>
                <w:sz w:val="18"/>
                <w:szCs w:val="18"/>
                <w:color w:val="auto"/>
              </w:rPr>
              <w:t>13,087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24,572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22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(183,798)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59,667</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color w:val="auto"/>
              </w:rPr>
              <w:t>Discontinued operations — Europe</w:t>
            </w:r>
          </w:p>
        </w:tc>
        <w:tc>
          <w:tcPr>
            <w:tcW w:w="2280" w:type="dxa"/>
            <w:vAlign w:val="bottom"/>
            <w:gridSpan w:val="2"/>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before income taxes</w:t>
            </w:r>
          </w:p>
        </w:tc>
        <w:tc>
          <w:tcPr>
            <w:tcW w:w="3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(184,869)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vMerge w:val="restart"/>
          </w:tcPr>
          <w:p>
            <w:pPr>
              <w:jc w:val="right"/>
              <w:ind w:right="107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income tax expense for the years ended December 31, 2008, 2007 and 2006 attributable to continuing operations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536</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5,720</w:t>
            </w:r>
          </w:p>
        </w:tc>
        <w:tc>
          <w:tcPr>
            <w:tcW w:w="6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Total current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24,778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29,816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(7,650)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5,168</w:t>
            </w:r>
          </w:p>
        </w:tc>
        <w:tc>
          <w:tcPr>
            <w:tcW w:w="6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Total deferred</w:t>
            </w: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(14,550)</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tax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27,759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federal statutory rate applicable to our U.S tax profile, which was 35% for 2008 and 2007 and 34% for 2006,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5"/>
              </w:rPr>
              <w:t>U.S. federal income tax expense (benefit) at applicable statutory rate</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(64,284)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effect of:</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 expense (benefit) at statutory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Non-deductible expenses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2,640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permanent differences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(7,820)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2,592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Difference between U.S. federal and foreign tax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(5,901)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Impairment of goodwill</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20,340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in excess of foreign statutory rates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74,538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(5,480)</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Total income tax expense</w:t>
            </w:r>
          </w:p>
        </w:tc>
        <w:tc>
          <w:tcPr>
            <w:tcW w:w="1660" w:type="dxa"/>
            <w:vAlign w:val="bottom"/>
            <w:gridSpan w:val="2"/>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10,228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27,759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color w:val="auto"/>
              </w:rPr>
              <w:t>84</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Tax loss carryforwards</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37,704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Billings in excess of earnings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Goodwill and intangible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52,655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Intercompany notes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12,364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Gross deferred tax assets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122,945</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53,279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(85,102)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Net deferred tax assets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37,843</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44,376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Intangibles related to purchase accounting</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(16,138)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amortizable goodwill</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(4,382)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(915)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notes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(2,442)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(23,502)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Earnings in excess of billings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(513)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(2,475)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affiliates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(3,792)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(57,337)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900" w:type="dxa"/>
            <w:vAlign w:val="bottom"/>
          </w:tcPr>
          <w:p>
            <w:pPr>
              <w:ind w:left="400"/>
              <w:spacing w:after="0"/>
              <w:rPr>
                <w:sz w:val="20"/>
                <w:szCs w:val="20"/>
                <w:color w:val="auto"/>
              </w:rPr>
            </w:pPr>
            <w:r>
              <w:rPr>
                <w:rFonts w:ascii="Arial" w:cs="Arial" w:eastAsia="Arial" w:hAnsi="Arial"/>
                <w:sz w:val="18"/>
                <w:szCs w:val="18"/>
                <w:color w:val="auto"/>
              </w:rPr>
              <w:t>Net deferred tax liabilities</w:t>
            </w:r>
          </w:p>
        </w:tc>
        <w:tc>
          <w:tcPr>
            <w:tcW w:w="5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(19,494)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(37,821)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2008 will be allocated to income taxes in the Consolidated Statements of Operations with the following exceptions. The tax benefit of net operating losses generated from share based compensation have been excluded from the amounts disclosed for Tax Loss Carry Forwards and Valuation Allowance to the extent the benefit will be recognized in equity if realized. The excluded tax benefit of $20.8 million will be allocated to additional paid in capital when utilized to offset taxable income.</w:t>
      </w:r>
    </w:p>
    <w:p>
      <w:pPr>
        <w:spacing w:after="0" w:line="114"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As of December 31, 2008, 2007 and 2006, the Company’s U.S. federal and foreign tax loss carryforwards were $167.8 million, $150.3 million and $135.1 million, respectively, and U.S. state tax loss carryforwards were $56.4 million, $60.4 million and $60.7 million, respectively.</w:t>
      </w:r>
    </w:p>
    <w:p>
      <w:pPr>
        <w:spacing w:after="0" w:line="8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2008, the Company had U.S. federal and foreign tax net operating loss carryforwards of $167.8 million, which will expire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tcPr>
          <w:p>
            <w:pPr>
              <w:spacing w:after="0"/>
              <w:rPr>
                <w:sz w:val="20"/>
                <w:szCs w:val="20"/>
                <w:color w:val="auto"/>
              </w:rPr>
            </w:pPr>
            <w:r>
              <w:rPr>
                <w:rFonts w:ascii="Arial" w:cs="Arial" w:eastAsia="Arial" w:hAnsi="Arial"/>
                <w:sz w:val="14"/>
                <w:szCs w:val="14"/>
                <w:color w:val="auto"/>
              </w:rPr>
              <w:t>Year ending December 31, (in thousands)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Tax Effected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138,757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167,752</w:t>
            </w:r>
          </w:p>
        </w:tc>
        <w:tc>
          <w:tcPr>
            <w:tcW w:w="6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losses of $56.4 million will expire periodically from 2009 through 2028.</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for a portion of the earnings of ATX Software, Ltd., no provision has been made in the accounts as of December 31, 2008 for U.S. federal income taxes which would be payable if the undistributed earnings of the foreign subsidiaries were distributed to the Company since management has determined that the earnings are permanently reinvested in this foreign operation. Determination of the amount of unrecognized deferred U.S. income tax liabilities and foreign tax credits, if any, is not practicable to calculate at this time. In the years ended December 31, 2007 and 2006, the Company held provisions for U.S. federal income taxes payable on the undistributed earnings of ATX Software, Ltd., e-pay Australia Pty Ltd. and e-pay New Zealand Pty Ltd. Due to a reorganization of the share ownership of e-pay Australia Pty Ltd. and e-pay New Zealand Pty Ltd., management has determined that a provision is no longer necessary for these entities.</w:t>
      </w:r>
    </w:p>
    <w:p>
      <w:pPr>
        <w:spacing w:after="0" w:line="14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identified exposures.</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2004, the Company completed the sale of $140 million of 1.625% stated interest convertible senior debentures in a private offering. Additionally, on October 4, 2005, the Company completed the sale of $175 million of 3.5% stated interest convertible debentures in a private offering. Pursuant to the rules applicable to contingent payment debt instruments,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9.05% and</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8.50% for the 1.625% convertible senior debentures and 3.5% convertible debentures, respectively, which is substantially in excess of the stated interest rate. In the event the convertible debentures are repurchased, redeemed, or converted at an amount less than the adjusted issue price for tax purposes, ordinary income is recognized by the Company to the extent of the prior excess tax deductions. During the year ended December 31, 2008, the Company repurchased in privately negotiated transactions $70 million in principal amount of the $140 million of 1.625% Contingent Convertible Senior Debentures. The convertible debentures were repurchased for less than the adjusted issue price for tax purposes, resulting in the recognition of taxable income of approximately $23.2 million in excess of the gain recognized for book purposes on the transactions.</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anti-abuse regulation, set forth in Section 1.1275(g) of the Internal Revenue Code (“Code”), grants the Commissioner of the Internal Revenue Service authority to depart from the regulation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minimal tax benefit recognized for the difference between the stated interest and the comparable yield of the debentures.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2008 and 2007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1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892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5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8,238</w:t>
            </w:r>
          </w:p>
        </w:tc>
        <w:tc>
          <w:tcPr>
            <w:tcW w:w="5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7,375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2008 and 2007, approximately $2.2 million and $3.3 million, respectively, of the unrecognized tax benefits would impact the Company’s provision for income taxes and effective tax rate, if recognized. Total estimated accrued interest and penalties related to the underpayment of income taxes was $1.1 million and $0.5 million as of December 31, 2008 and 2007, respectively. The following tax years remain open in the Company’s major jurisdictions as of December 31, 2008:</w:t>
      </w:r>
    </w:p>
    <w:p>
      <w:pPr>
        <w:sectPr>
          <w:pgSz w:w="11900" w:h="16838" w:orient="portrait"/>
          <w:cols w:equalWidth="0" w:num="1">
            <w:col w:w="11420"/>
          </w:cols>
          <w:pgMar w:left="240" w:top="419" w:right="239" w:bottom="144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(Federal)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 through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through 2008</w:t>
      </w:r>
    </w:p>
    <w:p>
      <w:pPr>
        <w:spacing w:after="0" w:line="192" w:lineRule="exact"/>
        <w:rPr>
          <w:sz w:val="20"/>
          <w:szCs w:val="20"/>
          <w:color w:val="auto"/>
        </w:rPr>
      </w:pPr>
    </w:p>
    <w:p>
      <w:pPr>
        <w:sectPr>
          <w:pgSz w:w="11900" w:h="16838" w:orient="portrait"/>
          <w:cols w:equalWidth="0" w:num="2">
            <w:col w:w="1360" w:space="280"/>
            <w:col w:w="9780"/>
          </w:cols>
          <w:pgMar w:left="240" w:top="419" w:right="239" w:bottom="1440" w:gutter="0" w:footer="0" w:header="0"/>
          <w:type w:val="continuous"/>
        </w:sectPr>
      </w:pPr>
    </w:p>
    <w:p>
      <w:pPr>
        <w:ind w:right="60"/>
        <w:spacing w:after="0" w:line="259" w:lineRule="auto"/>
        <w:rPr>
          <w:sz w:val="20"/>
          <w:szCs w:val="20"/>
          <w:color w:val="auto"/>
        </w:rPr>
      </w:pPr>
      <w:r>
        <w:rPr>
          <w:rFonts w:ascii="Arial" w:cs="Arial" w:eastAsia="Arial" w:hAnsi="Arial"/>
          <w:sz w:val="18"/>
          <w:szCs w:val="18"/>
          <w:color w:val="auto"/>
        </w:rPr>
        <w:t>The application of FIN 48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VALUATION AND QUALIFYING ACCOUNTS</w:t>
      </w:r>
    </w:p>
    <w:p>
      <w:pPr>
        <w:spacing w:after="0" w:line="20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2008, 2007 and 2006: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balance-allowance for doubtful accounts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2,078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Additions-charged to expense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Impact of acquisition of RIA (See Note 6)</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(primarily changes in foreign currency exchange rates)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71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60" w:type="dxa"/>
            <w:vAlign w:val="bottom"/>
            <w:gridSpan w:val="3"/>
          </w:tcPr>
          <w:p>
            <w:pPr>
              <w:spacing w:after="0"/>
              <w:rPr>
                <w:sz w:val="20"/>
                <w:szCs w:val="20"/>
                <w:color w:val="auto"/>
              </w:rPr>
            </w:pPr>
            <w:r>
              <w:rPr>
                <w:rFonts w:ascii="Arial" w:cs="Arial" w:eastAsia="Arial" w:hAnsi="Arial"/>
                <w:sz w:val="18"/>
                <w:szCs w:val="18"/>
                <w:color w:val="auto"/>
              </w:rPr>
              <w:t>Ending balance-allowance for doubtful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9,445</w:t>
            </w:r>
          </w:p>
        </w:tc>
        <w:tc>
          <w:tcPr>
            <w:tcW w:w="2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6,194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 PLANS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established, and shareholders have approved, share compensation plans (“SCPs”) that allow the Company to grant restricted shares, or options to purchase shares, of Common Stock to certain current and prospective key employees, directors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consultants of the Company. These awards generally vest over periods ranging from three to seven years from the date of grant, are generally exercisable during the shorter of a ten-year term or the term of employment arrangement with the Company. Certain stock options granted during 2008 vest over a five year period, subject to the achievement of a pre-determined share price target for Euronet common stock within three years from the grant date. With the exception of certain awards made to the Company’s employees in Germany, awards under the SCP plans are settled through the issuance of new shares under the provisions of the SCPs. For Company employees in Germany, certain awards are settled through the issuance of treasury shares, which also reduces the number of shares available for future issuance under the SCPs. As of December 31, 2008, the Company has approximately 1.0 million in total shares remaining available for issuance under the SCPs.</w:t>
      </w:r>
    </w:p>
    <w:p>
      <w:pPr>
        <w:spacing w:after="0" w:line="1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Consolidated Statements of Operations includes share-based compensation expense of $8.5 million, $7.7 million and $7.4 million for the years ended December 31, 2008, 2007 and 2006, respectively. The amounts are recorded as salaries and benefits expense in the accompanying Consolidated Statements of Operations. The Company recorded a tax benefit of $0.7 million, $0.4 million and $0.3 million during the years ended December 31, 2008, 2007 and 2006, respectively, for the portion of this expense that relates to foreign tax jurisdictions in which an income tax benefit is expected to be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Exercise</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 (1,323,294 shares exercisable)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1,685,102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13.64</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1,851,518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(78,938)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9.54</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(33,650)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16.28</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(40,838)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18.72</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1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3,383,194</w:t>
            </w: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11.71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2008</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1,392,439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2,956,194</w:t>
            </w: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11.94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that are expected to vest are net of estimated future option forfeitures. The Company received cash of $0.8 million, $7.0 million and</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$12.9 million in connection with stock options exercised during the years ended December 31, 2008, 2007 and 2006, respectively. The intrinsic value of these options exercised was $0.6 million, $7.6 million and $34.2 million during the years ended December 31, 2008, 2007 and 2006, respectively. As of December 31, 2008, unrecognized compensation expense related to nonvested stock options that are expected to vest totaled $6.5 million and will be recognized over the next 5 years, with an overall weighted average period of 4.9 years. The following table provides the fair value of options granted under the SCP during 2008 and 2007, together with a description of the assumptions used to calculate the fair value using the Black-Scholes or Monte Carlo simulation models: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Year Ended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2007</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Risk-free interest rate — weighted average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range</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2.0% to 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Assumed forfeitures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Expected lives</w:t>
            </w:r>
          </w:p>
        </w:tc>
        <w:tc>
          <w:tcPr>
            <w:tcW w:w="120" w:type="dxa"/>
            <w:vAlign w:val="bottom"/>
          </w:tcPr>
          <w:p>
            <w:pPr>
              <w:spacing w:after="0"/>
              <w:rPr>
                <w:sz w:val="18"/>
                <w:szCs w:val="18"/>
                <w:color w:val="auto"/>
              </w:rPr>
            </w:pPr>
          </w:p>
        </w:tc>
        <w:tc>
          <w:tcPr>
            <w:tcW w:w="880" w:type="dxa"/>
            <w:vAlign w:val="bottom"/>
          </w:tcPr>
          <w:p>
            <w:pPr>
              <w:jc w:val="center"/>
              <w:ind w:right="54"/>
              <w:spacing w:after="0"/>
              <w:rPr>
                <w:sz w:val="20"/>
                <w:szCs w:val="20"/>
                <w:color w:val="auto"/>
              </w:rPr>
            </w:pPr>
            <w:r>
              <w:rPr>
                <w:rFonts w:ascii="Arial" w:cs="Arial" w:eastAsia="Arial" w:hAnsi="Arial"/>
                <w:sz w:val="18"/>
                <w:szCs w:val="18"/>
                <w:color w:val="auto"/>
                <w:w w:val="89"/>
              </w:rPr>
              <w:t>7.1 years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4"/>
              <w:spacing w:after="0"/>
              <w:rPr>
                <w:sz w:val="20"/>
                <w:szCs w:val="20"/>
                <w:color w:val="auto"/>
              </w:rPr>
            </w:pPr>
            <w:r>
              <w:rPr>
                <w:rFonts w:ascii="Arial" w:cs="Arial" w:eastAsia="Arial" w:hAnsi="Arial"/>
                <w:sz w:val="18"/>
                <w:szCs w:val="18"/>
                <w:color w:val="auto"/>
                <w:w w:val="89"/>
              </w:rPr>
              <w:t>6.5 years</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12"/>
                <w:szCs w:val="12"/>
                <w:color w:val="auto"/>
              </w:rPr>
            </w:pPr>
          </w:p>
        </w:tc>
        <w:tc>
          <w:tcPr>
            <w:tcW w:w="112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1,418,393</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734,935</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(226,146)</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(264,655)</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1,662,527</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shares vested during the years ended December 31, 2008, 2007 and 2006 was $3.4 million, $2.9 million and $0.4 million, respectively. As of December 31, 2008, there was $26.1 million of total unrecognized compensation cost related to unvested restricted stock, which is expected to be recognized over a weighted average period of 3.5 years. The weighted average grant date fair value of restricted stock granted during the years ended December 31, 2008, 2007 and 2006 was $15.05, $29.62 and $28.48 per share,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years ended December 31, 2008, 2007 and 2006 the Company issued 59,983, 49,500 and 41,492 rights, respectively, to purchase shares of Common Stock at a weighted average price per share of $18.38, $24.19 and $24.00, respectively. The grant date fair value of the option to purchase shares at the lower of the closing price at the beginning or end of the quarterly period, plus the actual total discount provided, are recorded as compensation expense. Total compensation expense recorded was $0.3 million for each of the years ended December 31, 2008 and 2007 and $0.2 million for the year ended December 31, 2006. The following table provides the weighted average fair value of the ESPP stock purchase rights during the years ended December 31, 2008, 2007 and 2006 and the assumptions used to calculate the fair value using the Black-Scholes pricing model: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Volatility — weighted average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Volatility — range</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35.8% to 99.8%</w:t>
            </w:r>
          </w:p>
        </w:tc>
        <w:tc>
          <w:tcPr>
            <w:tcW w:w="20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27.1% to 52.3%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88"/>
              </w:rPr>
              <w:t>28.0% to 34.7%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weighted average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Risk-free interest rate — range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0.9% to 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3.1% to 5.0%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4.0% to 4.5%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lives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 months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3 months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months</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Euronet’s reportable operating segments have been determined in accordance with SFAS No. 131, “Disclosures About Segments of an Enterprise and Related Information.” Effective January 1, 2007, the Company began reporting and managing the operations of the EFT Processing Segment and the former Software Solutions Segment on a combined basis. Additionally, as a result of the acquisition of RIA in April 2007, the Company began reporting the Money Transfer Segment. The Company’s former money transfer business, which was not significant, was previously reported within the Prepaid Processing Segment. Previously reported amounts have been adjusted to reflect these changes, which did not impact the Company’s Consolidated Financial Statements. As a result of these changes, the Company currently operates in the following three reportable operating segments.</w:t>
      </w:r>
    </w:p>
    <w:p>
      <w:pPr>
        <w:spacing w:after="0" w:line="70" w:lineRule="exact"/>
        <w:rPr>
          <w:sz w:val="20"/>
          <w:szCs w:val="20"/>
          <w:color w:val="auto"/>
        </w:rPr>
      </w:pPr>
    </w:p>
    <w:p>
      <w:pPr>
        <w:ind w:left="660" w:right="280" w:hanging="436"/>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60" w:hanging="43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electronic distribution of prepaid mobile airtime and other prepaid products and collection services in Europe, the Middle East, Asia Pacific and North America.</w:t>
      </w:r>
    </w:p>
    <w:p>
      <w:pPr>
        <w:spacing w:after="0" w:line="75"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and bill payment services through a sending network of agents and Company-owned stores primarily in North America and Europe, disbursing money transfers through a worldwide payer network.</w:t>
      </w:r>
    </w:p>
    <w:p>
      <w:pPr>
        <w:spacing w:after="0" w:line="12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2008, 2007 and 2006: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center"/>
              <w:ind w:left="452"/>
              <w:spacing w:after="0"/>
              <w:rPr>
                <w:sz w:val="20"/>
                <w:szCs w:val="20"/>
                <w:color w:val="auto"/>
              </w:rPr>
            </w:pPr>
            <w:r>
              <w:rPr>
                <w:rFonts w:ascii="Arial" w:cs="Arial" w:eastAsia="Arial" w:hAnsi="Arial"/>
                <w:sz w:val="14"/>
                <w:szCs w:val="14"/>
                <w:b w:val="1"/>
                <w:bCs w:val="1"/>
                <w:color w:val="auto"/>
                <w:w w:val="93"/>
              </w:rPr>
              <w:t>For the year ended December 31, 2008</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EFT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Prepaid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Processing</w:t>
            </w:r>
          </w:p>
        </w:tc>
        <w:tc>
          <w:tcPr>
            <w:tcW w:w="56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Processing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205,257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609,106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231,302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1,045,665</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495,971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114,457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34,944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50,543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50,681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169,396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166,951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613,765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388,452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25,518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(157,150)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(149,021)</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(3,693)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(19,674)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early retirement of debt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Foreign exchange gain (loss), net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(35,712)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800"/>
              <w:spacing w:after="0"/>
              <w:rPr>
                <w:sz w:val="20"/>
                <w:szCs w:val="20"/>
                <w:color w:val="auto"/>
              </w:rPr>
            </w:pPr>
            <w:r>
              <w:rPr>
                <w:rFonts w:ascii="Arial" w:cs="Arial" w:eastAsia="Arial" w:hAnsi="Arial"/>
                <w:sz w:val="18"/>
                <w:szCs w:val="18"/>
                <w:color w:val="auto"/>
              </w:rPr>
              <w:t>before income taxes and minority interest</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35,092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(156,998)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(65,412)</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(131,413)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(74,289)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(194,026)</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Segment assets as of December 31, 2008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3"/>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203,889</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685,680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410,288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140,267</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1,440,124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as of 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17,184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center"/>
              <w:ind w:left="452"/>
              <w:spacing w:after="0"/>
              <w:rPr>
                <w:sz w:val="20"/>
                <w:szCs w:val="20"/>
                <w:color w:val="auto"/>
              </w:rPr>
            </w:pPr>
            <w:r>
              <w:rPr>
                <w:rFonts w:ascii="Arial" w:cs="Arial" w:eastAsia="Arial" w:hAnsi="Arial"/>
                <w:sz w:val="14"/>
                <w:szCs w:val="14"/>
                <w:b w:val="1"/>
                <w:bCs w:val="1"/>
                <w:color w:val="auto"/>
                <w:w w:val="93"/>
              </w:rPr>
              <w:t>For the year ended December 31, 2007</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EFT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Prepaid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Processing</w:t>
            </w:r>
          </w:p>
        </w:tc>
        <w:tc>
          <w:tcPr>
            <w:tcW w:w="56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Processing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174,049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569,858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158,759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902,666</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74,879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464,874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31,874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27,493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32,705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Federal excise tax refund</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137,902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517,045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151,629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19,856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76,234</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(1,257)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Loss on early retirement of debt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(4,193)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before income taxes and minority interest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31,954</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53,848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7,439</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(10,905)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7,563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(23,596)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32,724</w:t>
            </w: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39,312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15,002</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(34,501)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215,087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781,176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699,305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190,588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1,886,156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58,143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13,638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13,957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88,337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10"/>
          </w:tcPr>
          <w:p>
            <w:pPr>
              <w:jc w:val="right"/>
              <w:ind w:right="1080"/>
              <w:spacing w:after="0"/>
              <w:rPr>
                <w:sz w:val="20"/>
                <w:szCs w:val="20"/>
                <w:color w:val="auto"/>
              </w:rPr>
            </w:pPr>
            <w:r>
              <w:rPr>
                <w:rFonts w:ascii="Arial" w:cs="Arial" w:eastAsia="Arial" w:hAnsi="Arial"/>
                <w:sz w:val="14"/>
                <w:szCs w:val="14"/>
                <w:b w:val="1"/>
                <w:bCs w:val="1"/>
                <w:color w:val="auto"/>
              </w:rPr>
              <w:t>For the year ended December 31, 2006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EFT</w:t>
            </w:r>
          </w:p>
        </w:tc>
        <w:tc>
          <w:tcPr>
            <w:tcW w:w="160" w:type="dxa"/>
            <w:vAlign w:val="bottom"/>
          </w:tcPr>
          <w:p>
            <w:pPr>
              <w:spacing w:after="0"/>
              <w:rPr>
                <w:sz w:val="12"/>
                <w:szCs w:val="12"/>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Prepaid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Money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Services,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Processing</w:t>
            </w: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Processing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Transfer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615,376</w:t>
            </w:r>
          </w:p>
        </w:tc>
        <w:tc>
          <w:tcPr>
            <w:tcW w:w="0" w:type="dxa"/>
            <w:vAlign w:val="bottom"/>
          </w:tcPr>
          <w:p>
            <w:pPr>
              <w:spacing w:after="0"/>
              <w:rPr>
                <w:sz w:val="1"/>
                <w:szCs w:val="1"/>
                <w:color w:val="auto"/>
              </w:rPr>
            </w:pPr>
          </w:p>
        </w:tc>
      </w:tr>
      <w:tr>
        <w:trPr>
          <w:trHeight w:val="439"/>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27,417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22,561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14,128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34,278</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37,622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(17,833)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50,772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8,734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before income taxes and minority interest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(5,993)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25,332</w:t>
            </w:r>
          </w:p>
        </w:tc>
        <w:tc>
          <w:tcPr>
            <w:tcW w:w="4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32,820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(9,331)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third quarter 2008, the Company adjusted the allocation of goodwill by component related to the acquisition of RIA. The adjustment had no impact on total goodwill reported on the Company’s Consolidated Balance Sheets, but changed the goodwill and total assets reported by geographic location. The adjustment had no impact on the Company’s results of operations or cash flows. Total revenues for the years ended December 31, 2008, 2007 and 2006, and property and equipment and total assets, as adjusted, as of December 31, 2008 and 2007, summarized by geographic location,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5"/>
              </w:rPr>
              <w:t>Property &amp; Equipment, net</w:t>
            </w:r>
          </w:p>
        </w:tc>
        <w:tc>
          <w:tcPr>
            <w:tcW w:w="100" w:type="dxa"/>
            <w:vAlign w:val="bottom"/>
          </w:tcPr>
          <w:p>
            <w:pPr>
              <w:spacing w:after="0"/>
              <w:rPr>
                <w:sz w:val="14"/>
                <w:szCs w:val="14"/>
                <w:color w:val="auto"/>
              </w:rPr>
            </w:pPr>
          </w:p>
        </w:tc>
        <w:tc>
          <w:tcPr>
            <w:tcW w:w="136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8"/>
              </w:rPr>
              <w:t>Total Assets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4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252,535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$ 219,299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$ 100,455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14,970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354,774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U.K.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203,449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236,137</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184,557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3,503</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228,431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169,663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120,909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100,291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177,545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Poland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98,075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74,648</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27,791</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28,203</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73,288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78,337</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58,720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47,276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8,932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Spain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77,755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65,661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41,749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3,610</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129,901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37,182</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31,459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128,669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95,833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61,509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28,288</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24,715</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286,941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252,697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1,045,665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$ 902,666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$ 615,376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89,532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88,337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1,440,124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540"/>
        <w:spacing w:after="0" w:line="407" w:lineRule="auto"/>
        <w:rPr>
          <w:sz w:val="20"/>
          <w:szCs w:val="20"/>
          <w:color w:val="auto"/>
        </w:rPr>
      </w:pPr>
      <w:r>
        <w:rPr>
          <w:rFonts w:ascii="Arial" w:cs="Arial" w:eastAsia="Arial" w:hAnsi="Arial"/>
          <w:sz w:val="18"/>
          <w:szCs w:val="18"/>
          <w:b w:val="1"/>
          <w:bCs w:val="1"/>
          <w:color w:val="auto"/>
        </w:rPr>
        <w:t xml:space="preserve">(20) FINANCIAL INSTRUMENTS AND FAIR VALUE MEASUREMENTS </w:t>
      </w:r>
      <w:r>
        <w:rPr>
          <w:rFonts w:ascii="Arial" w:cs="Arial" w:eastAsia="Arial" w:hAnsi="Arial"/>
          <w:sz w:val="18"/>
          <w:szCs w:val="18"/>
          <w:b w:val="1"/>
          <w:bCs w:val="1"/>
          <w:i w:val="1"/>
          <w:iCs w:val="1"/>
          <w:color w:val="auto"/>
        </w:rPr>
        <w:t>(a) Concentrations of credit risk</w:t>
      </w:r>
    </w:p>
    <w:p>
      <w:pPr>
        <w:spacing w:after="0" w:line="3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Euronet’s credit risk primarily relates to trade accounts receivable and cash and cash equivalents. Euronet’s EFT Processing Segment’s customer base includes the most significant international card organizations and certain banks in the Company’s markets. The Prepaid Processing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17, Valuation and Qualifying Accounts, for further disclosure.</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invests excess cash not required for use in operations primarily in high credit quality, short-term duration securities that the Company believes bear minimal risk. The two counterparties to the Company’s interest rate swap agreements are U.S.-based multi-national banks.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less than one year. The following table provides the estimated fair values of the Company’s other financial instruments, based on quoted market prices or significant other observable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760" w:type="dxa"/>
            <w:vAlign w:val="bottom"/>
            <w:gridSpan w:val="5"/>
            <w:vMerge w:val="restart"/>
          </w:tcPr>
          <w:p>
            <w:pPr>
              <w:jc w:val="right"/>
              <w:ind w:right="788"/>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  1,351</w:t>
            </w:r>
          </w:p>
        </w:tc>
        <w:tc>
          <w:tcPr>
            <w:tcW w:w="4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  1,351</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$ 20,562</w:t>
            </w: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20,562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70,000</w:t>
            </w:r>
          </w:p>
        </w:tc>
        <w:tc>
          <w:tcPr>
            <w:tcW w:w="1500" w:type="dxa"/>
            <w:vAlign w:val="bottom"/>
            <w:gridSpan w:val="2"/>
          </w:tcPr>
          <w:p>
            <w:pPr>
              <w:jc w:val="right"/>
              <w:ind w:right="82"/>
              <w:spacing w:after="0"/>
              <w:rPr>
                <w:sz w:val="20"/>
                <w:szCs w:val="20"/>
                <w:color w:val="auto"/>
              </w:rPr>
            </w:pPr>
            <w:r>
              <w:rPr>
                <w:rFonts w:ascii="Arial" w:cs="Arial" w:eastAsia="Arial" w:hAnsi="Arial"/>
                <w:sz w:val="18"/>
                <w:szCs w:val="18"/>
                <w:color w:val="auto"/>
              </w:rPr>
              <w:t>63,522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Arial" w:cs="Arial" w:eastAsia="Arial" w:hAnsi="Arial"/>
                <w:sz w:val="18"/>
                <w:szCs w:val="18"/>
                <w:color w:val="auto"/>
              </w:rPr>
              <w:t>140,000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w w:val="89"/>
              </w:rPr>
              <w:t>149,804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175,000</w:t>
            </w:r>
          </w:p>
        </w:tc>
        <w:tc>
          <w:tcPr>
            <w:tcW w:w="15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112,131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175,000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182,821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(830)</w:t>
            </w:r>
          </w:p>
        </w:tc>
        <w:tc>
          <w:tcPr>
            <w:tcW w:w="1500" w:type="dxa"/>
            <w:vAlign w:val="bottom"/>
            <w:gridSpan w:val="2"/>
          </w:tcPr>
          <w:p>
            <w:pPr>
              <w:jc w:val="right"/>
              <w:ind w:right="22"/>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278</w:t>
            </w:r>
          </w:p>
        </w:tc>
        <w:tc>
          <w:tcPr>
            <w:tcW w:w="15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(328)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405"/>
        </w:trPr>
        <w:tc>
          <w:tcPr>
            <w:tcW w:w="8720" w:type="dxa"/>
            <w:vAlign w:val="bottom"/>
            <w:gridSpan w:val="10"/>
          </w:tcPr>
          <w:p>
            <w:pPr>
              <w:spacing w:after="0"/>
              <w:rPr>
                <w:sz w:val="20"/>
                <w:szCs w:val="20"/>
                <w:color w:val="auto"/>
              </w:rPr>
            </w:pPr>
            <w:r>
              <w:rPr>
                <w:rFonts w:ascii="Arial" w:cs="Arial" w:eastAsia="Arial" w:hAnsi="Arial"/>
                <w:sz w:val="18"/>
                <w:szCs w:val="18"/>
                <w:color w:val="auto"/>
                <w:w w:val="96"/>
              </w:rPr>
              <w:t>The Company’s assets and liabilities recorded at fair value on a recurring basis are set forth in the following table: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center"/>
              <w:ind w:right="34"/>
              <w:spacing w:after="0"/>
              <w:rPr>
                <w:sz w:val="20"/>
                <w:szCs w:val="20"/>
                <w:color w:val="auto"/>
              </w:rPr>
            </w:pPr>
            <w:r>
              <w:rPr>
                <w:rFonts w:ascii="Arial" w:cs="Arial" w:eastAsia="Arial" w:hAnsi="Arial"/>
                <w:sz w:val="14"/>
                <w:szCs w:val="14"/>
                <w:b w:val="1"/>
                <w:bCs w:val="1"/>
                <w:color w:val="auto"/>
                <w:w w:val="92"/>
              </w:rPr>
              <w:t>Fair Value Measurements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w w:val="92"/>
              </w:rPr>
              <w:t>December 31, 2008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 Active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Assets (liabilities) </w:t>
            </w:r>
            <w:r>
              <w:rPr>
                <w:rFonts w:ascii="Arial" w:cs="Arial" w:eastAsia="Arial" w:hAnsi="Arial"/>
                <w:sz w:val="14"/>
                <w:szCs w:val="14"/>
                <w:color w:val="auto"/>
              </w:rPr>
              <w:t>(in thousands)</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0" w:type="dxa"/>
            <w:vAlign w:val="bottom"/>
          </w:tcPr>
          <w:p>
            <w:pPr>
              <w:spacing w:after="0"/>
              <w:rPr>
                <w:sz w:val="1"/>
                <w:szCs w:val="1"/>
                <w:color w:val="auto"/>
              </w:rPr>
            </w:pPr>
          </w:p>
        </w:tc>
      </w:tr>
      <w:tr>
        <w:trPr>
          <w:trHeight w:val="171"/>
        </w:trPr>
        <w:tc>
          <w:tcPr>
            <w:tcW w:w="53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Identical Assets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4"/>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1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values available-for-sale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quotes for similar assets and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COMPUTER SOFTWARE TO BE SOLD</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Euronet engages in software development activities to continually improve the Company’s core software products. The following table provides the detailed activity related to capitalized software development costs of continuing operations for the years ended December 31, 2008, 2007 and 2006.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balance-capitalized development cost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8"/>
              </w:rPr>
              <w:t>2,078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2,010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48"/>
              <w:spacing w:after="0"/>
              <w:rPr>
                <w:sz w:val="20"/>
                <w:szCs w:val="20"/>
                <w:color w:val="auto"/>
              </w:rPr>
            </w:pPr>
            <w:r>
              <w:rPr>
                <w:rFonts w:ascii="Arial" w:cs="Arial" w:eastAsia="Arial" w:hAnsi="Arial"/>
                <w:sz w:val="18"/>
                <w:szCs w:val="18"/>
                <w:color w:val="auto"/>
                <w:w w:val="91"/>
              </w:rPr>
              <w:t>(1,262)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Net capitalized development cost</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2,826</w:t>
            </w:r>
          </w:p>
        </w:tc>
        <w:tc>
          <w:tcPr>
            <w:tcW w:w="2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2,078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Research and development costs expensed for the years ending December 31, 2008, 2007 and 2006 were $1.4 million, $1.6 million and $2.1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2005, a former cash supply contractor in Central Europe (the “Contractor”) claimed that the Company owed it approximately $2.0 million for the provision of cash during the fourth quarter 1999 and first quarter 2000 that had not been returned. This claim was made after the Company terminated its business with the Contractor and established a cash supply agreement with another supplier. During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12, 2007, the Company signed a stock purchase agreement to acquire La Nacional and certain of its affiliates (“La Nacional”), subject to regulatory approvals and other customary closing conditions. In connection with this agreement, on January 16, 2007 the Company deposited $26 million in an escrow account created for the proposed acquisition. The escrowed funds were not permitted to be released except upon mutual agreement of the Company and La Nacional’s stockholder or through legal remedies available in the agreement.</w:t>
      </w:r>
    </w:p>
    <w:p>
      <w:pPr>
        <w:spacing w:after="0" w:line="1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5, 2007, the Company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our request for release of the escrowed funds. While pursuing all legal remedies available to us, we engaged in negotiations with La Nacional and its stockholder to determine whether the dispute could be resolved through revised terms for the acquisition or some other mutually agreeable method.</w:t>
      </w:r>
    </w:p>
    <w:p>
      <w:pPr>
        <w:spacing w:after="0" w:line="1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January 10, 2008, the Company entered into a settlement agreement with La Nacional and its stockholder evidencing the parties’ mutual agreement not to consummate the acquisition of La Nacional, in exchange for payment by Euronet of a portion of the legal fees incurred by La Nacional. Among other terms and conditions, the settlement agreement contains mutual releases in connection with litigation and provided for the release to the Company of the</w:t>
      </w:r>
    </w:p>
    <w:p>
      <w:pPr>
        <w:ind w:right="380"/>
        <w:spacing w:after="0" w:line="261" w:lineRule="auto"/>
        <w:rPr>
          <w:sz w:val="20"/>
          <w:szCs w:val="20"/>
          <w:color w:val="auto"/>
        </w:rPr>
      </w:pPr>
      <w:r>
        <w:rPr>
          <w:rFonts w:ascii="Arial" w:cs="Arial" w:eastAsia="Arial" w:hAnsi="Arial"/>
          <w:sz w:val="18"/>
          <w:szCs w:val="18"/>
          <w:color w:val="auto"/>
        </w:rPr>
        <w:t>$26 million held in escrow, plus interest earned on the escrowed funds. In connection with the settlement, the Company recorded $1.3 million in deferred acquisition costs and other settlement costs during 2007.</w:t>
      </w:r>
    </w:p>
    <w:p>
      <w:pPr>
        <w:spacing w:after="0" w:line="1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FEDERAL EXCISE TAX REFUND</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and as an other current asset. Additionally, the Company received approximately $1.6 million in interest on the amount claimed, which was recorded as interest income in 2008.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GUARANTEES</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2008 and 2007, the Company had $44.8 million and $30.7 million, respectively, of stand-by letters of credit/bank guarantees issued on its behalf. Of this amount $8.4 million and $1.7 million, respectively, are collateralized by cash deposits held by the respective issuing banks.</w:t>
      </w:r>
    </w:p>
    <w:p>
      <w:pPr>
        <w:spacing w:after="0" w:line="1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December 31, 2008, the Company granted off balance sheet guarantees for cash in various ATM networks amounting to $18.6 million over the terms of the cash supply agreements and performance guarantees amounting to approximately $26.9 million over the terms of the agreements with the customers.</w:t>
      </w:r>
    </w:p>
    <w:p>
      <w:pPr>
        <w:spacing w:after="0" w:line="1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40" w:hanging="436"/>
        <w:spacing w:after="0" w:line="259"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December 31, 2008, the balance of ATM network cash for which the Company was responsible was approximately $415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 Company has issued surety bonds in compliance with money transfer licensing requirements of the applicable governmental authorities.</w:t>
      </w:r>
    </w:p>
    <w:p>
      <w:pPr>
        <w:spacing w:after="0" w:line="21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December 31, 2008 or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6, Acquisitions, for a description of notes payable, deferred payment and additional equity issued and contingently issuable to the former business owners (now Euronet shareholders) in connection with various acquisitions.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and Chairman of the Board of Directors, and Mr. Daniel R. Henry, who was a member of Euronet’s Board of Directors until February 6, 2008. The airplane is leased for business use on a per flight hour basis with no minimum usage requirement. Euronet incurred $0.3 million during 2008, $0.2 million in 2007 and less than $0.1 million during 2006, in expenses for the use of this airplane.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EVENTS</w:t>
      </w:r>
    </w:p>
    <w:p>
      <w:pPr>
        <w:spacing w:after="0" w:line="20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During February 2009, the Company entered into Amendment No. 2 to the Credit Facility to, among other items, (i) (a) grant the Company the ability to repurchase the remaining $70 million of outstanding 1.625% Convertible Senior Debentures Due 2024 and (b) repurchase its 3.5% Convertible Debentures Due 2025 prior to any repurchase date using proceeds of a qualifying refinancing, the proceeds of a qualifying equity issuance or shares of common stock;</w:t>
      </w:r>
    </w:p>
    <w:p>
      <w:pPr>
        <w:ind w:right="40" w:firstLine="8"/>
        <w:spacing w:after="0" w:line="252" w:lineRule="auto"/>
        <w:tabs>
          <w:tab w:leader="none" w:pos="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of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The Company incurred costs of approximately $1.5 million in connection with the amendment, which will be recognized as additional interest expense over the remaining term of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SELECTED QUARTERLY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Second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Fourth</w:t>
            </w: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w w:val="86"/>
              </w:rPr>
              <w:t>244,793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264,450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280,703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255,719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13,231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17,298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18,768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0"/>
              </w:rPr>
              <w:t>(198,318)</w:t>
            </w: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(6,836)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7,787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5,768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90"/>
              </w:rPr>
              <w:t>(201,816)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(loss) per common share: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(0.14)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(4.04)</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(4.04)</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167,043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233,465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241,725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8"/>
              </w:rPr>
              <w:t>260,433</w:t>
            </w: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11,838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15,316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17,559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31,521</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9,461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8,496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15,921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19,626</w:t>
            </w: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0.40</w:t>
            </w:r>
          </w:p>
        </w:tc>
      </w:tr>
      <w:tr>
        <w:trPr>
          <w:trHeight w:val="230"/>
        </w:trPr>
        <w:tc>
          <w:tcPr>
            <w:tcW w:w="20" w:type="dxa"/>
            <w:vAlign w:val="bottom"/>
          </w:tcPr>
          <w:p>
            <w:pPr>
              <w:spacing w:after="0"/>
              <w:rPr>
                <w:sz w:val="20"/>
                <w:szCs w:val="20"/>
                <w:color w:val="auto"/>
              </w:rPr>
            </w:pPr>
          </w:p>
        </w:tc>
        <w:tc>
          <w:tcPr>
            <w:tcW w:w="4940" w:type="dxa"/>
            <w:vAlign w:val="bottom"/>
          </w:tcPr>
          <w:p>
            <w:pPr>
              <w:ind w:left="400"/>
              <w:spacing w:after="0"/>
              <w:rPr>
                <w:sz w:val="20"/>
                <w:szCs w:val="20"/>
                <w:color w:val="auto"/>
              </w:rPr>
            </w:pPr>
            <w:r>
              <w:rPr>
                <w:rFonts w:ascii="Arial" w:cs="Arial" w:eastAsia="Arial" w:hAnsi="Arial"/>
                <w:sz w:val="18"/>
                <w:szCs w:val="18"/>
                <w:color w:val="auto"/>
              </w:rPr>
              <w:t>Diluted (1)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0.23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0.31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right="14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exceptions of the first and fourth quarters 2008 and the second quarter 2007, the assumed conversion of the Company’s $140 million 1.625% convertible debentures under the “if-converted” method was dilutive and, accordingly, the impact has been included in the computation of diluted earnings per common share for these periods.</w:t>
      </w:r>
    </w:p>
    <w:p>
      <w:pPr>
        <w:spacing w:after="0" w:line="177" w:lineRule="exact"/>
        <w:rPr>
          <w:sz w:val="20"/>
          <w:szCs w:val="20"/>
          <w:color w:val="auto"/>
        </w:rPr>
      </w:pPr>
    </w:p>
    <w:p>
      <w:pPr>
        <w:ind w:right="1200"/>
        <w:spacing w:after="0" w:line="47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2008.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2008 that has materially affected, or is reasonably likely to materially affect, our internal control over financial reporting.</w:t>
      </w:r>
    </w:p>
    <w:p>
      <w:pPr>
        <w:spacing w:after="0" w:line="166" w:lineRule="exact"/>
        <w:rPr>
          <w:sz w:val="20"/>
          <w:szCs w:val="20"/>
          <w:color w:val="auto"/>
        </w:rPr>
      </w:pPr>
    </w:p>
    <w:p>
      <w:pPr>
        <w:ind w:right="3960"/>
        <w:spacing w:after="0" w:line="456" w:lineRule="auto"/>
        <w:rPr>
          <w:sz w:val="20"/>
          <w:szCs w:val="20"/>
          <w:color w:val="auto"/>
        </w:rPr>
      </w:pPr>
      <w:r>
        <w:rPr>
          <w:rFonts w:ascii="Arial" w:cs="Arial" w:eastAsia="Arial" w:hAnsi="Arial"/>
          <w:sz w:val="18"/>
          <w:szCs w:val="18"/>
          <w:b w:val="1"/>
          <w:bCs w:val="1"/>
          <w:color w:val="auto"/>
        </w:rPr>
        <w:t xml:space="preserve">MANAGEMENT’S REPORT ON INTERNAL CONTROLS OVER FINANCIAL REPORTING </w:t>
      </w:r>
      <w:r>
        <w:rPr>
          <w:rFonts w:ascii="Arial" w:cs="Arial" w:eastAsia="Arial" w:hAnsi="Arial"/>
          <w:sz w:val="18"/>
          <w:szCs w:val="18"/>
          <w:color w:val="auto"/>
        </w:rPr>
        <w:t>To the Stockholders of Euronet Worldwide, Inc.:</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(“Exchange Act”)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2008.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r>
        <w:rPr>
          <w:rFonts w:ascii="Arial" w:cs="Arial" w:eastAsia="Arial" w:hAnsi="Arial"/>
          <w:sz w:val="18"/>
          <w:szCs w:val="18"/>
          <w:color w:val="auto"/>
        </w:rPr>
        <w:t>. Based on these criteria and our assessment, we have determined that, as of December 31, 2008,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2008, has been audited by KPMG LLP, an independent registered public accounting firm, as stated in their audit report.</w:t>
      </w:r>
    </w:p>
    <w:p>
      <w:pPr>
        <w:spacing w:after="0" w:line="170"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information under “Election of Directors,” “Section 16(a) Beneficial Ownership Compliance” and “Corporate Governance” in the Proxy Statement for the Annual Meeting of Shareholders for 2009, which will be filed with the Securities and Exchange Commission no later than 120 days after December 31, 2008, is incorporated herein by reference. Information concerning our Code of Ethics for our employees, including our Chief Executive Officer and Chief Financial Officer, is set forth under “Availability of Reports, Certain Committee Charters, and Other Information” in Part I and incorporated herein by reference. Information concerning executive officers is set forth under “Executive Officers of the Registrant” in Part I and incorporated herein by reference.</w:t>
      </w:r>
    </w:p>
    <w:p>
      <w:pPr>
        <w:spacing w:after="0" w:line="11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intend to satisfy the requirement under Item 5.05 of Form 8-K to disclose any amendments to our Code of Ethics and any waiver from a provision of our Code of Ethics by posting such information on our Web site at www.euronetworldwide.com under Investors/Corporate Governance.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“Executive Compensation,” “Compensation Disclosure and Analysis” and “Compensation Committee Report” in the Proxy Statement for the Annual Meeting of Shareholders for 2009, which will be filed with the Securities and Exchange Commission no later than 120 days after December 31, 2008, is incorporated herein by reference.</w:t>
      </w:r>
    </w:p>
    <w:p>
      <w:pPr>
        <w:spacing w:after="0" w:line="177" w:lineRule="exact"/>
        <w:rPr>
          <w:sz w:val="20"/>
          <w:szCs w:val="20"/>
          <w:color w:val="auto"/>
        </w:rPr>
      </w:pPr>
    </w:p>
    <w:p>
      <w:pPr>
        <w:ind w:left="880" w:right="62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under “Ownership of Common Stock by Directors and Executive Officers” and “Election of Directors” in the Proxy Statement for the Annual Meeting of Shareholders for 2009, which will be filed with the Securities and Exchange Commission no later than 120 days after December 31, 2008, is incorporated herein by reference. See Part II, Item 5 – Equity Compensation Plan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Annual Meeting of Shareholders for 2009, which will be filed with the Securities and Exchange Commission no later than 120 days after December 31, 2008,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under “Audit Committee Pre-Approval Policy” and “Fees of the Company’s Independent Auditors” in the Proxy Statement for the Annual Meeting of Shareholders for 2009, which will be filed with the Securities and Exchange Commission no later than 120 days after December 31, 2008, is incorporated herein by reference.</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Financial Statements and Supplementary Data of this Form 10-K.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7"/>
          <w:szCs w:val="17"/>
          <w:color w:val="auto"/>
        </w:rPr>
        <w:t>/s/ 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this 27</w:t>
      </w:r>
      <w:r>
        <w:rPr>
          <w:rFonts w:ascii="Arial" w:cs="Arial" w:eastAsia="Arial" w:hAnsi="Arial"/>
          <w:sz w:val="15"/>
          <w:szCs w:val="15"/>
          <w:color w:val="auto"/>
        </w:rPr>
        <w:t>th</w:t>
      </w:r>
      <w:r>
        <w:rPr>
          <w:rFonts w:ascii="Arial" w:cs="Arial" w:eastAsia="Arial" w:hAnsi="Arial"/>
          <w:sz w:val="18"/>
          <w:szCs w:val="18"/>
          <w:color w:val="auto"/>
        </w:rPr>
        <w:t xml:space="preserve"> day of February 2009.</w:t>
      </w:r>
    </w:p>
    <w:p>
      <w:pPr>
        <w:spacing w:after="0" w:line="162" w:lineRule="exact"/>
        <w:rPr>
          <w:sz w:val="20"/>
          <w:szCs w:val="20"/>
          <w:color w:val="auto"/>
        </w:rPr>
      </w:pPr>
    </w:p>
    <w:p>
      <w:pPr>
        <w:ind w:left="228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Michael J. Brown</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Rick L. Weller</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P</w:t>
      </w:r>
      <w:r>
        <w:rPr>
          <w:rFonts w:ascii="Arial" w:cs="Arial" w:eastAsia="Arial" w:hAnsi="Arial"/>
          <w:sz w:val="12"/>
          <w:szCs w:val="12"/>
          <w:color w:val="auto"/>
        </w:rPr>
        <w:t>AUL</w:t>
      </w:r>
      <w:r>
        <w:rPr>
          <w:rFonts w:ascii="Arial" w:cs="Arial" w:eastAsia="Arial" w:hAnsi="Arial"/>
          <w:sz w:val="18"/>
          <w:szCs w:val="18"/>
          <w:color w:val="auto"/>
        </w:rPr>
        <w:t xml:space="preserve"> S. A</w:t>
      </w:r>
      <w:r>
        <w:rPr>
          <w:rFonts w:ascii="Arial" w:cs="Arial" w:eastAsia="Arial" w:hAnsi="Arial"/>
          <w:sz w:val="12"/>
          <w:szCs w:val="12"/>
          <w:color w:val="auto"/>
        </w:rPr>
        <w:t>LTHASEN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Paul S. Althasen</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A</w:t>
      </w:r>
      <w:r>
        <w:rPr>
          <w:rFonts w:ascii="Arial" w:cs="Arial" w:eastAsia="Arial" w:hAnsi="Arial"/>
          <w:sz w:val="11"/>
          <w:szCs w:val="11"/>
          <w:color w:val="auto"/>
        </w:rPr>
        <w:t>NDZREJ</w:t>
      </w:r>
      <w:r>
        <w:rPr>
          <w:rFonts w:ascii="Arial" w:cs="Arial" w:eastAsia="Arial" w:hAnsi="Arial"/>
          <w:sz w:val="17"/>
          <w:szCs w:val="17"/>
          <w:color w:val="auto"/>
        </w:rPr>
        <w:t xml:space="preserve"> O</w:t>
      </w:r>
      <w:r>
        <w:rPr>
          <w:rFonts w:ascii="Arial" w:cs="Arial" w:eastAsia="Arial" w:hAnsi="Arial"/>
          <w:sz w:val="11"/>
          <w:szCs w:val="11"/>
          <w:color w:val="auto"/>
        </w:rPr>
        <w:t>LECHOWSKI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670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Chairman of the Board of Directors, Chief Executive Officer and Director (principal executive officer)</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Chief Financial Officer and Chief Accounting Officer (principal financial officer and principal accounting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 w:lineRule="exact"/>
        <w:rPr>
          <w:sz w:val="20"/>
          <w:szCs w:val="20"/>
          <w:color w:val="auto"/>
        </w:rPr>
      </w:pPr>
    </w:p>
    <w:p>
      <w:pPr>
        <w:sectPr>
          <w:pgSz w:w="11900" w:h="16838" w:orient="portrait"/>
          <w:cols w:equalWidth="0" w:num="2">
            <w:col w:w="5560" w:space="720"/>
            <w:col w:w="5140"/>
          </w:cols>
          <w:pgMar w:left="240" w:top="419" w:right="239" w:bottom="1440" w:gutter="0" w:footer="0" w:header="0"/>
          <w:type w:val="continuous"/>
        </w:sectPr>
      </w:pPr>
    </w:p>
    <w:p>
      <w:pPr>
        <w:ind w:left="1800"/>
        <w:spacing w:after="0"/>
        <w:rPr>
          <w:sz w:val="20"/>
          <w:szCs w:val="20"/>
          <w:color w:val="auto"/>
        </w:rPr>
      </w:pPr>
      <w:r>
        <w:rPr>
          <w:rFonts w:ascii="Arial" w:cs="Arial" w:eastAsia="Arial" w:hAnsi="Arial"/>
          <w:sz w:val="18"/>
          <w:szCs w:val="18"/>
          <w:b w:val="1"/>
          <w:bCs w:val="1"/>
          <w:color w:val="auto"/>
        </w:rPr>
        <w:t>Andzrej Olechowski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2"/>
                <w:szCs w:val="12"/>
                <w:color w:val="auto"/>
                <w:w w:val="95"/>
              </w:rPr>
              <w:t>S</w:t>
            </w:r>
            <w:r>
              <w:rPr>
                <w:rFonts w:ascii="Arial" w:cs="Arial" w:eastAsia="Arial" w:hAnsi="Arial"/>
                <w:sz w:val="18"/>
                <w:szCs w:val="18"/>
                <w:color w:val="auto"/>
                <w:w w:val="95"/>
              </w:rPr>
              <w:t>/ E</w:t>
            </w:r>
            <w:r>
              <w:rPr>
                <w:rFonts w:ascii="Arial" w:cs="Arial" w:eastAsia="Arial" w:hAnsi="Arial"/>
                <w:sz w:val="12"/>
                <w:szCs w:val="12"/>
                <w:color w:val="auto"/>
                <w:w w:val="95"/>
              </w:rPr>
              <w:t>RIBERTO</w:t>
            </w:r>
            <w:r>
              <w:rPr>
                <w:rFonts w:ascii="Arial" w:cs="Arial" w:eastAsia="Arial" w:hAnsi="Arial"/>
                <w:sz w:val="18"/>
                <w:szCs w:val="18"/>
                <w:color w:val="auto"/>
                <w:w w:val="95"/>
              </w:rPr>
              <w:t xml:space="preserve"> R. S</w:t>
            </w:r>
            <w:r>
              <w:rPr>
                <w:rFonts w:ascii="Arial" w:cs="Arial" w:eastAsia="Arial" w:hAnsi="Arial"/>
                <w:sz w:val="12"/>
                <w:szCs w:val="12"/>
                <w:color w:val="auto"/>
                <w:w w:val="95"/>
              </w:rPr>
              <w:t>COCIMARA</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Eriberto R. Scocimara</w:t>
            </w:r>
          </w:p>
        </w:tc>
        <w:tc>
          <w:tcPr>
            <w:tcW w:w="626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 T</w:t>
            </w:r>
            <w:r>
              <w:rPr>
                <w:rFonts w:ascii="Arial" w:cs="Arial" w:eastAsia="Arial" w:hAnsi="Arial"/>
                <w:sz w:val="12"/>
                <w:szCs w:val="12"/>
                <w:color w:val="auto"/>
                <w:w w:val="99"/>
              </w:rPr>
              <w:t>HOMAS</w:t>
            </w:r>
            <w:r>
              <w:rPr>
                <w:rFonts w:ascii="Arial" w:cs="Arial" w:eastAsia="Arial" w:hAnsi="Arial"/>
                <w:sz w:val="18"/>
                <w:szCs w:val="18"/>
                <w:color w:val="auto"/>
                <w:w w:val="99"/>
              </w:rPr>
              <w:t xml:space="preserve"> A. M</w:t>
            </w:r>
            <w:r>
              <w:rPr>
                <w:rFonts w:ascii="Arial" w:cs="Arial" w:eastAsia="Arial" w:hAnsi="Arial"/>
                <w:sz w:val="12"/>
                <w:szCs w:val="12"/>
                <w:color w:val="auto"/>
                <w:w w:val="99"/>
              </w:rPr>
              <w:t>CDONNELL</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A. McDonnell</w:t>
            </w:r>
          </w:p>
        </w:tc>
        <w:tc>
          <w:tcPr>
            <w:tcW w:w="626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A</w:t>
            </w:r>
            <w:r>
              <w:rPr>
                <w:rFonts w:ascii="Arial" w:cs="Arial" w:eastAsia="Arial" w:hAnsi="Arial"/>
                <w:sz w:val="12"/>
                <w:szCs w:val="12"/>
                <w:color w:val="auto"/>
                <w:w w:val="97"/>
              </w:rPr>
              <w:t>NDREW</w:t>
            </w:r>
            <w:r>
              <w:rPr>
                <w:rFonts w:ascii="Arial" w:cs="Arial" w:eastAsia="Arial" w:hAnsi="Arial"/>
                <w:sz w:val="18"/>
                <w:szCs w:val="18"/>
                <w:color w:val="auto"/>
                <w:w w:val="97"/>
              </w:rPr>
              <w:t xml:space="preserve"> B. S</w:t>
            </w:r>
            <w:r>
              <w:rPr>
                <w:rFonts w:ascii="Arial" w:cs="Arial" w:eastAsia="Arial" w:hAnsi="Arial"/>
                <w:sz w:val="12"/>
                <w:szCs w:val="12"/>
                <w:color w:val="auto"/>
                <w:w w:val="97"/>
              </w:rPr>
              <w:t>CHMITT</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2"/>
              </w:rPr>
              <w:t>Andrew B. Schmitt</w:t>
            </w:r>
          </w:p>
        </w:tc>
        <w:tc>
          <w:tcPr>
            <w:tcW w:w="626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2"/>
                <w:szCs w:val="12"/>
                <w:color w:val="auto"/>
                <w:w w:val="96"/>
              </w:rPr>
              <w:t>S</w:t>
            </w:r>
            <w:r>
              <w:rPr>
                <w:rFonts w:ascii="Arial" w:cs="Arial" w:eastAsia="Arial" w:hAnsi="Arial"/>
                <w:sz w:val="18"/>
                <w:szCs w:val="18"/>
                <w:color w:val="auto"/>
                <w:w w:val="96"/>
              </w:rPr>
              <w:t>/ M. J</w:t>
            </w:r>
            <w:r>
              <w:rPr>
                <w:rFonts w:ascii="Arial" w:cs="Arial" w:eastAsia="Arial" w:hAnsi="Arial"/>
                <w:sz w:val="12"/>
                <w:szCs w:val="12"/>
                <w:color w:val="auto"/>
                <w:w w:val="96"/>
              </w:rPr>
              <w:t>EANNINE</w:t>
            </w:r>
            <w:r>
              <w:rPr>
                <w:rFonts w:ascii="Arial" w:cs="Arial" w:eastAsia="Arial" w:hAnsi="Arial"/>
                <w:sz w:val="18"/>
                <w:szCs w:val="18"/>
                <w:color w:val="auto"/>
                <w:w w:val="96"/>
              </w:rPr>
              <w:t xml:space="preserve"> S</w:t>
            </w:r>
            <w:r>
              <w:rPr>
                <w:rFonts w:ascii="Arial" w:cs="Arial" w:eastAsia="Arial" w:hAnsi="Arial"/>
                <w:sz w:val="12"/>
                <w:szCs w:val="12"/>
                <w:color w:val="auto"/>
                <w:w w:val="96"/>
              </w:rPr>
              <w:t>TRANDJORD</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28"/>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2"/>
              </w:rPr>
              <w:t>M. Jeannine Strandjord</w:t>
            </w:r>
          </w:p>
        </w:tc>
        <w:tc>
          <w:tcPr>
            <w:tcW w:w="6260" w:type="dxa"/>
            <w:vAlign w:val="bottom"/>
          </w:tcPr>
          <w:p>
            <w:pPr>
              <w:spacing w:after="0"/>
              <w:rPr>
                <w:sz w:val="19"/>
                <w:szCs w:val="19"/>
                <w:color w:val="auto"/>
              </w:rPr>
            </w:pPr>
          </w:p>
        </w:tc>
      </w:tr>
      <w:tr>
        <w:trPr>
          <w:trHeight w:val="387"/>
        </w:trPr>
        <w:tc>
          <w:tcPr>
            <w:tcW w:w="5160" w:type="dxa"/>
            <w:vAlign w:val="bottom"/>
          </w:tcPr>
          <w:p>
            <w:pPr>
              <w:spacing w:after="0"/>
              <w:rPr>
                <w:sz w:val="24"/>
                <w:szCs w:val="24"/>
                <w:color w:val="auto"/>
              </w:rPr>
            </w:pPr>
          </w:p>
        </w:tc>
        <w:tc>
          <w:tcPr>
            <w:tcW w:w="626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226"/>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Stock Purchase Agreement dated November 21, 2006 by and among Euronet Payments &amp; Remittance, Inc., Euronet Worldwide, Inc.;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Fred Kunik Family Trust and the Irving Barr Living Trust (filed as Exhibit 2.1 to the Company’s Current Report on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28, 2006,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First Amendment to Stock Purchase Agreement, dated April 2,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2.1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Second Amendment to Stock Purchase Agreement, dated April 4,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2.2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Certificate of Incorporation of Euronet Worldwide, Inc., as amended (filed as Exhibit 4.2 to the Company’s Registration Statement under</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Securities Act of 1933 on Form S-8 on August 10, 2006,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Bylaws of Euronet Worldwide, Inc. (filed as Exhibit 3.2 to the Company’s Form 8-K filed on December 22, 2008,</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Rights Agreement, dated as of March 21, 2003, between Euronet Worldwide, Inc. and EquiServe Trust Company, N.A. (filed as Exhibit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4.1 to the Company’s Current Report on Form 8-K filed on March 24, 2003 (File No. 001-31648),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First Amendment to Rights Agreement, dated as of November 28, 2003, between Euronet Worldwide, Inc. and EquiServe Trust Company,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N.A. (filed as Exhibit 4.1 to the Company’s Current Report on Form 8-K filed on December 4, 2003 (File No. 001-31648),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Indenture, dated as of December 15, 2004, between Euronet Worldwide, Inc. and U.S. Bank National Association (filed as Exhibit 4.10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Company’s Registration Statement on Form S-3 filed on January 26, 2005,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Specimen 1.625% Convertible Senior Debenture Due 2024 (Certificated Security) (filed as Exhibit 4.14 to the Company’s Registration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S-3/A filed on February 5, 2005,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Indenture, dated as of October 4, 2005, between Euronet Worldwide, Inc. and U.S. Bank National Association (filed as Exhibit 4.1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Specimen 3.50% Convertible Debenture Due 2025 (Certificated Security) (included in Exhibit 4.10 to the Company’s Registration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S-3/A filed on November 10, 2005,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Securities Purchase Agreement, dated as of March 8, 2007, among Euronet Worldwide, Inc. and the Purchasers as listed on Exhibit A</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thereto (filed as Exhibit 4.1 to the Company’s Form 8-K filed March 14, 2007, and incorporated by reference herein)</w:t>
            </w:r>
          </w:p>
        </w:tc>
      </w:tr>
      <w:tr>
        <w:trPr>
          <w:trHeight w:val="418"/>
        </w:trPr>
        <w:tc>
          <w:tcPr>
            <w:tcW w:w="1160" w:type="dxa"/>
            <w:vAlign w:val="bottom"/>
          </w:tcPr>
          <w:p>
            <w:pPr>
              <w:jc w:val="right"/>
              <w:ind w:right="831"/>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Form of Contingent Value Rights Agreement, entered into April 4, 2007 with each of the Irving Barr Living Trust and the Fred Kunik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Family Trust, granting each contingent value rights associated with 1,842,549 shares of common stock (included as Exhibit B to the Stock</w:t>
            </w:r>
          </w:p>
        </w:tc>
      </w:tr>
    </w:tbl>
    <w:p>
      <w:pPr>
        <w:ind w:left="1380" w:right="80"/>
        <w:spacing w:after="0" w:line="261" w:lineRule="auto"/>
        <w:rPr>
          <w:sz w:val="20"/>
          <w:szCs w:val="20"/>
          <w:color w:val="auto"/>
        </w:rPr>
      </w:pPr>
      <w:r>
        <w:rPr>
          <w:rFonts w:ascii="Arial" w:cs="Arial" w:eastAsia="Arial" w:hAnsi="Arial"/>
          <w:sz w:val="18"/>
          <w:szCs w:val="18"/>
          <w:color w:val="auto"/>
        </w:rPr>
        <w:t>Purchase Agreement filed as Exhibit 2.1 to the Company’s Current Report on Form 8-K filed on November 28, 2006, and incorporated by reference herein)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Form of Stock Appreciation Rights Agreement, entered into April 4, 2007 with each of the Irving Barr Living Trust and the Fred Kunik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Family Trust, granting each stock appreciation rights with respect to 1,842,549 shares of common stock (included as Exhibit C to the Stock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Purchase Agreement filed as Exhibit 2.1 to the Company’s Current Report on Form 8-K filed on November 28, 2006,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Long-Term Incentive Stock Option Plan (1996), as amended (filed as Exhibit 10.7 to the Company’s Annual Report on Form 10-</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K filed on March 15,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Euronet Worldwide, Inc. Stock Option Plan (1998), as amended (filed as Exhibit 10.8 to the Company’s Annual Report on Form 10-K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March 15,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Worldwide, Inc. 2002 Stock Incentive Plan (Amended and Restated) (included as Appendix B to the Company’s Definitive Proxy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Rules and Procedures for Euronet Matching Stock Option Grant Program (filed as Exhibit 10.3 to Company’s Form 10-Q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14, 2002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Employment Agreement executed in January 2003, between Euronet Worldwide, Inc. and John Romney, Managing Director, Europe,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Middle East and Africa (EMEA) (filed as Exhibit 10.15 to the Company’s Form 10-Q filed on May 15, 2005,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Asset Purchase Agreement among Euronet Worldwide, Inc. and Meflur S.L. dated November 3, 2004 (filed as Exhibit 10.17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Annual Report on Form 10-K filed on March 15, 2005,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Employee Restricted Stock Grant Agreement pursuant to Euronet Worldwide, Inc. 2006 Stock Incentive Plan (filed as Exhibit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10.8 to the Company’s Quarterly Report on Form 10-Q filed on August 4, 2006,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Form of Employee Restricted Stock Unit Agreement for Executives and Directors pursuant to Euronet Worldwide, Inc. 2006 Stock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Incentive Plan (filed as Exhibit 10.39 to the Company’s Annual Report on Form 10-K filed February 28, 2007,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Credit Agreement dated as of April 4, 2007 among Euronet Worldwide, Inc., and certain subsidiaries and affiliates, as borrowers, certain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subsidiaries and afiliates, as guarantors, the lenders party thereto, Bank of America, N.A., as administrative agent and collateral agent,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California Bank &amp; Trust, as synidication agent and Citibank, N.A., as documentation agent (filed as Exhibit 10.1 to the Company’s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Quarterly Report on Form 10-Q filed on May 4,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Worldwide Inc. 2006 Stock Incentive Plan (Amended and Restated) (filed as Exhibit 10.2 to the Company’s Quarterly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10-Q filed on May 4, 2007,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Employment Agreement dated June 19, 2007 between Euronet Worldwide, Inc. and Kevin J. Caponecchi (filed as Exhibit 10.1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Euronet Worldwide, Inc. Executive Annual Incentive Plan (filed as Exhibit 10.18 to the Company’s Annual Report on Form 10-K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February 29, 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Letter Agreement dated January 30, 2008 between Euronet Worldwide, Inc. and John Romney for Confirmation of Terms of Resignation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(filed as Exhibit 10.19 to the Company’s Annual Report on Form 10-K filed on February 29, 2008, and incorporated by reference herein)</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20"/>
              <w:spacing w:after="0"/>
              <w:rPr>
                <w:sz w:val="20"/>
                <w:szCs w:val="20"/>
                <w:color w:val="auto"/>
              </w:rPr>
            </w:pPr>
            <w:r>
              <w:rPr>
                <w:rFonts w:ascii="Arial" w:cs="Arial" w:eastAsia="Arial" w:hAnsi="Arial"/>
                <w:sz w:val="18"/>
                <w:szCs w:val="18"/>
                <w:color w:val="auto"/>
              </w:rPr>
              <w:t>(2)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No. 1 to the Credit Agreement dated April 23, 2008 (filed as Exhibit 10.1 to the Company’s Quarterly Report on Form 10-Q</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9, 2008, and incorporated by reference herein)</w:t>
            </w: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490"/>
              <w:spacing w:after="0"/>
              <w:rPr>
                <w:sz w:val="20"/>
                <w:szCs w:val="20"/>
                <w:color w:val="auto"/>
              </w:rPr>
            </w:pPr>
            <w:r>
              <w:rPr>
                <w:rFonts w:ascii="Arial" w:cs="Arial" w:eastAsia="Arial" w:hAnsi="Arial"/>
                <w:sz w:val="18"/>
                <w:szCs w:val="18"/>
                <w:color w:val="auto"/>
              </w:rPr>
              <w:t>101</w:t>
            </w:r>
          </w:p>
        </w:tc>
      </w:tr>
      <w:tr>
        <w:trPr>
          <w:trHeight w:val="226"/>
        </w:trPr>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Amended and Restated Employment Agreement executed in March 2008 and effective April 25, 2008 between Euronet Worldwide, Inc.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and Miro Bergman, Executive Vice President and Chief Operatons Officer, Prepaid Processing Segment (filed as Exhibit 10.2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Quarterly Report on Form 10-Q filed on May 9, 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Michael J. Brown, Chairman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Chief Executive Officer (filed as Exhibit 10.3 to the Company’s Quarterly Report on Form 10-Q filed on May 9, 2008,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Employment Agreement dated April 10, 2008 between Euronet Worldwide, Inc. and Rick L. Weller, Executive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Vice President and Chief Financial Officer (filed as Exhibit 10.4 to the Company’s Quarterly Report on Form 10-Q filed on May 9, 2008,</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Amended and Restated Employment Agreement dated April 10, 2008 between Euronet Worldwide, Inc. and Jeffrey B. Newman,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Executive Vice President and General Counsel (filed as Exhibit 10.5 to the Company’s Quarterly Report on Form 10-Q filed on May 9,</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Juan C. Bianchi, Executive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Vice President and Managing Director, Money Transfer Segment (filed as Exhibit 10.6 to the Company’s Quarterly Report on Form 10-Q</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9, 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Employment Agreement dated May 11, 2008 between Euronet Worldwide, Inc. and Gareth Gumbley, Managing Director, Prepaid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Processing Segment (filed as Exhibit 10.7 to the Company’s Quarterly Report on Form 10-Q filed on August 7, 2008,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Form of Indemnification Agreement, (filed as Exhibit 10.1 to the Company’s Form 8-K filed on December 22, 2008,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Amendment No. 2 to the Credit Agreement dated February 18, 2009 (filed as Exhibit 10.1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February 19, 2009, and incorporated by reference herein)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Subsidiaries of the Registrant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906 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906 Certification of Chief Financial Officer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ectPr>
          <w:pgSz w:w="11900" w:h="16838" w:orient="portrait"/>
          <w:cols w:equalWidth="0" w:num="1">
            <w:col w:w="11420"/>
          </w:cols>
          <w:pgMar w:left="240" w:top="419"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419"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Pretax income (loss) from continuing operations before adjustment for minority interest or income</w:t>
            </w: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from unconsolidated subsidiaries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(185,983)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81,428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Dividends received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Capitalized interest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pretax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(157,054)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113,211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76,585</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24,538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3,897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Total fixed charges</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28,896</w:t>
            </w:r>
          </w:p>
        </w:tc>
        <w:tc>
          <w:tcPr>
            <w:tcW w:w="1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30,362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80" w:type="dxa"/>
            <w:vAlign w:val="bottom"/>
            <w:gridSpan w:val="3"/>
          </w:tcPr>
          <w:p>
            <w:pPr>
              <w:spacing w:after="0"/>
              <w:rPr>
                <w:sz w:val="20"/>
                <w:szCs w:val="20"/>
                <w:color w:val="auto"/>
              </w:rPr>
            </w:pPr>
            <w:r>
              <w:rPr>
                <w:rFonts w:ascii="Arial" w:cs="Arial" w:eastAsia="Arial" w:hAnsi="Arial"/>
                <w:sz w:val="18"/>
                <w:szCs w:val="18"/>
                <w:color w:val="auto"/>
              </w:rPr>
              <w:t>(1)   Adjusted pretax loss was inadequate to cover fixed charges by $186.0 million in 2008.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80" w:type="dxa"/>
            <w:vAlign w:val="bottom"/>
            <w:gridSpan w:val="3"/>
          </w:tcPr>
          <w:p>
            <w:pPr>
              <w:jc w:val="right"/>
              <w:ind w:right="144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Euronet’s wholly owned subsidiaries were:</w:t>
      </w:r>
    </w:p>
    <w:p>
      <w:pPr>
        <w:spacing w:after="0" w:line="117"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Bankomat 24/Euronet Sp. z o.o., incorporated in Poland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 r.o., incorporated in Slovakia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New Zealand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e-pay Money Transfer Ltd, incorporated in England and Wales (in liquidation)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transact Elektronische Zahlungssysteme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Payments and Remittance,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Europlanet d.o.o. Beograd, incorporated in Serbia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Card Services, S.A., incorporated in Greece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Essentis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Euronet Business Holdings S.L. (formerly Euronet E-Pay Spain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Spain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Brodos Romania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Envia, Inc., incorporated in New York,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Continental Exchange Solutions,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Telecommunications of New York, Inc., incorporated in New York,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Envia Financial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Financial Services, Ltd.,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Telecommunications of Canada, Inc., incorporated in Canada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Italia,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RIA Financial Services Australia Pty. Ltd., incorporated in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Envia Telecomunicaciones, S.A., incorporated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018" w:gutter="0" w:footer="0" w:header="0"/>
        </w:sectPr>
      </w:pPr>
    </w:p>
    <w:bookmarkStart w:id="107" w:name="page108"/>
    <w:bookmarkEnd w:id="107"/>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Financial Services Puerto Rico, Inc., incorporated in Puerto Rico</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de la Hispaniola, C.PorA, incorporated in Dominican Republic</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France, SAS, incorporated in France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Financial Services New Zealand Ltd., incorporated in New Zealand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Envia Financial Services Belgium, SPRL, incorporated in Belgium</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de Centroamérica, S.A. de C.V., incorporated in El Salvador</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RIA Financial Services AG, incorporated in Switzerland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Continental Payment Solutions, Inc. (formerly Global Exchange Services, Inc.), incorporated in California,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Omega Logic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Omega Logic France SARL, incorporated in France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Euronet Elektronik Islem Hizmetleri Limited Sirketi, incorporated in Turkey</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Euronet Prepaid Hellas LLC, incorporated in Greece</w:t>
      </w:r>
    </w:p>
    <w:p>
      <w:pPr>
        <w:spacing w:after="0" w:line="200" w:lineRule="exact"/>
        <w:rPr>
          <w:sz w:val="20"/>
          <w:szCs w:val="20"/>
          <w:color w:val="auto"/>
        </w:rPr>
      </w:pPr>
    </w:p>
    <w:p>
      <w:pPr>
        <w:spacing w:after="0" w:line="241" w:lineRule="exact"/>
        <w:rPr>
          <w:sz w:val="20"/>
          <w:szCs w:val="20"/>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ATX Software, Ltd., incorporated in England and Wales, of which 51% is owned by Euronet Worldwide, Inc.</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Euronet Services LLC incorporated in Russia, of which 95%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Euronet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Bahrain, of which 49% is owned by EFT Services Holdings B.V.</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e-pay SRL, incorporated in Italy, of which 51% is owned by Euronet Pay and Transaction Services SRL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Cashlink Bangladesh Ltd., incorporated in Bangladesh, of which 10%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ATX Middle East FZC, incorporated in the United Arab Emirates, of which 51% is owned by EFT Services Holding B.V.</w:t>
      </w:r>
    </w:p>
    <w:p>
      <w:pPr>
        <w:sectPr>
          <w:pgSz w:w="11900" w:h="16838" w:orient="portrait"/>
          <w:cols w:equalWidth="0" w:num="1">
            <w:col w:w="11176"/>
          </w:cols>
          <w:pgMar w:left="464" w:top="1044" w:right="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Statements (Form S-3, No. 333-84046; Form S-3, No. 333-105478; Form S-3, No. 333-111361; Form S-3MEF, No. 333-111363; Form S-3, No. 333-116934; Form S-3, No. 333-117948; Form S-3, No. 333-128228; Form S-4, No. 333-116938; Form S-8, No. 333-24539; Form S-8, No. 333-83555; Form S-8, No. 333-44890; Form S-8, No. 333-64634; Form S-8, No. 333-71766; Form S-8, No. 333-98013; Form S-8, No. 333-102875; Form S-8, No. 333-116920; and Form S-8, No. 333-136485) of Euronet Worldwide, Inc. of our report dated March 2, 2009, with respect to the consolidated balance sheets of Euronet Worldwide, Inc. and subsidiaries (the Company) as of December 31, 2008 and 2007, and the related consolidated statements of operations, changes in stockholders’ equity, and cash flows for each of the years in the three-year period ended December 31, 2008, and to the effectiveness of internal control over financial reporting as of December 31, 2008, which report appears in the December 31, 2008 annual report on Form 10-K of Euronet Worldwide, Inc.</w:t>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As discussed in Note 3 to the consolidated financial statements, the Company adopted the provisions of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as of January 1, 2008. Also, as discussed in Notes 3 and 16 to the consolidated financial statements, 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an interpretation of FASB Statement No. 109, as of January 1, 2007.</w:t>
      </w:r>
    </w:p>
    <w:p>
      <w:pPr>
        <w:spacing w:after="0" w:line="9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Chairman and Chief Executive Officer, certify that:</w:t>
      </w:r>
    </w:p>
    <w:p>
      <w:pPr>
        <w:spacing w:after="0" w:line="185"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200" w:lineRule="exact"/>
        <w:rPr>
          <w:sz w:val="20"/>
          <w:szCs w:val="20"/>
          <w:color w:val="auto"/>
        </w:rPr>
      </w:pPr>
    </w:p>
    <w:p>
      <w:pPr>
        <w:spacing w:after="0" w:line="34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Chief Financial Officer, certify that:</w:t>
      </w:r>
    </w:p>
    <w:p>
      <w:pPr>
        <w:spacing w:after="0" w:line="185"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200" w:lineRule="exact"/>
        <w:rPr>
          <w:sz w:val="20"/>
          <w:szCs w:val="20"/>
          <w:color w:val="auto"/>
        </w:rPr>
      </w:pPr>
    </w:p>
    <w:p>
      <w:pPr>
        <w:spacing w:after="0" w:line="349"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2008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2" w:name="page113"/>
    <w:bookmarkEnd w:id="112"/>
    <w:p>
      <w:pPr>
        <w:ind w:left="10280"/>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2008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2019-12-10T14:53:29Z</dcterms:created>
  <dcterms:modified xsi:type="dcterms:W3CDTF">2019-12-10T14:53:29Z</dcterms:modified>
</cp:coreProperties>
</file>