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174625</wp:posOffset>
            </wp:positionH>
            <wp:positionV relativeFrom="page">
              <wp:posOffset>397510</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-175895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40" w:hanging="508"/>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840" w:hanging="47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001-31648</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(State or other jurisdiction</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of incorporation or organization)</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3"/>
              </w:rPr>
              <w:t>Identification No.)</w:t>
            </w:r>
          </w:p>
        </w:tc>
      </w:tr>
      <w:tr>
        <w:trPr>
          <w:trHeight w:val="54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3500 College Boulevard</w:t>
            </w:r>
          </w:p>
        </w:tc>
        <w:tc>
          <w:tcPr>
            <w:tcW w:w="3180" w:type="dxa"/>
            <w:vAlign w:val="bottom"/>
          </w:tcPr>
          <w:p>
            <w:pPr>
              <w:spacing w:after="0"/>
              <w:rPr>
                <w:sz w:val="24"/>
                <w:szCs w:val="24"/>
                <w:color w:val="auto"/>
              </w:rPr>
            </w:pPr>
          </w:p>
        </w:tc>
      </w:tr>
      <w:tr>
        <w:trPr>
          <w:trHeight w:val="270"/>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Leawood, Kansas</w:t>
            </w:r>
          </w:p>
        </w:tc>
        <w:tc>
          <w:tcPr>
            <w:tcW w:w="318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(Zip Code)</w:t>
            </w: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340"/>
        <w:spacing w:after="0" w:line="207" w:lineRule="exact"/>
        <w:tabs>
          <w:tab w:leader="none" w:pos="2720" w:val="left"/>
          <w:tab w:leader="none" w:pos="5300" w:val="left"/>
          <w:tab w:leader="none" w:pos="86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4"/>
          <w:szCs w:val="14"/>
          <w:color w:val="auto"/>
        </w:rPr>
        <w:t>o</w:t>
      </w:r>
    </w:p>
    <w:p>
      <w:pPr>
        <w:spacing w:after="0" w:line="100" w:lineRule="exact"/>
        <w:rPr>
          <w:sz w:val="24"/>
          <w:szCs w:val="24"/>
          <w:color w:val="auto"/>
        </w:rPr>
      </w:pPr>
    </w:p>
    <w:p>
      <w:pPr>
        <w:jc w:val="center"/>
        <w:ind w:left="300"/>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pacing w:after="0" w:line="2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On October 29, 2013, Euronet Worldwide, Inc. had 50,268,267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186690</wp:posOffset>
            </wp:positionV>
            <wp:extent cx="721233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260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60"/>
          </w:cols>
          <w:pgMar w:left="240" w:top="77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220" w:type="dxa"/>
            <w:vAlign w:val="bottom"/>
            <w:gridSpan w:val="13"/>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1220" w:type="dxa"/>
            <w:vAlign w:val="bottom"/>
            <w:gridSpan w:val="13"/>
          </w:tcPr>
          <w:p>
            <w:pPr>
              <w:ind w:left="4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I—FINANCIAL INFORMATION</w:t>
              </w:r>
            </w:hyperlink>
          </w:p>
        </w:tc>
        <w:tc>
          <w:tcPr>
            <w:tcW w:w="180" w:type="dxa"/>
            <w:vAlign w:val="bottom"/>
            <w:gridSpan w:val="2"/>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r>
      <w:tr>
        <w:trPr>
          <w:trHeight w:val="250"/>
        </w:trPr>
        <w:tc>
          <w:tcPr>
            <w:tcW w:w="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7"/>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 FINANCIAL STATEMENTS</w:t>
              </w:r>
            </w:hyperlink>
          </w:p>
        </w:tc>
        <w:tc>
          <w:tcPr>
            <w:tcW w:w="80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580" w:type="dxa"/>
            <w:vAlign w:val="bottom"/>
            <w:tcBorders>
              <w:bottom w:val="single" w:sz="8" w:color="auto"/>
            </w:tcBorders>
            <w:gridSpan w:val="10"/>
          </w:tcPr>
          <w:p>
            <w:pPr>
              <w:spacing w:after="0"/>
              <w:rPr>
                <w:rFonts w:ascii="Arial" w:cs="Arial" w:eastAsia="Arial" w:hAnsi="Arial"/>
                <w:sz w:val="18"/>
                <w:szCs w:val="18"/>
                <w:color w:val="auto"/>
                <w:w w:val="97"/>
              </w:rPr>
            </w:pPr>
            <w:hyperlink w:anchor="page17">
              <w:r>
                <w:rPr>
                  <w:rFonts w:ascii="Arial" w:cs="Arial" w:eastAsia="Arial" w:hAnsi="Arial"/>
                  <w:sz w:val="18"/>
                  <w:szCs w:val="18"/>
                  <w:color w:val="auto"/>
                  <w:w w:val="97"/>
                </w:rPr>
                <w:t>ITEM 2. MANAGEMENT’S DISCUSSION AND ANALYSIS OF FINANCIAL CONDITION AND RESULTS OF OPERATIONS</w:t>
              </w:r>
            </w:hyperlink>
          </w:p>
        </w:tc>
        <w:tc>
          <w:tcPr>
            <w:tcW w:w="1460" w:type="dxa"/>
            <w:vAlign w:val="bottom"/>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17">
              <w:r>
                <w:rPr>
                  <w:rFonts w:ascii="Arial" w:cs="Arial" w:eastAsia="Arial" w:hAnsi="Arial"/>
                  <w:sz w:val="18"/>
                  <w:szCs w:val="18"/>
                  <w:color w:val="auto"/>
                  <w:w w:val="79"/>
                </w:rPr>
                <w:t>18</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0" w:type="dxa"/>
            <w:vAlign w:val="bottom"/>
            <w:tcBorders>
              <w:bottom w:val="single" w:sz="8" w:color="auto"/>
            </w:tcBorders>
            <w:gridSpan w:val="9"/>
          </w:tcPr>
          <w:p>
            <w:pPr>
              <w:spacing w:after="0"/>
              <w:rPr>
                <w:rFonts w:ascii="Arial" w:cs="Arial" w:eastAsia="Arial" w:hAnsi="Arial"/>
                <w:sz w:val="18"/>
                <w:szCs w:val="18"/>
                <w:color w:val="auto"/>
                <w:w w:val="97"/>
              </w:rPr>
            </w:pPr>
            <w:hyperlink w:anchor="page36">
              <w:r>
                <w:rPr>
                  <w:rFonts w:ascii="Arial" w:cs="Arial" w:eastAsia="Arial" w:hAnsi="Arial"/>
                  <w:sz w:val="18"/>
                  <w:szCs w:val="18"/>
                  <w:color w:val="auto"/>
                  <w:w w:val="97"/>
                </w:rPr>
                <w:t>ITEM 3. QUANTITATIVE AND QUALITATIVE DISCLOSURES ABOUT MARKET RISK</w:t>
              </w:r>
            </w:hyperlink>
          </w:p>
        </w:tc>
        <w:tc>
          <w:tcPr>
            <w:tcW w:w="4240" w:type="dxa"/>
            <w:vAlign w:val="bottom"/>
            <w:gridSpan w:val="2"/>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36">
              <w:r>
                <w:rPr>
                  <w:rFonts w:ascii="Arial" w:cs="Arial" w:eastAsia="Arial" w:hAnsi="Arial"/>
                  <w:sz w:val="18"/>
                  <w:szCs w:val="18"/>
                  <w:color w:val="auto"/>
                  <w:w w:val="79"/>
                </w:rPr>
                <w:t>36</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60" w:type="dxa"/>
            <w:vAlign w:val="bottom"/>
            <w:tcBorders>
              <w:bottom w:val="single" w:sz="8" w:color="auto"/>
            </w:tcBorders>
            <w:gridSpan w:val="8"/>
          </w:tcPr>
          <w:p>
            <w:pPr>
              <w:spacing w:after="0"/>
              <w:rPr>
                <w:rFonts w:ascii="Arial" w:cs="Arial" w:eastAsia="Arial" w:hAnsi="Arial"/>
                <w:sz w:val="18"/>
                <w:szCs w:val="18"/>
                <w:color w:val="auto"/>
                <w:w w:val="94"/>
              </w:rPr>
            </w:pPr>
            <w:hyperlink w:anchor="page37">
              <w:r>
                <w:rPr>
                  <w:rFonts w:ascii="Arial" w:cs="Arial" w:eastAsia="Arial" w:hAnsi="Arial"/>
                  <w:sz w:val="18"/>
                  <w:szCs w:val="18"/>
                  <w:color w:val="auto"/>
                  <w:w w:val="94"/>
                </w:rPr>
                <w:t>ITEM 4. CONTROLS AND PROCEDURES</w:t>
              </w:r>
            </w:hyperlink>
          </w:p>
        </w:tc>
        <w:tc>
          <w:tcPr>
            <w:tcW w:w="7780" w:type="dxa"/>
            <w:vAlign w:val="bottom"/>
            <w:gridSpan w:val="3"/>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37">
              <w:r>
                <w:rPr>
                  <w:rFonts w:ascii="Arial" w:cs="Arial" w:eastAsia="Arial" w:hAnsi="Arial"/>
                  <w:sz w:val="18"/>
                  <w:szCs w:val="18"/>
                  <w:color w:val="auto"/>
                  <w:w w:val="79"/>
                </w:rPr>
                <w:t>37</w:t>
              </w:r>
            </w:hyperlink>
          </w:p>
        </w:tc>
      </w:tr>
      <w:tr>
        <w:trPr>
          <w:trHeight w:val="250"/>
        </w:trPr>
        <w:tc>
          <w:tcPr>
            <w:tcW w:w="11220" w:type="dxa"/>
            <w:vAlign w:val="bottom"/>
            <w:gridSpan w:val="13"/>
          </w:tcPr>
          <w:p>
            <w:pPr>
              <w:ind w:left="40"/>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PART II—OTHER INFORMATION</w:t>
              </w:r>
            </w:hyperlink>
          </w:p>
        </w:tc>
        <w:tc>
          <w:tcPr>
            <w:tcW w:w="180" w:type="dxa"/>
            <w:vAlign w:val="bottom"/>
            <w:gridSpan w:val="2"/>
          </w:tcPr>
          <w:p>
            <w:pPr>
              <w:jc w:val="right"/>
              <w:spacing w:after="0"/>
              <w:rPr>
                <w:rFonts w:ascii="Arial" w:cs="Arial" w:eastAsia="Arial" w:hAnsi="Arial"/>
                <w:sz w:val="18"/>
                <w:szCs w:val="18"/>
                <w:color w:val="auto"/>
                <w:w w:val="79"/>
              </w:rPr>
            </w:pPr>
            <w:hyperlink w:anchor="page38">
              <w:r>
                <w:rPr>
                  <w:rFonts w:ascii="Arial" w:cs="Arial" w:eastAsia="Arial" w:hAnsi="Arial"/>
                  <w:sz w:val="18"/>
                  <w:szCs w:val="18"/>
                  <w:color w:val="auto"/>
                  <w:w w:val="79"/>
                </w:rPr>
                <w:t>37</w:t>
              </w:r>
            </w:hyperlink>
          </w:p>
        </w:tc>
      </w:tr>
      <w:tr>
        <w:trPr>
          <w:trHeight w:val="250"/>
        </w:trPr>
        <w:tc>
          <w:tcPr>
            <w:tcW w:w="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gridSpan w:val="5"/>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1. LEGAL PROCEEDINGS</w:t>
              </w:r>
            </w:hyperlink>
          </w:p>
        </w:tc>
        <w:tc>
          <w:tcPr>
            <w:tcW w:w="8320" w:type="dxa"/>
            <w:vAlign w:val="bottom"/>
            <w:gridSpan w:val="6"/>
          </w:tcPr>
          <w:p>
            <w:pPr>
              <w:spacing w:after="0"/>
              <w:rPr>
                <w:sz w:val="21"/>
                <w:szCs w:val="21"/>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38">
              <w:r>
                <w:rPr>
                  <w:rFonts w:ascii="Arial" w:cs="Arial" w:eastAsia="Arial" w:hAnsi="Arial"/>
                  <w:sz w:val="18"/>
                  <w:szCs w:val="18"/>
                  <w:color w:val="auto"/>
                  <w:w w:val="79"/>
                </w:rPr>
                <w:t>37</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40" w:type="dxa"/>
            <w:vAlign w:val="bottom"/>
            <w:tcBorders>
              <w:top w:val="single" w:sz="8" w:color="auto"/>
              <w:bottom w:val="single" w:sz="8" w:color="auto"/>
            </w:tcBorders>
            <w:gridSpan w:val="3"/>
          </w:tcPr>
          <w:p>
            <w:pPr>
              <w:spacing w:after="0"/>
              <w:rPr>
                <w:rFonts w:ascii="Arial" w:cs="Arial" w:eastAsia="Arial" w:hAnsi="Arial"/>
                <w:sz w:val="18"/>
                <w:szCs w:val="18"/>
                <w:color w:val="auto"/>
                <w:w w:val="94"/>
              </w:rPr>
            </w:pPr>
            <w:hyperlink w:anchor="page38">
              <w:r>
                <w:rPr>
                  <w:rFonts w:ascii="Arial" w:cs="Arial" w:eastAsia="Arial" w:hAnsi="Arial"/>
                  <w:sz w:val="18"/>
                  <w:szCs w:val="18"/>
                  <w:color w:val="auto"/>
                  <w:w w:val="94"/>
                </w:rPr>
                <w:t>ITEM 1A. RISK FACTORS</w:t>
              </w:r>
            </w:hyperlink>
          </w:p>
        </w:tc>
        <w:tc>
          <w:tcPr>
            <w:tcW w:w="480" w:type="dxa"/>
            <w:vAlign w:val="bottom"/>
            <w:tcBorders>
              <w:top w:val="single" w:sz="8" w:color="auto"/>
            </w:tcBorders>
          </w:tcPr>
          <w:p>
            <w:pPr>
              <w:spacing w:after="0"/>
              <w:rPr>
                <w:sz w:val="21"/>
                <w:szCs w:val="21"/>
                <w:color w:val="auto"/>
              </w:rPr>
            </w:pPr>
          </w:p>
        </w:tc>
        <w:tc>
          <w:tcPr>
            <w:tcW w:w="8520" w:type="dxa"/>
            <w:vAlign w:val="bottom"/>
            <w:gridSpan w:val="7"/>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rFonts w:ascii="Arial" w:cs="Arial" w:eastAsia="Arial" w:hAnsi="Arial"/>
                <w:sz w:val="18"/>
                <w:szCs w:val="18"/>
                <w:color w:val="auto"/>
                <w:w w:val="79"/>
              </w:rPr>
            </w:pPr>
            <w:hyperlink w:anchor="page38">
              <w:r>
                <w:rPr>
                  <w:rFonts w:ascii="Arial" w:cs="Arial" w:eastAsia="Arial" w:hAnsi="Arial"/>
                  <w:sz w:val="18"/>
                  <w:szCs w:val="18"/>
                  <w:color w:val="auto"/>
                  <w:w w:val="79"/>
                </w:rPr>
                <w:t>38</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Borders>
              <w:bottom w:val="single" w:sz="8" w:color="auto"/>
            </w:tcBorders>
            <w:gridSpan w:val="2"/>
          </w:tcPr>
          <w:p>
            <w:pPr>
              <w:spacing w:after="0"/>
              <w:rPr>
                <w:rFonts w:ascii="Arial" w:cs="Arial" w:eastAsia="Arial" w:hAnsi="Arial"/>
                <w:sz w:val="18"/>
                <w:szCs w:val="18"/>
                <w:color w:val="auto"/>
                <w:w w:val="97"/>
              </w:rPr>
            </w:pPr>
            <w:hyperlink w:anchor="page39">
              <w:r>
                <w:rPr>
                  <w:rFonts w:ascii="Arial" w:cs="Arial" w:eastAsia="Arial" w:hAnsi="Arial"/>
                  <w:sz w:val="18"/>
                  <w:szCs w:val="18"/>
                  <w:color w:val="auto"/>
                  <w:w w:val="97"/>
                </w:rPr>
                <w:t>ITEM 6. EXHIBITS</w:t>
              </w:r>
            </w:hyperlink>
          </w:p>
        </w:tc>
        <w:tc>
          <w:tcPr>
            <w:tcW w:w="9560" w:type="dxa"/>
            <w:vAlign w:val="bottom"/>
            <w:gridSpan w:val="9"/>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39">
              <w:r>
                <w:rPr>
                  <w:rFonts w:ascii="Arial" w:cs="Arial" w:eastAsia="Arial" w:hAnsi="Arial"/>
                  <w:sz w:val="18"/>
                  <w:szCs w:val="18"/>
                  <w:color w:val="auto"/>
                  <w:w w:val="79"/>
                </w:rPr>
                <w:t>39</w:t>
              </w:r>
            </w:hyperlink>
          </w:p>
        </w:tc>
      </w:tr>
      <w:tr>
        <w:trPr>
          <w:trHeight w:val="372"/>
        </w:trPr>
        <w:tc>
          <w:tcPr>
            <w:tcW w:w="11220" w:type="dxa"/>
            <w:vAlign w:val="bottom"/>
            <w:gridSpan w:val="13"/>
          </w:tcPr>
          <w:p>
            <w:pPr>
              <w:ind w:left="40"/>
              <w:spacing w:after="0"/>
              <w:rPr>
                <w:rFonts w:ascii="Arial" w:cs="Arial" w:eastAsia="Arial" w:hAnsi="Arial"/>
                <w:sz w:val="18"/>
                <w:szCs w:val="18"/>
                <w:color w:val="auto"/>
              </w:rPr>
            </w:pPr>
            <w:hyperlink w:anchor="page40">
              <w:r>
                <w:rPr>
                  <w:rFonts w:ascii="Arial" w:cs="Arial" w:eastAsia="Arial" w:hAnsi="Arial"/>
                  <w:sz w:val="18"/>
                  <w:szCs w:val="18"/>
                  <w:color w:val="auto"/>
                </w:rPr>
                <w:t>SIGNATURES</w:t>
              </w:r>
            </w:hyperlink>
          </w:p>
        </w:tc>
        <w:tc>
          <w:tcPr>
            <w:tcW w:w="180" w:type="dxa"/>
            <w:vAlign w:val="bottom"/>
            <w:gridSpan w:val="2"/>
          </w:tcPr>
          <w:p>
            <w:pPr>
              <w:jc w:val="right"/>
              <w:spacing w:after="0"/>
              <w:rPr>
                <w:rFonts w:ascii="Arial" w:cs="Arial" w:eastAsia="Arial" w:hAnsi="Arial"/>
                <w:sz w:val="18"/>
                <w:szCs w:val="18"/>
                <w:color w:val="auto"/>
                <w:w w:val="79"/>
              </w:rPr>
            </w:pPr>
            <w:hyperlink w:anchor="page40">
              <w:r>
                <w:rPr>
                  <w:rFonts w:ascii="Arial" w:cs="Arial" w:eastAsia="Arial" w:hAnsi="Arial"/>
                  <w:sz w:val="18"/>
                  <w:szCs w:val="18"/>
                  <w:color w:val="auto"/>
                  <w:w w:val="79"/>
                </w:rPr>
                <w:t>40</w:t>
              </w:r>
            </w:hyperlink>
          </w:p>
        </w:tc>
      </w:tr>
      <w:tr>
        <w:trPr>
          <w:trHeight w:val="507"/>
        </w:trPr>
        <w:tc>
          <w:tcPr>
            <w:tcW w:w="40" w:type="dxa"/>
            <w:vAlign w:val="bottom"/>
          </w:tcPr>
          <w:p>
            <w:pPr>
              <w:spacing w:after="0"/>
              <w:rPr>
                <w:sz w:val="24"/>
                <w:szCs w:val="24"/>
                <w:color w:val="auto"/>
              </w:rPr>
            </w:pPr>
          </w:p>
        </w:tc>
        <w:tc>
          <w:tcPr>
            <w:tcW w:w="1100" w:type="dxa"/>
            <w:vAlign w:val="bottom"/>
            <w:tcBorders>
              <w:top w:val="single" w:sz="8" w:color="auto"/>
            </w:tcBorders>
            <w:gridSpan w:val="2"/>
          </w:tcPr>
          <w:p>
            <w:pPr>
              <w:spacing w:after="0"/>
              <w:rPr>
                <w:sz w:val="24"/>
                <w:szCs w:val="24"/>
                <w:color w:val="auto"/>
              </w:rPr>
            </w:pPr>
          </w:p>
        </w:tc>
        <w:tc>
          <w:tcPr>
            <w:tcW w:w="5840" w:type="dxa"/>
            <w:vAlign w:val="bottom"/>
            <w:gridSpan w:val="8"/>
          </w:tcPr>
          <w:p>
            <w:pPr>
              <w:jc w:val="right"/>
              <w:ind w:right="1220"/>
              <w:spacing w:after="0"/>
              <w:rPr>
                <w:sz w:val="20"/>
                <w:szCs w:val="20"/>
                <w:color w:val="auto"/>
              </w:rPr>
            </w:pPr>
            <w:r>
              <w:rPr>
                <w:rFonts w:ascii="Arial" w:cs="Arial" w:eastAsia="Arial" w:hAnsi="Arial"/>
                <w:sz w:val="18"/>
                <w:szCs w:val="18"/>
                <w:color w:val="auto"/>
              </w:rPr>
              <w:t>2</w:t>
            </w:r>
          </w:p>
        </w:tc>
        <w:tc>
          <w:tcPr>
            <w:tcW w:w="2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bl>
    <w:p>
      <w:pPr>
        <w:sectPr>
          <w:pgSz w:w="11900" w:h="16838" w:orient="portrait"/>
          <w:cols w:equalWidth="0" w:num="1">
            <w:col w:w="11400"/>
          </w:cols>
          <w:pgMar w:left="240" w:top="364"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244,471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201,435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63,107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71,608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101,168</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1"/>
              </w:rPr>
              <w:t>Trade accounts receivable, net of allowances for doubtful accounts of $20,687 at September 30, 2013 and $21,512</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at December 31, 2012</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317,882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370,836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68,132</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745,000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813,179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Property and equipment, net of accumulated depreciation of $232,547 at September 30, 2013 and $207,282 at December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31, 2012</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111,885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115,475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510,780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481,760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Acquired intangible assets, net of accumulated amortization of $157,722 at September 30, 2013 and $140,829 at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2012</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97,377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83,389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3"/>
              </w:rPr>
              <w:t>Other assets, net of accumulated amortization of $24,645 at September 30, 2013 and $24,247 at December 31, 2012</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49,464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57,733</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1,514,506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1,551,536</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9"/>
        </w:trPr>
        <w:tc>
          <w:tcPr>
            <w:tcW w:w="8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326,835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459,847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246,962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183,406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7,551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34,109</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625,927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696,706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235,252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286,703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20,299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22,031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14,967</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900,966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1,024,996</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4"/>
              </w:rPr>
              <w:t>Common Stock, $0.02 par value. 90,000,000 shares authorized; 53,891,965 issued at September 30, 2013 and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52,976,558 issued at December 31, 2012</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1,060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799,702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782,506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w w:val="95"/>
              </w:rPr>
              <w:t>Treasury stock, at cost, 3,676,370 shares at September 30, 2013 and 3,653,958 shares at December 31, 2012</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(67,327)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(184,015)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reserve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(10,850)</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610,411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522,376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4,164</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613,540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526,540</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1,514,506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1,551,536</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3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238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8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316,356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1,037,767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916,355</w:t>
            </w:r>
          </w:p>
        </w:tc>
      </w:tr>
      <w:tr>
        <w:trPr>
          <w:trHeight w:val="176"/>
        </w:trPr>
        <w:tc>
          <w:tcPr>
            <w:tcW w:w="5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223,551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200,378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656,933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586,965</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45,549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134,624</w:t>
            </w: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33,254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30,071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95,714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86,738</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14,930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16,163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48,838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48,137</w:t>
            </w:r>
          </w:p>
        </w:tc>
      </w:tr>
      <w:tr>
        <w:trPr>
          <w:trHeight w:val="27"/>
        </w:trPr>
        <w:tc>
          <w:tcPr>
            <w:tcW w:w="5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305,235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292,161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935,464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856,464</w:t>
            </w:r>
          </w:p>
        </w:tc>
      </w:tr>
      <w:tr>
        <w:trPr>
          <w:trHeight w:val="237"/>
        </w:trPr>
        <w:tc>
          <w:tcPr>
            <w:tcW w:w="58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55,345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24,195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102,303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59,891</w:t>
            </w:r>
          </w:p>
        </w:tc>
      </w:tr>
      <w:tr>
        <w:trPr>
          <w:trHeight w:val="27"/>
        </w:trPr>
        <w:tc>
          <w:tcPr>
            <w:tcW w:w="5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5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3,493</w:t>
            </w: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(16,542)</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 (losses),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4,146</w:t>
            </w: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1,419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w:t>
            </w:r>
          </w:p>
        </w:tc>
      </w:tr>
      <w:tr>
        <w:trPr>
          <w:trHeight w:val="237"/>
        </w:trPr>
        <w:tc>
          <w:tcPr>
            <w:tcW w:w="5880" w:type="dxa"/>
            <w:vAlign w:val="bottom"/>
          </w:tcPr>
          <w:p>
            <w:pPr>
              <w:ind w:left="60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(9,345)</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6"/>
        </w:trPr>
        <w:tc>
          <w:tcPr>
            <w:tcW w:w="5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58,642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21,168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100,684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50,546</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6"/>
        </w:trPr>
        <w:tc>
          <w:tcPr>
            <w:tcW w:w="5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(17,381)</w:t>
            </w:r>
          </w:p>
        </w:tc>
      </w:tr>
      <w:tr>
        <w:trPr>
          <w:trHeight w:val="27"/>
        </w:trPr>
        <w:tc>
          <w:tcPr>
            <w:tcW w:w="5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5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47,974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14,341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78,199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33,165</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5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Net (income) loss attributable to noncontrolling</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5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r>
      <w:tr>
        <w:trPr>
          <w:trHeight w:val="297"/>
        </w:trPr>
        <w:tc>
          <w:tcPr>
            <w:tcW w:w="5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47,874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14,630</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77,991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33,549</w:t>
            </w:r>
          </w:p>
        </w:tc>
      </w:tr>
      <w:tr>
        <w:trPr>
          <w:trHeight w:val="257"/>
        </w:trPr>
        <w:tc>
          <w:tcPr>
            <w:tcW w:w="58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5880" w:type="dxa"/>
            <w:vAlign w:val="bottom"/>
          </w:tcPr>
          <w:p>
            <w:pPr>
              <w:ind w:left="40"/>
              <w:spacing w:after="0"/>
              <w:rPr>
                <w:sz w:val="20"/>
                <w:szCs w:val="20"/>
                <w:color w:val="auto"/>
              </w:rPr>
            </w:pPr>
            <w:r>
              <w:rPr>
                <w:rFonts w:ascii="Arial" w:cs="Arial" w:eastAsia="Arial" w:hAnsi="Arial"/>
                <w:sz w:val="18"/>
                <w:szCs w:val="18"/>
                <w:color w:val="auto"/>
              </w:rPr>
              <w:t>Earnings per share attributable to Euronet Worldwide, Inc.</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880" w:type="dxa"/>
            <w:vAlign w:val="bottom"/>
          </w:tcPr>
          <w:p>
            <w:pPr>
              <w:ind w:left="120"/>
              <w:spacing w:after="0"/>
              <w:rPr>
                <w:sz w:val="20"/>
                <w:szCs w:val="20"/>
                <w:color w:val="auto"/>
              </w:rPr>
            </w:pPr>
            <w:r>
              <w:rPr>
                <w:rFonts w:ascii="Arial" w:cs="Arial" w:eastAsia="Arial" w:hAnsi="Arial"/>
                <w:sz w:val="18"/>
                <w:szCs w:val="18"/>
                <w:color w:val="auto"/>
              </w:rPr>
              <w:t>stockholders: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0.66</w:t>
            </w: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5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0.28</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0.65</w:t>
            </w:r>
          </w:p>
        </w:tc>
      </w:tr>
      <w:tr>
        <w:trPr>
          <w:trHeight w:val="203"/>
        </w:trPr>
        <w:tc>
          <w:tcPr>
            <w:tcW w:w="5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50,093,786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50,827,767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49,829,379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50,705,222</w:t>
            </w: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58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52,200,472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51,597,319</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51,579,644</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51,521,203</w:t>
            </w: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0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59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47,974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14,341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78,199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33,165</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22,072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10,577</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1,919</w:t>
            </w:r>
          </w:p>
        </w:tc>
      </w:tr>
      <w:tr>
        <w:trPr>
          <w:trHeight w:val="237"/>
        </w:trPr>
        <w:tc>
          <w:tcPr>
            <w:tcW w:w="590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70,046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24,918</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72,195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35,084</w:t>
            </w:r>
          </w:p>
        </w:tc>
      </w:tr>
      <w:tr>
        <w:trPr>
          <w:trHeight w:val="27"/>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7"/>
              </w:rPr>
              <w:t>Comprehensive (income)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w:t>
            </w:r>
          </w:p>
        </w:tc>
      </w:tr>
      <w:tr>
        <w:trPr>
          <w:trHeight w:val="257"/>
        </w:trPr>
        <w:tc>
          <w:tcPr>
            <w:tcW w:w="5900" w:type="dxa"/>
            <w:vAlign w:val="bottom"/>
          </w:tcPr>
          <w:p>
            <w:pPr>
              <w:ind w:left="380"/>
              <w:spacing w:after="0"/>
              <w:rPr>
                <w:sz w:val="20"/>
                <w:szCs w:val="20"/>
                <w:color w:val="auto"/>
              </w:rPr>
            </w:pPr>
            <w:r>
              <w:rPr>
                <w:rFonts w:ascii="Arial" w:cs="Arial" w:eastAsia="Arial" w:hAnsi="Arial"/>
                <w:sz w:val="18"/>
                <w:szCs w:val="18"/>
                <w:color w:val="auto"/>
              </w:rPr>
              <w:t>Comprehensive income attributable to Euronet Worldwide,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69,839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25,140</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71,889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35,519</w:t>
            </w:r>
          </w:p>
        </w:tc>
      </w:tr>
      <w:tr>
        <w:trPr>
          <w:trHeight w:val="20"/>
        </w:trPr>
        <w:tc>
          <w:tcPr>
            <w:tcW w:w="5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2012</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33,165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48,137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8,812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7,032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Gain on sale of equity method investment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step acquisition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(19,759)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31,319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50,767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36,276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(128,449)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16,169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66,097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(13,678)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3,627</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150,564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143,422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equity method investment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(38,259)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1,508,463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282,055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(1,550,329)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(360,596)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 of subsidiary shares from noncontrolling interests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(52,522)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(85,553)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r>
      <w:tr>
        <w:trPr>
          <w:trHeight w:val="243"/>
        </w:trPr>
        <w:tc>
          <w:tcPr>
            <w:tcW w:w="8580" w:type="dxa"/>
            <w:vAlign w:val="bottom"/>
          </w:tcPr>
          <w:p>
            <w:pPr>
              <w:ind w:left="600"/>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20,474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177,327</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244,471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197,801</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paid during the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6,143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7,518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21,972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issued in connection with acquisition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Contingent consideration in connection with acquisition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980"/>
              <w:spacing w:after="0"/>
              <w:rPr>
                <w:sz w:val="20"/>
                <w:szCs w:val="20"/>
                <w:color w:val="auto"/>
              </w:rPr>
            </w:pPr>
            <w:r>
              <w:rPr>
                <w:rFonts w:ascii="Arial" w:cs="Arial" w:eastAsia="Arial" w:hAnsi="Arial"/>
                <w:sz w:val="18"/>
                <w:szCs w:val="18"/>
                <w:color w:val="auto"/>
                <w:w w:val="91"/>
              </w:rPr>
              <w:t>See accompanying notes to the unaudited consolidated financial statements.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327"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327"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Euronet Worldwide, Inc. and its subsidiaries (the “Company” or “Euronet”) is a leading global electronic payments provider. Euronet offers payment and transaction processing and distribution solutions to financial institutions, retailers, service providers and individual consumers. The Company's primary product offerings include comprehensive automated teller machine (“ATM”), point-of-sale (“POS”), card outsourcing, card issuing and merchant acquiring services; electronic distribution of prepaid mobile airtime and other electronic payment products and global consumer money transfer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on a consolidated basis the financial position of the Company as of September 30, 2013, and the results of its operations and cash flows for the three- and nine-month periods ended September 30, 2013 and 2012. The unaudited consolidated financial statements should be read in conjunction with the audited consolidated financial statements of Euronet for the year ended December 31, 2012, including the notes thereto, set forth in the Company’s 2012 Annual Report on Form 10-K.</w:t>
      </w:r>
    </w:p>
    <w:p>
      <w:pPr>
        <w:spacing w:after="0" w:line="8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unaudited consolidated financial statements and accompanying notes. Actual results could differ from those estimates.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EFT and epay segments are significantly impacted by seasonality during the fourth quarter and first quarter of each year due to higher transaction levels during the holiday season and lower levels following the holiday season. Additionally, mostly in Europe, the EFT business experiences its heaviest demand for dynamic currency conversion services during the third quarter of the fiscal year, coinciding with the tourist season. Seasonality in the money transfer segment varies by region of the world. In most markets, the Company usually experiences increased demand for money transfer services from the month of May through the fourth quarter of each year, coinciding with the increase in worker migration patterns and various holidays, and our lowest transaction levels during the first quarter of the year. As a result, quarterly financial results are not necessarily indicative of the results to be expected for the year or other interim periods.</w:t>
      </w:r>
    </w:p>
    <w:p>
      <w:pPr>
        <w:spacing w:after="0" w:line="185" w:lineRule="exact"/>
        <w:rPr>
          <w:sz w:val="20"/>
          <w:szCs w:val="20"/>
          <w:color w:val="auto"/>
        </w:rPr>
      </w:pPr>
    </w:p>
    <w:p>
      <w:pPr>
        <w:ind w:right="4900"/>
        <w:spacing w:after="0" w:line="378" w:lineRule="auto"/>
        <w:rPr>
          <w:sz w:val="20"/>
          <w:szCs w:val="20"/>
          <w:color w:val="auto"/>
        </w:rPr>
      </w:pPr>
      <w:r>
        <w:rPr>
          <w:rFonts w:ascii="Arial" w:cs="Arial" w:eastAsia="Arial" w:hAnsi="Arial"/>
          <w:sz w:val="18"/>
          <w:szCs w:val="18"/>
          <w:b w:val="1"/>
          <w:bCs w:val="1"/>
          <w:color w:val="auto"/>
        </w:rPr>
        <w:t xml:space="preserve">(2) SUMMARY OF SIGNIFICANT ACCOUNTING POLICIES AND PRACTICES </w:t>
      </w:r>
      <w:r>
        <w:rPr>
          <w:rFonts w:ascii="Arial" w:cs="Arial" w:eastAsia="Arial" w:hAnsi="Arial"/>
          <w:sz w:val="18"/>
          <w:szCs w:val="18"/>
          <w:i w:val="1"/>
          <w:iCs w:val="1"/>
          <w:color w:val="auto"/>
        </w:rPr>
        <w:t>Recently Issued and Adopted Accounting Pronouncements</w:t>
      </w:r>
    </w:p>
    <w:p>
      <w:pPr>
        <w:ind w:right="120"/>
        <w:spacing w:after="0" w:line="276" w:lineRule="auto"/>
        <w:rPr>
          <w:sz w:val="20"/>
          <w:szCs w:val="20"/>
          <w:color w:val="auto"/>
        </w:rPr>
      </w:pPr>
      <w:r>
        <w:rPr>
          <w:rFonts w:ascii="Arial" w:cs="Arial" w:eastAsia="Arial" w:hAnsi="Arial"/>
          <w:sz w:val="17"/>
          <w:szCs w:val="17"/>
          <w:color w:val="auto"/>
        </w:rPr>
        <w:t>In February 2013, the Financial Accounting Standards Board ("FASB") issued amended guidance that requires an entity to present information about significant items reclassified out of accumulated other comprehensive income, referred to as AOCI, on the face of the statement where net income is presented or as a separate disclosure in the notes to the financial statements. Additionally, the guidance expands the disclosure requirements for presentation of changes in AOCI by component. The guidance is effective for the Company for interim and annual reporting periods beginning January 1, 2013, and its adoption did not have an impact on the Company's results of operations, cash flows or financial position.</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July 2013, the FASB issued Accounting Standards Update ("ASU") ASU 2013-11, </w:t>
      </w:r>
      <w:r>
        <w:rPr>
          <w:rFonts w:ascii="Arial" w:cs="Arial" w:eastAsia="Arial" w:hAnsi="Arial"/>
          <w:sz w:val="17"/>
          <w:szCs w:val="17"/>
          <w:i w:val="1"/>
          <w:iCs w:val="1"/>
          <w:color w:val="auto"/>
        </w:rPr>
        <w:t>Presentation of an Unrecognized Tax Benefit When a Net Operating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 Carryforward, a Similar Tax Loss, or a Tax Credit Carryforward Exists </w:t>
      </w:r>
      <w:r>
        <w:rPr>
          <w:rFonts w:ascii="Arial" w:cs="Arial" w:eastAsia="Arial" w:hAnsi="Arial"/>
          <w:sz w:val="17"/>
          <w:szCs w:val="17"/>
          <w:color w:val="auto"/>
        </w:rPr>
        <w:t>("ASU 2013-11"). The amendments in ASU 2013-11 provide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 presentation of unrecognized tax benefit when a net operating loss carryforward, a similar tax loss, or a tax credit carryforward exists. The guidance is effective for fiscal years, and interim periods within those years, beginning after December 15, 2013. The Company does not anticipate a material impact to the Company's financial position, results of operations or cash flows as a result of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the assumed conversion of the Company’s convertible debentures, restricted stock and options to purchase the Company’s common stock. The following table provides the computation of diluted weighted average number of common shares outstanding: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8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258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20" w:type="dxa"/>
            <w:vAlign w:val="bottom"/>
          </w:tcPr>
          <w:p>
            <w:pPr>
              <w:spacing w:after="0"/>
              <w:rPr>
                <w:sz w:val="16"/>
                <w:szCs w:val="16"/>
                <w:color w:val="auto"/>
              </w:rPr>
            </w:pPr>
          </w:p>
        </w:tc>
        <w:tc>
          <w:tcPr>
            <w:tcW w:w="2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2580" w:type="dxa"/>
            <w:vAlign w:val="bottom"/>
            <w:gridSpan w:val="3"/>
          </w:tcPr>
          <w:p>
            <w:pPr>
              <w:jc w:val="right"/>
              <w:ind w:right="75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920" w:type="dxa"/>
            <w:vAlign w:val="bottom"/>
            <w:tcBorders>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50,093,786</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50,827,767</w:t>
            </w:r>
          </w:p>
        </w:tc>
        <w:tc>
          <w:tcPr>
            <w:tcW w:w="22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49,829,379</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50,705,222</w:t>
            </w:r>
          </w:p>
        </w:tc>
      </w:tr>
      <w:tr>
        <w:trPr>
          <w:trHeight w:val="27"/>
        </w:trPr>
        <w:tc>
          <w:tcPr>
            <w:tcW w:w="5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Incremental shares from assumed exercise of stock options and vesting of</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5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stock</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2,025,802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769,552</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1,664,274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815,981</w:t>
            </w: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debentures</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80,884</w:t>
            </w:r>
          </w:p>
        </w:tc>
        <w:tc>
          <w:tcPr>
            <w:tcW w:w="12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85,991</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9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52,200,472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51,597,319</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51,579,644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51,521,203</w:t>
            </w:r>
          </w:p>
        </w:tc>
      </w:tr>
      <w:tr>
        <w:trPr>
          <w:trHeight w:val="20"/>
        </w:trPr>
        <w:tc>
          <w:tcPr>
            <w:tcW w:w="5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table includes the impact of all stock options and restricted stock that are dilutive to the Company’s weighted average common shares outstanding during the three- and nine-month periods ended September 30, 2013 and 2012. The calculation of diluted earnings per share excludes stock options or shares of restricted stock that are anti-dilutive to the Company’s weighted average common shares outstanding of approximately 528,000 and 1,029,000 for the three-and nine-month periods ended September 30, 2013, respectively, and approximately 3,567,000 and 3,593,000 for the three- and nine-month periods ended September 30, 2012, respectively.</w:t>
      </w:r>
    </w:p>
    <w:p>
      <w:pPr>
        <w:spacing w:after="0" w:line="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During the three- and nine-month periods ended September 30, 2013 and 2012, the Company had convertible debentures outstanding that, if converted, would have a potentially dilutive effect on the Company’s stock. In September 2013, the Company repurchased at par the remaining $3.6 million of principal amount of the convertible debentures outstanding. As required by Accounting Standards Codification ("ASC")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Under the if-converted method, the dilutive effect of the assumed conversion of the debentures was 80,884 shares and 85,991 shares for the three- and nine-month periods ended September 30, 2013, respectively. For the three- and nine-month periods ended September 30, 2012, the assumed conversion of the convertible debentures was anti-dilutive and, accordingly, the associated shares have been excluded from diluted weighted average shares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Rights Agreement</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March 26, 2013, the Company entered into a new Rights Agreement (the "Rights Agreement") with Computershare Trust Company, N.A., as Rights Agent. The Rights Agreement became effective at the close of business on April 3, 2013, immediately following the expiration of the prior rights agreement. In connection with its approval of the Rights Agreement, the Board of Directors also declared a dividend of one "Right" for each outstanding share of Euronet's common stock, payable on April 3, 2013 to stockholders of record at the close of business on April 3, 2013. As long as the Rights are attached to the common shares, the Company will issue one Right (subject to adjustment) with each new common share that is issued so that all such shares will have attached Rights. When exercisable, each Right will initially entitle the registered holder to purchase from the Company one one-hundredth of a share of Series A Junior Participating Preferred Stock at a price of $125 per one one-hundredth of a share, subject to adjustment. Upon occurrence of a trigger event under the Rights Agreement, each holder of a Right (excluding certain holders) thereafter would have the right to receive upon exercise a number of common shares having a market value of two times the then current price of the Right.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Rights are not exercisable until the earlier of (i) ten business days following a public announcement that (or a majority of the Board of Directors of the Company becoming aware that) a person or group of affiliated or associated persons or any person acting in concert therewith, has acquired, or obtained the right to acquire beneficial ownership of 20% or more of the Company's common shares (as defined in the Rights Agreement); or (ii) ten business days following the commencement or announcement of an intention to make a tender offer or exchange offer, the consummation of which would result in any person becoming an acquiring person (as defined in the Rights Agreement), unless the Board of Directors sets a later date in either event.</w:t>
      </w:r>
    </w:p>
    <w:p>
      <w:pPr>
        <w:spacing w:after="0" w:line="50"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Rights Agreement is intended to encourage a potential acquiring person to negotiate directly with the Board of Directors, but may have certain anti-takeover effects. The Rights Agreement could significantly dilute the interests in the Company of an acquiring person. The Rights may therefore have the effect of delaying, deterring or preventing a change in control of the Company. The Rights have a de minimus fair value and expire on April 3,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September 30, 2013, accumulated other comprehensive loss consists entirely of foreign currency translation adjustments. The Company's reporting currency is the U.S. dollar. 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The resulting currency translation adjustments are recorded as a component of accumulated other comprehensive income (loss) as a separate component of consolidated stockholders' equity. The Company recorded a foreign currency translation gain of $22.1 million and $10.6 million for the three-month periods ended September 30, 2013 and 2012, respectively. For the nine-month periods ended September 30, 2013 and 2012, the Company recorded a foreign currency translation loss of $6.0 million and a foreign currency translation gain of $1.9 million, respectively. For the three- and nine-month periods ended September 30, 2013, the Company reclassified $0.3 million of foreign currency translation into the consolidated statements of operations. There were no reclassifications of foreign currency translation into the consolidated statements of operations for the three- and nine-month periods ended September 30, 2012.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January 4, 2013, the Company acquired all of the common stock of an Australian company, Pure Commerce Pty Limited. (“Pure Commerce”), which offers industry leading currency conversion and multi-currency acquiring products to global, local and online merchant acquirers, banks and retailers. The purchase price consisted of cash of approximately $31.3 million, subject to customary purchase price adjustments, and $5.3 million of the Company's common stock. With respect to the stock portion of the purchase price and pursuant to the acquisition agreement, the Company issued at closing 224,425 shares of common stock to the shareholders of Pure Commerce. The common stock will be held in escrow through September 2014 to secure certain obligations of the sellers. Further, Euronet has agreed pursuant to an earnout provision to pay additional purchase consideration of up to 30.0 million Australian dollars, with half due in cash and the remaining half payable in Euronet common stock in March 2014, if certain performance targets are met during a measurement period ending December 31, 2013. As of the acquisition date, the fair value of the contingent consideration liability was $21.7 million. See Note 8, Fair Value Measurements, for additional information related to the contingent consideration liability.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acquired net assets at the acquisition date: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5000" w:type="dxa"/>
            <w:vAlign w:val="bottom"/>
            <w:tcBorders>
              <w:bottom w:val="single" w:sz="8" w:color="auto"/>
            </w:tcBorders>
            <w:gridSpan w:val="2"/>
          </w:tcPr>
          <w:p>
            <w:pPr>
              <w:jc w:val="center"/>
              <w:ind w:left="2452"/>
              <w:spacing w:after="0"/>
              <w:rPr>
                <w:sz w:val="20"/>
                <w:szCs w:val="20"/>
                <w:color w:val="auto"/>
              </w:rPr>
            </w:pPr>
            <w:r>
              <w:rPr>
                <w:rFonts w:ascii="Arial" w:cs="Arial" w:eastAsia="Arial" w:hAnsi="Arial"/>
                <w:sz w:val="14"/>
                <w:szCs w:val="14"/>
                <w:b w:val="1"/>
                <w:bCs w:val="1"/>
                <w:color w:val="auto"/>
                <w:w w:val="94"/>
              </w:rPr>
              <w:t>Estimated Life</w:t>
            </w:r>
          </w:p>
        </w:tc>
        <w:tc>
          <w:tcPr>
            <w:tcW w:w="880" w:type="dxa"/>
            <w:vAlign w:val="bottom"/>
            <w:tcBorders>
              <w:bottom w:val="single" w:sz="8" w:color="auto"/>
            </w:tcBorders>
          </w:tcPr>
          <w:p>
            <w:pPr>
              <w:spacing w:after="0"/>
              <w:rPr>
                <w:sz w:val="16"/>
                <w:szCs w:val="16"/>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50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4,818</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5000" w:type="dxa"/>
            <w:vAlign w:val="bottom"/>
            <w:gridSpan w:val="2"/>
          </w:tcPr>
          <w:p>
            <w:pPr>
              <w:jc w:val="center"/>
              <w:ind w:left="2452"/>
              <w:spacing w:after="0"/>
              <w:rPr>
                <w:sz w:val="20"/>
                <w:szCs w:val="20"/>
                <w:color w:val="auto"/>
              </w:rPr>
            </w:pPr>
            <w:r>
              <w:rPr>
                <w:rFonts w:ascii="Arial" w:cs="Arial" w:eastAsia="Arial" w:hAnsi="Arial"/>
                <w:sz w:val="18"/>
                <w:szCs w:val="18"/>
                <w:color w:val="auto"/>
                <w:w w:val="87"/>
              </w:rPr>
              <w:t>2-8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331</w:t>
            </w:r>
          </w:p>
        </w:tc>
      </w:tr>
      <w:tr>
        <w:trPr>
          <w:trHeight w:val="27"/>
        </w:trPr>
        <w:tc>
          <w:tcPr>
            <w:tcW w:w="5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5000" w:type="dxa"/>
            <w:vAlign w:val="bottom"/>
            <w:tcBorders>
              <w:bottom w:val="single" w:sz="8" w:color="CCEEFF"/>
            </w:tcBorders>
            <w:gridSpan w:val="2"/>
            <w:shd w:val="clear" w:color="auto" w:fill="CCEEFF"/>
          </w:tcPr>
          <w:p>
            <w:pPr>
              <w:jc w:val="center"/>
              <w:ind w:left="2472"/>
              <w:spacing w:after="0"/>
              <w:rPr>
                <w:sz w:val="20"/>
                <w:szCs w:val="20"/>
                <w:color w:val="auto"/>
              </w:rPr>
            </w:pPr>
            <w:r>
              <w:rPr>
                <w:rFonts w:ascii="Arial" w:cs="Arial" w:eastAsia="Arial" w:hAnsi="Arial"/>
                <w:sz w:val="18"/>
                <w:szCs w:val="18"/>
                <w:color w:val="auto"/>
                <w:w w:val="88"/>
              </w:rPr>
              <w:t>4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5000" w:type="dxa"/>
            <w:vAlign w:val="bottom"/>
            <w:gridSpan w:val="2"/>
          </w:tcPr>
          <w:p>
            <w:pPr>
              <w:jc w:val="center"/>
              <w:ind w:left="2472"/>
              <w:spacing w:after="0"/>
              <w:rPr>
                <w:sz w:val="20"/>
                <w:szCs w:val="20"/>
                <w:color w:val="auto"/>
              </w:rPr>
            </w:pPr>
            <w:r>
              <w:rPr>
                <w:rFonts w:ascii="Arial" w:cs="Arial" w:eastAsia="Arial" w:hAnsi="Arial"/>
                <w:sz w:val="18"/>
                <w:szCs w:val="18"/>
                <w:color w:val="auto"/>
                <w:w w:val="86"/>
              </w:rPr>
              <w:t>20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2,382</w:t>
            </w:r>
          </w:p>
        </w:tc>
      </w:tr>
      <w:tr>
        <w:trPr>
          <w:trHeight w:val="27"/>
        </w:trPr>
        <w:tc>
          <w:tcPr>
            <w:tcW w:w="5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5000" w:type="dxa"/>
            <w:vAlign w:val="bottom"/>
            <w:tcBorders>
              <w:bottom w:val="single" w:sz="8" w:color="CCEEFF"/>
            </w:tcBorders>
            <w:gridSpan w:val="2"/>
            <w:shd w:val="clear" w:color="auto" w:fill="CCEEFF"/>
          </w:tcPr>
          <w:p>
            <w:pPr>
              <w:jc w:val="center"/>
              <w:ind w:left="2472"/>
              <w:spacing w:after="0"/>
              <w:rPr>
                <w:sz w:val="20"/>
                <w:szCs w:val="20"/>
                <w:color w:val="auto"/>
              </w:rPr>
            </w:pPr>
            <w:r>
              <w:rPr>
                <w:rFonts w:ascii="Arial" w:cs="Arial" w:eastAsia="Arial" w:hAnsi="Arial"/>
                <w:sz w:val="18"/>
                <w:szCs w:val="18"/>
                <w:color w:val="auto"/>
                <w:w w:val="86"/>
              </w:rPr>
              <w:t>10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11,912</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5000" w:type="dxa"/>
            <w:vAlign w:val="bottom"/>
            <w:gridSpan w:val="2"/>
          </w:tcPr>
          <w:p>
            <w:pPr>
              <w:jc w:val="center"/>
              <w:ind w:left="2472"/>
              <w:spacing w:after="0"/>
              <w:rPr>
                <w:sz w:val="20"/>
                <w:szCs w:val="20"/>
                <w:color w:val="auto"/>
              </w:rPr>
            </w:pPr>
            <w:r>
              <w:rPr>
                <w:rFonts w:ascii="Arial" w:cs="Arial" w:eastAsia="Arial" w:hAnsi="Arial"/>
                <w:sz w:val="18"/>
                <w:szCs w:val="18"/>
                <w:color w:val="auto"/>
                <w:w w:val="86"/>
              </w:rPr>
              <w:t>12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18,230</w:t>
            </w:r>
          </w:p>
        </w:tc>
      </w:tr>
      <w:tr>
        <w:trPr>
          <w:trHeight w:val="27"/>
        </w:trPr>
        <w:tc>
          <w:tcPr>
            <w:tcW w:w="5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000" w:type="dxa"/>
            <w:vAlign w:val="bottom"/>
            <w:tcBorders>
              <w:bottom w:val="single" w:sz="8" w:color="CCEEFF"/>
            </w:tcBorders>
            <w:gridSpan w:val="2"/>
            <w:shd w:val="clear" w:color="auto" w:fill="CCEEFF"/>
          </w:tcPr>
          <w:p>
            <w:pPr>
              <w:jc w:val="center"/>
              <w:ind w:left="2452"/>
              <w:spacing w:after="0"/>
              <w:rPr>
                <w:sz w:val="20"/>
                <w:szCs w:val="20"/>
                <w:color w:val="auto"/>
              </w:rPr>
            </w:pPr>
            <w:r>
              <w:rPr>
                <w:rFonts w:ascii="Arial" w:cs="Arial" w:eastAsia="Arial" w:hAnsi="Arial"/>
                <w:sz w:val="18"/>
                <w:szCs w:val="18"/>
                <w:color w:val="auto"/>
                <w:w w:val="95"/>
              </w:rPr>
              <w:t>Indefinite</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26,228</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4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402</w:t>
            </w:r>
          </w:p>
        </w:tc>
      </w:tr>
      <w:tr>
        <w:trPr>
          <w:trHeight w:val="27"/>
        </w:trPr>
        <w:tc>
          <w:tcPr>
            <w:tcW w:w="554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assets acquired</w:t>
            </w:r>
          </w:p>
        </w:tc>
        <w:tc>
          <w:tcPr>
            <w:tcW w:w="46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65,058</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(4,762)</w:t>
            </w:r>
          </w:p>
        </w:tc>
      </w:tr>
      <w:tr>
        <w:trPr>
          <w:trHeight w:val="27"/>
        </w:trPr>
        <w:tc>
          <w:tcPr>
            <w:tcW w:w="5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6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46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58,268</w:t>
            </w:r>
          </w:p>
        </w:tc>
      </w:tr>
      <w:tr>
        <w:trPr>
          <w:trHeight w:val="20"/>
        </w:trPr>
        <w:tc>
          <w:tcPr>
            <w:tcW w:w="55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Pure Commerce and its results from operations are included in the EFT Processing Segment's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nine-month period ended September 30, 2013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565,149</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59,507</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(16,128)</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2013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97,377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510,780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608,157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September 30, 2013, is expected to total $4.8 million for the remainder of 2013, $18.1 million for 2014, $12.8 million for 2015, $11.2 million for 2016, $9.4 million for 2017 and $7.0 million for 2018.</w:t>
      </w:r>
    </w:p>
    <w:p>
      <w:pPr>
        <w:spacing w:after="0" w:line="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annual goodwill impairment test is performed during the fourth quarter. The Company’s annual impairment test for the year ended December 31, 2012 resulted in the Company recording a non-cash goodwill impairment charge of $23.5 million and an additional $5.2 million impairment charge relating to acquired intangible assets.</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2012 analysis could change, which may result in the Company recording additional material non-cash impairment charges during the year in which these changes take place.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nine-month period ended September 30, 2013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Revolving</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 Debt</w:t>
            </w:r>
          </w:p>
        </w:tc>
        <w:tc>
          <w:tcPr>
            <w:tcW w:w="20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Credit</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Debentures</w:t>
            </w:r>
          </w:p>
        </w:tc>
        <w:tc>
          <w:tcPr>
            <w:tcW w:w="140" w:type="dxa"/>
            <w:vAlign w:val="bottom"/>
          </w:tcPr>
          <w:p>
            <w:pPr>
              <w:spacing w:after="0"/>
              <w:rPr>
                <w:sz w:val="12"/>
                <w:szCs w:val="12"/>
                <w:color w:val="auto"/>
              </w:rPr>
            </w:pPr>
          </w:p>
        </w:tc>
        <w:tc>
          <w:tcPr>
            <w:tcW w:w="8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4"/>
              </w:rPr>
              <w:t>Term Loan</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Due 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301,240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repayments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(51,299)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Capital lease interest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exchange gain</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Balance at September 30, 2013</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173,252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5,775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250,056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(11,422)</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Long-term obligations at September 30,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173,252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3,382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62,000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238,634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convertible debentures had a principal amount outstanding of $3.6 million as of December 31, 2012. In September 2013, the Company repurchased at par the remaining $3.6 million of principal amount of the convertible debentures outstanding. Interest expense, including contractual interest and discount accretion, which was fully amortized through October 15, 2012, was $29 thousand and $92 thousand for the three- and nine-month periods ended September 30, 2013, respectively, and $3.5 million and $10.4 million for the three- and nine-month periods ended September 30, 2012, respectively. The effective interest rate was 3.5% for the three- and nine-month periods ended September 30, 2013 and 8.4% for the three- and nine-month periods ended September 30,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As of September 30, 2013, the Company had foreign currency forward contracts outstanding with a notional value of $134.2 million, primarily in Australian dollars, British pounds, euros and Mexican pesos, which were not designated as hedges and had a weighted average remaining maturity of two days. Although the Company enters into foreign currency contracts to offset foreign currency exposure related to the notional value of money transfer transactions collected in currencies other than the U.S. dollar and, on occasion, short-term loans payable in currencies other than the U.S. dollar, they are not designated as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This is mainly due to the relatively short duration of the contracts, typically one to 14 days, and the frequency with which the Company enters into them. Due to the short duration of the contracts and the Company’s credit profile, the Company is generally not required to post collateral with respect to its foreign currency forward contracts. The Company's derivative contracts are executed with counterparties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required tabular disclosures for derivative instruments are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Gross Amount of Offset in the</w:t>
            </w:r>
          </w:p>
        </w:tc>
        <w:tc>
          <w:tcPr>
            <w:tcW w:w="2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Net Amount of Assets Presented in the</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52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w w:val="95"/>
              </w:rPr>
              <w:t>Gross Amount of Recognized Assets</w:t>
            </w:r>
          </w:p>
        </w:tc>
        <w:tc>
          <w:tcPr>
            <w:tcW w:w="120" w:type="dxa"/>
            <w:vAlign w:val="bottom"/>
            <w:vMerge w:val="restart"/>
          </w:tcPr>
          <w:p>
            <w:pPr>
              <w:spacing w:after="0"/>
              <w:rPr>
                <w:sz w:val="12"/>
                <w:szCs w:val="12"/>
                <w:color w:val="auto"/>
              </w:rPr>
            </w:pPr>
          </w:p>
        </w:tc>
        <w:tc>
          <w:tcPr>
            <w:tcW w:w="2600" w:type="dxa"/>
            <w:vAlign w:val="bottom"/>
            <w:gridSpan w:val="3"/>
            <w:vMerge w:val="continue"/>
          </w:tcPr>
          <w:p>
            <w:pPr>
              <w:spacing w:after="0"/>
              <w:rPr>
                <w:sz w:val="12"/>
                <w:szCs w:val="12"/>
                <w:color w:val="auto"/>
              </w:rPr>
            </w:pPr>
          </w:p>
        </w:tc>
        <w:tc>
          <w:tcPr>
            <w:tcW w:w="2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Consolidated Balance Sheets</w:t>
            </w: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5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Consolidated Balance Sheets</w:t>
            </w: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2180" w:type="dxa"/>
            <w:vAlign w:val="bottom"/>
          </w:tcPr>
          <w:p>
            <w:pPr>
              <w:jc w:val="center"/>
              <w:ind w:left="388"/>
              <w:spacing w:after="0" w:line="153" w:lineRule="exact"/>
              <w:rPr>
                <w:sz w:val="20"/>
                <w:szCs w:val="20"/>
                <w:color w:val="auto"/>
              </w:rPr>
            </w:pPr>
            <w:r>
              <w:rPr>
                <w:rFonts w:ascii="Arial" w:cs="Arial" w:eastAsia="Arial" w:hAnsi="Arial"/>
                <w:sz w:val="14"/>
                <w:szCs w:val="14"/>
                <w:b w:val="1"/>
                <w:bCs w:val="1"/>
                <w:color w:val="auto"/>
                <w:w w:val="90"/>
              </w:rPr>
              <w:t>Consolidated Balance</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32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December 31,</w:t>
            </w: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32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200" w:type="dxa"/>
            <w:vAlign w:val="bottom"/>
          </w:tcPr>
          <w:p>
            <w:pPr>
              <w:jc w:val="center"/>
              <w:ind w:left="8"/>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20"/>
                <w:szCs w:val="20"/>
                <w:color w:val="auto"/>
              </w:rPr>
            </w:pPr>
            <w:r>
              <w:rPr>
                <w:rFonts w:ascii="Arial" w:cs="Arial" w:eastAsia="Arial" w:hAnsi="Arial"/>
                <w:sz w:val="14"/>
                <w:szCs w:val="14"/>
                <w:color w:val="auto"/>
              </w:rPr>
              <w:t>(in thousands)</w:t>
            </w:r>
          </w:p>
        </w:tc>
        <w:tc>
          <w:tcPr>
            <w:tcW w:w="2180" w:type="dxa"/>
            <w:vAlign w:val="bottom"/>
          </w:tcPr>
          <w:p>
            <w:pPr>
              <w:jc w:val="center"/>
              <w:ind w:left="388"/>
              <w:spacing w:after="0"/>
              <w:rPr>
                <w:sz w:val="20"/>
                <w:szCs w:val="20"/>
                <w:color w:val="auto"/>
              </w:rPr>
            </w:pPr>
            <w:r>
              <w:rPr>
                <w:rFonts w:ascii="Arial" w:cs="Arial" w:eastAsia="Arial" w:hAnsi="Arial"/>
                <w:sz w:val="14"/>
                <w:szCs w:val="14"/>
                <w:b w:val="1"/>
                <w:bCs w:val="1"/>
                <w:color w:val="auto"/>
                <w:w w:val="91"/>
              </w:rPr>
              <w:t>Sheet Location</w:t>
            </w:r>
          </w:p>
        </w:tc>
        <w:tc>
          <w:tcPr>
            <w:tcW w:w="1320" w:type="dxa"/>
            <w:vAlign w:val="bottom"/>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2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2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2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300" w:type="dxa"/>
            <w:vAlign w:val="bottom"/>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2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12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Other Current</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162</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177</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derivative contracts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Assets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Gross Amount of Recognized Liabilities</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ind w:left="200"/>
              <w:spacing w:after="0"/>
              <w:rPr>
                <w:sz w:val="20"/>
                <w:szCs w:val="20"/>
                <w:color w:val="auto"/>
              </w:rPr>
            </w:pPr>
            <w:r>
              <w:rPr>
                <w:rFonts w:ascii="Arial" w:cs="Arial" w:eastAsia="Arial" w:hAnsi="Arial"/>
                <w:sz w:val="14"/>
                <w:szCs w:val="14"/>
                <w:b w:val="1"/>
                <w:bCs w:val="1"/>
                <w:color w:val="auto"/>
              </w:rPr>
              <w:t>Gross Amount of Offset in the</w:t>
            </w:r>
          </w:p>
        </w:tc>
        <w:tc>
          <w:tcPr>
            <w:tcW w:w="250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Net Amount of Liabilities Presented in</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auto"/>
            </w:tcBorders>
            <w:gridSpan w:val="5"/>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Consolidated Balance Sheets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w w:val="94"/>
              </w:rPr>
              <w:t>the Consolidated Balance Sheets</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Consolidated Balance</w:t>
            </w: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000" w:type="dxa"/>
            <w:vAlign w:val="bottom"/>
          </w:tcPr>
          <w:p>
            <w:pPr>
              <w:jc w:val="right"/>
              <w:ind w:right="59"/>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Sheet Location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2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Other Current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derivative contracts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Liabilities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17"/>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Amount of (Loss) Gain Recognized</w:t>
      </w:r>
    </w:p>
    <w:p>
      <w:pPr>
        <w:spacing w:after="0" w:line="4"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in Income on Derivative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13335</wp:posOffset>
            </wp:positionV>
            <wp:extent cx="2598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70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Location of (Loss) Gain Recognized</w:t>
            </w:r>
          </w:p>
        </w:tc>
        <w:tc>
          <w:tcPr>
            <w:tcW w:w="240" w:type="dxa"/>
            <w:vAlign w:val="bottom"/>
          </w:tcPr>
          <w:p>
            <w:pPr>
              <w:spacing w:after="0"/>
              <w:rPr>
                <w:sz w:val="16"/>
                <w:szCs w:val="16"/>
                <w:color w:val="auto"/>
              </w:rPr>
            </w:pPr>
          </w:p>
        </w:tc>
        <w:tc>
          <w:tcPr>
            <w:tcW w:w="194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70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72"/>
        </w:trPr>
        <w:tc>
          <w:tcPr>
            <w:tcW w:w="4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vMerge w:val="restart"/>
          </w:tcPr>
          <w:p>
            <w:pPr>
              <w:jc w:val="right"/>
              <w:ind w:right="26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vMerge w:val="restart"/>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vMerge w:val="restart"/>
          </w:tcPr>
          <w:p>
            <w:pPr>
              <w:jc w:val="right"/>
              <w:ind w:right="284"/>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Income on Derivative Contracts</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gain</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derivative contracts</w:t>
            </w:r>
          </w:p>
        </w:tc>
        <w:tc>
          <w:tcPr>
            <w:tcW w:w="1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8,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measured and recorded at fair value on a recurring basis: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As of September 30, 2013</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540" w:type="dxa"/>
            <w:vAlign w:val="bottom"/>
            <w:gridSpan w:val="2"/>
          </w:tcPr>
          <w:p>
            <w:pPr>
              <w:ind w:left="1360"/>
              <w:spacing w:after="0"/>
              <w:rPr>
                <w:sz w:val="20"/>
                <w:szCs w:val="20"/>
                <w:color w:val="auto"/>
              </w:rPr>
            </w:pPr>
            <w:r>
              <w:rPr>
                <w:rFonts w:ascii="Arial" w:cs="Arial" w:eastAsia="Arial" w:hAnsi="Arial"/>
                <w:sz w:val="14"/>
                <w:szCs w:val="14"/>
                <w:b w:val="1"/>
                <w:bCs w:val="1"/>
                <w:color w:val="auto"/>
              </w:rPr>
              <w:t>Balance Sheet Classification</w:t>
            </w:r>
          </w:p>
        </w:tc>
        <w:tc>
          <w:tcPr>
            <w:tcW w:w="180" w:type="dxa"/>
            <w:vAlign w:val="bottom"/>
          </w:tcPr>
          <w:p>
            <w:pPr>
              <w:spacing w:after="0"/>
              <w:rPr>
                <w:sz w:val="22"/>
                <w:szCs w:val="22"/>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700" w:type="dxa"/>
            <w:vAlign w:val="bottom"/>
          </w:tcPr>
          <w:p>
            <w:pPr>
              <w:jc w:val="right"/>
              <w:ind w:right="217"/>
              <w:spacing w:after="0"/>
              <w:rPr>
                <w:sz w:val="20"/>
                <w:szCs w:val="20"/>
                <w:color w:val="auto"/>
              </w:rPr>
            </w:pPr>
            <w:r>
              <w:rPr>
                <w:rFonts w:ascii="Arial" w:cs="Arial" w:eastAsia="Arial" w:hAnsi="Arial"/>
                <w:sz w:val="14"/>
                <w:szCs w:val="14"/>
                <w:b w:val="1"/>
                <w:bCs w:val="1"/>
                <w:color w:val="auto"/>
              </w:rPr>
              <w:t>Total</w:t>
            </w:r>
          </w:p>
        </w:tc>
      </w:tr>
      <w:tr>
        <w:trPr>
          <w:trHeight w:val="243"/>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 contracts</w:t>
            </w:r>
          </w:p>
        </w:tc>
        <w:tc>
          <w:tcPr>
            <w:tcW w:w="3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currency derivative contracts</w:t>
            </w:r>
          </w:p>
        </w:tc>
        <w:tc>
          <w:tcPr>
            <w:tcW w:w="3540" w:type="dxa"/>
            <w:vAlign w:val="bottom"/>
            <w:gridSpan w:val="2"/>
          </w:tcPr>
          <w:p>
            <w:pPr>
              <w:ind w:left="10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26"/>
        </w:trPr>
        <w:tc>
          <w:tcPr>
            <w:tcW w:w="3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December 31, 2012</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540" w:type="dxa"/>
            <w:vAlign w:val="bottom"/>
            <w:gridSpan w:val="2"/>
          </w:tcPr>
          <w:p>
            <w:pPr>
              <w:ind w:left="1360"/>
              <w:spacing w:after="0"/>
              <w:rPr>
                <w:sz w:val="20"/>
                <w:szCs w:val="20"/>
                <w:color w:val="auto"/>
              </w:rPr>
            </w:pPr>
            <w:r>
              <w:rPr>
                <w:rFonts w:ascii="Arial" w:cs="Arial" w:eastAsia="Arial" w:hAnsi="Arial"/>
                <w:sz w:val="14"/>
                <w:szCs w:val="14"/>
                <w:b w:val="1"/>
                <w:bCs w:val="1"/>
                <w:color w:val="auto"/>
              </w:rPr>
              <w:t>Balance Sheet Classification</w:t>
            </w:r>
          </w:p>
        </w:tc>
        <w:tc>
          <w:tcPr>
            <w:tcW w:w="180" w:type="dxa"/>
            <w:vAlign w:val="bottom"/>
          </w:tcPr>
          <w:p>
            <w:pPr>
              <w:spacing w:after="0"/>
              <w:rPr>
                <w:sz w:val="22"/>
                <w:szCs w:val="22"/>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700" w:type="dxa"/>
            <w:vAlign w:val="bottom"/>
          </w:tcPr>
          <w:p>
            <w:pPr>
              <w:jc w:val="right"/>
              <w:ind w:right="217"/>
              <w:spacing w:after="0"/>
              <w:rPr>
                <w:sz w:val="20"/>
                <w:szCs w:val="20"/>
                <w:color w:val="auto"/>
              </w:rPr>
            </w:pPr>
            <w:r>
              <w:rPr>
                <w:rFonts w:ascii="Arial" w:cs="Arial" w:eastAsia="Arial" w:hAnsi="Arial"/>
                <w:sz w:val="14"/>
                <w:szCs w:val="14"/>
                <w:b w:val="1"/>
                <w:bCs w:val="1"/>
                <w:color w:val="auto"/>
              </w:rPr>
              <w:t>Total</w:t>
            </w:r>
          </w:p>
        </w:tc>
      </w:tr>
      <w:tr>
        <w:trPr>
          <w:trHeight w:val="243"/>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derivative contracts</w:t>
            </w:r>
          </w:p>
        </w:tc>
        <w:tc>
          <w:tcPr>
            <w:tcW w:w="35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r>
      <w:tr>
        <w:trPr>
          <w:trHeight w:val="27"/>
        </w:trPr>
        <w:tc>
          <w:tcPr>
            <w:tcW w:w="378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52525"/>
        </w:rPr>
        <w:t>The carrying amounts of cash and cash equivalents, trade accounts receivable, trade accounts payable and short-term debt obligations approximate fair values due to their short maturities. The carrying values of the Company’s term loan due 2016 and revolving credit agreements approximate fair values because interest is based on the London Inter-Bank Offered Rate ("LIBOR") that resets at various intervals of less than one year. The Company estimates the fair value of the convertible debentures using quoted prices in inactive markets for identical liabilities (Level 2). As of December 31, 2012, the fair value and carrying amount of the convertible debentures were $3.6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Liability</w:t>
      </w:r>
    </w:p>
    <w:p>
      <w:pPr>
        <w:spacing w:after="0" w:line="19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The contingent consideration liability relating to the Pure Commerce acquisition is recorded at fair value using a Monte Carlo simulation. </w:t>
      </w:r>
      <w:r>
        <w:rPr>
          <w:rFonts w:ascii="Arial" w:cs="Arial" w:eastAsia="Arial" w:hAnsi="Arial"/>
          <w:sz w:val="17"/>
          <w:szCs w:val="17"/>
          <w:color w:val="252525"/>
        </w:rPr>
        <w:t>The significant</w:t>
      </w:r>
      <w:r>
        <w:rPr>
          <w:rFonts w:ascii="Arial" w:cs="Arial" w:eastAsia="Arial" w:hAnsi="Arial"/>
          <w:sz w:val="17"/>
          <w:szCs w:val="17"/>
          <w:color w:val="auto"/>
        </w:rPr>
        <w:t xml:space="preserve"> </w:t>
      </w:r>
      <w:r>
        <w:rPr>
          <w:rFonts w:ascii="Arial" w:cs="Arial" w:eastAsia="Arial" w:hAnsi="Arial"/>
          <w:sz w:val="17"/>
          <w:szCs w:val="17"/>
          <w:color w:val="252525"/>
        </w:rPr>
        <w:t xml:space="preserve">unobservable inputs used in the fair value measurement of the contingent consideration liability are forecasted financial results, including estimates of future revenues, gross profit, and EBITDA (Level 3). </w:t>
      </w:r>
      <w:r>
        <w:rPr>
          <w:rFonts w:ascii="Arial" w:cs="Arial" w:eastAsia="Arial" w:hAnsi="Arial"/>
          <w:sz w:val="17"/>
          <w:szCs w:val="17"/>
          <w:color w:val="000000"/>
        </w:rPr>
        <w:t>As of the acquisition date, the fair value of the contingent consideration liability was $21.7 million. Changes in</w:t>
      </w:r>
      <w:r>
        <w:rPr>
          <w:rFonts w:ascii="Arial" w:cs="Arial" w:eastAsia="Arial" w:hAnsi="Arial"/>
          <w:sz w:val="17"/>
          <w:szCs w:val="17"/>
          <w:color w:val="252525"/>
        </w:rPr>
        <w:t xml:space="preserve"> </w:t>
      </w:r>
      <w:r>
        <w:rPr>
          <w:rFonts w:ascii="Arial" w:cs="Arial" w:eastAsia="Arial" w:hAnsi="Arial"/>
          <w:sz w:val="17"/>
          <w:szCs w:val="17"/>
          <w:color w:val="000000"/>
        </w:rPr>
        <w:t xml:space="preserve">any of these inputs could result in a significantly higher or lower fair value measurement. Changes in the fair </w:t>
      </w:r>
      <w:r>
        <w:rPr>
          <w:rFonts w:ascii="Arial" w:cs="Arial" w:eastAsia="Arial" w:hAnsi="Arial"/>
          <w:sz w:val="17"/>
          <w:szCs w:val="17"/>
          <w:color w:val="252525"/>
        </w:rPr>
        <w:t>value of the contingent consideration liability</w:t>
      </w:r>
      <w:r>
        <w:rPr>
          <w:rFonts w:ascii="Arial" w:cs="Arial" w:eastAsia="Arial" w:hAnsi="Arial"/>
          <w:sz w:val="17"/>
          <w:szCs w:val="17"/>
          <w:color w:val="000000"/>
        </w:rPr>
        <w:t xml:space="preserve"> </w:t>
      </w:r>
      <w:r>
        <w:rPr>
          <w:rFonts w:ascii="Arial" w:cs="Arial" w:eastAsia="Arial" w:hAnsi="Arial"/>
          <w:sz w:val="17"/>
          <w:szCs w:val="17"/>
          <w:color w:val="252525"/>
        </w:rPr>
        <w:t>are recorded as income or expense within operating income in our consolidated statements of operations.</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52525"/>
        </w:rPr>
        <w:t xml:space="preserve">During the first nine months of 2013, the Company recorded a $2.4 million </w:t>
      </w:r>
      <w:r>
        <w:rPr>
          <w:rFonts w:ascii="Arial" w:cs="Arial" w:eastAsia="Arial" w:hAnsi="Arial"/>
          <w:sz w:val="18"/>
          <w:szCs w:val="18"/>
          <w:color w:val="000000"/>
        </w:rPr>
        <w:t>foreign currency exchange gain related to this contingent consideration liability as</w:t>
      </w:r>
      <w:r>
        <w:rPr>
          <w:rFonts w:ascii="Arial" w:cs="Arial" w:eastAsia="Arial" w:hAnsi="Arial"/>
          <w:sz w:val="18"/>
          <w:szCs w:val="18"/>
          <w:color w:val="252525"/>
        </w:rPr>
        <w:t xml:space="preserve"> </w:t>
      </w:r>
      <w:r>
        <w:rPr>
          <w:rFonts w:ascii="Arial" w:cs="Arial" w:eastAsia="Arial" w:hAnsi="Arial"/>
          <w:sz w:val="18"/>
          <w:szCs w:val="18"/>
          <w:color w:val="000000"/>
        </w:rPr>
        <w:t>a result of fluctuations in the value of the Australian dollar against the U.S. dollar. In the third quarter of 2013, the Company adjusted to fair value the contingent consideration liability based on its assessment that the performance targets for gross profit and EBITDA would not be met. The change in fair value resulted in the recognition of a $19.3 million gain.</w:t>
      </w:r>
    </w:p>
    <w:p>
      <w:pPr>
        <w:spacing w:after="0" w:line="7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Although certain elements of Pure Commerce’s business plan changed during the first half of 2013, its management team had specific plans in place to achieve the performance targets. At June 30, 2013, the Company determined that the performance targets were probable of achievement because Pure Commerce’s business can experience significant impacts on results when key customers launch its services and implementation timeframes are usually short. However, as the actual results through the third quarter were realized, the Company determined that delays in implementing contracts with certain merchants and merchant acquirers and lower than expected transaction volume on certain contracts would not allow Pure Commerce to meet the minimum threshold necessary to require the Company to pay contingent consideration. This assessment was primarily due to the short one-year timeframe to achieve the performance targets and the targets’ high sensitivity to changes in performance. While these factors contributed to Pure Commerce not achieving the performance targets, they are not expected to adversely affect the fair value of Pure Commerce.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North America and South America.</w:t>
      </w:r>
    </w:p>
    <w:p>
      <w:pPr>
        <w:spacing w:after="0" w:line="62" w:lineRule="exact"/>
        <w:rPr>
          <w:rFonts w:ascii="Arial" w:cs="Arial" w:eastAsia="Arial" w:hAnsi="Arial"/>
          <w:sz w:val="18"/>
          <w:szCs w:val="18"/>
          <w:color w:val="auto"/>
        </w:rPr>
      </w:pPr>
    </w:p>
    <w:p>
      <w:pPr>
        <w:ind w:left="980" w:right="40" w:hanging="648"/>
        <w:spacing w:after="0" w:line="27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consumer-to-consumer money transfer services through a network of sending agents and Company-owned stores (primarily in North America and Europe), disbursing money transfers through a worldwide correspondent network. The Company also offers customers bill payment services, payment alternatives such as money orders and prepaid debit cards, comprehensive check cashing services, foreign currency exchange services and mobile top-up.</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segments.The following tables present the segment results of the Company’s operations for the three-and nine-month periods ended September 30, 2013 and 2012: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For the Three Months Ended September 30, 2013</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83,594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182,629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95,276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360,580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142,284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223,551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10,195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13,494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23,120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52,819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33,254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38,974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170,501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87,759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8,001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305,235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44,620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12,128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55,345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For the Three Months Ended September 30, 2012</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171,529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316,356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131,999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200,378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12,717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45,549</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30,071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4,925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16,163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161,398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73,828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292,161</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14,483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10,131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24,195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Nine Months Ended September 30, 2013</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219,149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548,867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271,536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1,037,767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104,103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424,343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656,933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29,409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41,976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64,601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17,312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153,298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48,838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152,965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509,577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249,194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23,728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935,464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66,184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39,290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22,342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102,303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Nine Months Ended September 30, 2012</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173,114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514,543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228,960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916,355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83,965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395,185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586,965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24,455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38,409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56,067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15,693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134,624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33,578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86,738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18,710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15,064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14,092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48,137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142,258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481,221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211,774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21,211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856,464</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30,856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33,322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17,186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59,891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 of September 30, 2013, the Company had $86.6 million of stand-by letters of credit/bank guarantees issued on its behalf, of which $35.2 million are outstanding under the revolving credit facility. The remaining stand-by letters of credit/bank guarantees are collateralized by $5.0 million of cash deposits held by the respective issuing banks.</w:t>
      </w:r>
    </w:p>
    <w:p>
      <w:pPr>
        <w:spacing w:after="0" w:line="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September 30, 2013, the Company had granted off balance sheet guarantees for cash in various ATM networks amounting to $15.8 million over the terms of the cash supply agreements and performance guarantees amounting to approximately $39.2 million over the terms of the agreements with the customers.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right="260" w:hanging="648"/>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September 30, 2013, the balance of ATM network cash for which the Company was responsible was approximately $435 million. The Company maintains insurance policies to mitigate this exposure;</w:t>
      </w:r>
    </w:p>
    <w:p>
      <w:pPr>
        <w:spacing w:after="0" w:line="78" w:lineRule="exact"/>
        <w:rPr>
          <w:rFonts w:ascii="Arial" w:cs="Arial" w:eastAsia="Arial" w:hAnsi="Arial"/>
          <w:sz w:val="18"/>
          <w:szCs w:val="18"/>
          <w:color w:val="auto"/>
        </w:rPr>
      </w:pPr>
    </w:p>
    <w:p>
      <w:pPr>
        <w:ind w:left="980" w:right="140" w:hanging="648"/>
        <w:spacing w:after="0" w:line="31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jc w:val="both"/>
        <w:ind w:left="980" w:right="400" w:hanging="648"/>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60" w:hanging="648"/>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200" w:hanging="648"/>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right="40" w:hanging="648"/>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September 30, 2013 or December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effective income tax rates were 18.2% and 32.3% for the three-month periods ended September 30, 2013 and 2012, respectively, and 22.3% and 34.4% for the nine-month periods ended September 30, 2013 and 2012, respectively. The effective tax rates were significantly influenced by the acquisition-related contingent consideration gain, foreign currency exchange gains and losses and other non-operating gains, net in the respective periods. Excluding these items from pre-tax income, as well as the related tax effects for these items, the Company's effective tax rates were 32.0% and 34.4% for the three-month periods ended September 30, 2013 and 2012, respectively, and 29.3% and 36.6% for the nine-month periods ended September 30, 2013 and 2012.</w:t>
      </w:r>
    </w:p>
    <w:p>
      <w:pPr>
        <w:spacing w:after="0" w:line="8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Company's effective tax rate, as adjusted for the items above, for the third quarter 2013 was lower than the applicable statutory tax rate of 35% primarily because of the Company's U.S. income tax positions. The Company's effective tax rate, as adjusted for the items above, for the nine-month period ended September 30, 2013 was lower than the applicable statutory tax rate of 35% primarily because of the Company's U.S. income tax positions and a change in the reserve for uncertain tax benefits. The Company does not have a history of significant taxable income in the U.S., therefore, the Company has recorded a valuation allowance against the tax net operating loss carryforwards. Accordingly, in instances when the Company’s U.S. legal entities generate pre-tax book income, no income tax expense is recognized to the extent there are net operating loss carryforwards to offset pre-tax book income.</w:t>
      </w:r>
    </w:p>
    <w:p>
      <w:pPr>
        <w:spacing w:after="0" w:line="5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During the first nine months of 2013, the Company recorded a $2.2 million decrease in the reserve for uncertain tax benefits related to the closure of an income tax audit in Germany, resulting in a decrease in income tax expense for the nine-month period ended September 30, 2013. In connection with the acquisition of Pure Commerce in January 2013, the Company recorded a $2.0 million reserve for uncertain tax benefits in the opening balance sheet. There were no other material changes in the reserve for unrecognized tax benefits during the nine month period ended September 30, 2013.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u w:val="single" w:color="auto"/>
          <w:color w:val="auto"/>
        </w:rPr>
        <w:t>Computer Security Breach</w:t>
      </w:r>
      <w:r>
        <w:rPr>
          <w:rFonts w:ascii="Arial" w:cs="Arial" w:eastAsia="Arial" w:hAnsi="Arial"/>
          <w:sz w:val="18"/>
          <w:szCs w:val="18"/>
          <w:color w:val="auto"/>
        </w:rPr>
        <w:t xml:space="preserve"> - A unit of the Company's European processing business was the subject of a criminal security breach in late 2011. The affected business represents less than 5% of the Company's revenues, profits and transactions. Euronet took immediate steps to remediate the breach and ensure its impact was contained.</w:t>
      </w:r>
    </w:p>
    <w:p>
      <w:pPr>
        <w:spacing w:after="0" w:line="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Certain claims arising from such breach were asserted against the Company, and it is possible that additional claims may be asserted in the future. However, the Company maintains insurance to cover the financial exposure for response costs, losses by the card issuer and fines or penalties from incidents of this nature. To date, the aggregate amount of expenses incurred and losses asserted against the Company for which the Company ultimately bore liability have been within the limits of our insurance and the only cost to the Company has been its retention amount under its insurance. The Company does not currently expect the net financial impact of expenses or losses from the breach, after insurance recovery, to be material to the consolidated results of operations or financial condition of the Company.</w:t>
      </w:r>
    </w:p>
    <w:p>
      <w:pPr>
        <w:spacing w:after="0" w:line="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Expenses related to the breach through December 31, 2012 were $0.5 million, net of $1.9 million in amounts recovered from the Company's insurance carrier. For the first nine months of 2012, the Company incurred $0.5 million in expenses related to the breach, net of insurance recoveries of $1.7 million. No additional related expenses were incurred during the first nine months of 2013, as all losses incurred were covered by insurance.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97" w:lineRule="auto"/>
        <w:rPr>
          <w:sz w:val="20"/>
          <w:szCs w:val="20"/>
          <w:color w:val="auto"/>
        </w:rPr>
      </w:pPr>
      <w:r>
        <w:rPr>
          <w:rFonts w:ascii="Arial" w:cs="Arial" w:eastAsia="Arial" w:hAnsi="Arial"/>
          <w:sz w:val="16"/>
          <w:szCs w:val="16"/>
          <w:u w:val="single" w:color="auto"/>
          <w:color w:val="auto"/>
        </w:rPr>
        <w:t>Unclaimed property compliance</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During the third quarter of 2013, the Company entered into a voluntary disclosure agreement (“VDA”) with the Secretary of State of the State of Delaware to determine compliance with Delaware unclaimed property laws. Types of property under examination include, but are not limited to, payroll checks, accounts payable checks and accounts receivable credits for the period 1996 through 2007. The total amount of exposure of this contingency is dependent upon the manner in which the State of Delaware applies its unclaimed property laws. The Company does not expect the outcome of this matter to have a material adverse effect on the consolidated results of operations or financial condition of the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During 2012, the Company was served with a class action lawsuit filed by a former employee alleging wage and hour violations relating to meal and rest period requirements. The Company has reached an agreement to settle this lawsuit for an immaterial amount and, together with the plaintiffs in the case, is following court procedures to finalize the settlement. The Company expects such procedures to be completed within the next twelve months.</w:t>
      </w:r>
    </w:p>
    <w:p>
      <w:pPr>
        <w:spacing w:after="0" w:line="3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upon the consolidated results of operations or financial condition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Euronet Worldwide, Inc. and its subsidiaries (“Euronet,” the “Company,” “we,” "our" or “us”)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electronic distribution of prepaid mobile airtime and other electronic payment products and global consumer money transfer services. We operate in the following three segments:</w:t>
      </w:r>
    </w:p>
    <w:p>
      <w:pPr>
        <w:spacing w:after="0" w:line="80" w:lineRule="exact"/>
        <w:rPr>
          <w:sz w:val="20"/>
          <w:szCs w:val="20"/>
          <w:color w:val="auto"/>
        </w:rPr>
      </w:pPr>
    </w:p>
    <w:p>
      <w:pPr>
        <w:ind w:left="980" w:right="20" w:hanging="648"/>
        <w:spacing w:after="0" w:line="25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17,795 ATMs and approximately 68,000 POS terminals across Europe, the Middle East and Asia Pacific. We provide comprehensive electronic payment solutions consisting of ATM cash withdrawal services, ATM network participation, outsourced ATM and POS management solutions, credit and debit card outsourcing, dynamic currency conversion, and other value added services. Through this segment, we also offer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240" w:hanging="648"/>
        <w:spacing w:after="0" w:line="30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epay Segment, which provides distribution, processing and collection services for prepaid mobile airtime and other electronic payment products. We operate a network of approximately 636,000 POS terminals providing electronic processing of prepaid mobile airtime top-up services and other electronic payment products in Europe, the Middle East, Asia Pacific, North America and South America. We also provide vouchers and physical gift fulfillment services in Europe and gift card distribution and processing services in most of our markets.</w:t>
      </w:r>
    </w:p>
    <w:p>
      <w:pPr>
        <w:spacing w:after="0" w:line="46" w:lineRule="exact"/>
        <w:rPr>
          <w:rFonts w:ascii="Arial" w:cs="Arial" w:eastAsia="Arial" w:hAnsi="Arial"/>
          <w:sz w:val="16"/>
          <w:szCs w:val="16"/>
          <w:color w:val="auto"/>
        </w:rPr>
      </w:pPr>
    </w:p>
    <w:p>
      <w:pPr>
        <w:ind w:left="980" w:hanging="648"/>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Money Transfer Segment, which provides global consumer-to-consumer money transfer services, primarily under the brand name Ria. We offer this service through a network of sending agents, Company-owned stores (primarily in North America and Europe) and via a desktop or mobile device at riamoneytransfer.com, disbursing money transfers through a worldwide correspondent network that includes approximately 207,000 locations.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w:t>
      </w:r>
    </w:p>
    <w:p>
      <w:pPr>
        <w:spacing w:after="0" w:line="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four processing centers in Europe, three in Asia Pacific and two in North America. We have 30 principal offices in Europe, six in North America, nine in Asia Pacific, three in the Middle East, two in South America, and one in Africa. Our executive offices are located in Leawood, Kansas, USA. With approximately 75% of our revenues denominated in currencies other than the U.S. dollar, any significant changes in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Revenues in the EFT Processing Segment, which represented approximately 23% and 21% of our total consolidated revenues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and first nine months of 2013, respectively,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dynamic currency conversion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51% and 53% of our total consolidated revenues for the third quarter and</w:t>
      </w:r>
      <w:r>
        <w:rPr>
          <w:rFonts w:ascii="Arial" w:cs="Arial" w:eastAsia="Arial" w:hAnsi="Arial"/>
          <w:sz w:val="16"/>
          <w:szCs w:val="16"/>
          <w:i w:val="1"/>
          <w:iCs w:val="1"/>
          <w:color w:val="auto"/>
        </w:rPr>
        <w:t xml:space="preserve"> </w:t>
      </w:r>
      <w:r>
        <w:rPr>
          <w:rFonts w:ascii="Arial" w:cs="Arial" w:eastAsia="Arial" w:hAnsi="Arial"/>
          <w:sz w:val="16"/>
          <w:szCs w:val="16"/>
          <w:color w:val="auto"/>
        </w:rPr>
        <w:t>first nine months of 2013, respectively, are derived from (i) commissions or processing fees received from mobile phone operators for the sale and distribution of prepaid mobile airtime and, (ii) commissions earned from the distribution of other electronic payment products, gift cards, vouchers and physical gifts.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6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Money Transfer Segment </w:t>
      </w:r>
      <w:r>
        <w:rPr>
          <w:rFonts w:ascii="Arial" w:cs="Arial" w:eastAsia="Arial" w:hAnsi="Arial"/>
          <w:sz w:val="16"/>
          <w:szCs w:val="16"/>
          <w:color w:val="auto"/>
        </w:rPr>
        <w:t>— Revenues in the Money Transfer Segment, which represented approximately 26% of our total consolidated revenues for both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and first nine months of 2013, are primarily derived from charging a transaction fee, as well as the margin earned from purchasing foreign currency at wholesale exchange rates and selling the foreign currency to consumers at retail exchange rates. We have a sending network in place comprised of agents, Company-owned stores, primarily in North America and Europe and our riamoneytransfer.com website, along with a worldwide network of correspondent agents, consisting primarily of financial institutions in the transfer destination countries. Sending and correspondent agents each earn fees for cash collection and distribution services. These fees are recognized as direct operating costs at the time of sale.</w:t>
      </w:r>
    </w:p>
    <w:p>
      <w:pPr>
        <w:spacing w:after="0" w:line="57" w:lineRule="exact"/>
        <w:rPr>
          <w:sz w:val="20"/>
          <w:szCs w:val="20"/>
          <w:color w:val="auto"/>
        </w:rPr>
      </w:pPr>
    </w:p>
    <w:p>
      <w:pPr>
        <w:ind w:right="70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currently focused on six primary areas:</w:t>
      </w:r>
    </w:p>
    <w:p>
      <w:pPr>
        <w:spacing w:after="0" w:line="117"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 and adding ATMs to our owned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ectPr>
          <w:pgSz w:w="11900" w:h="16838" w:orient="portrait"/>
          <w:cols w:equalWidth="0" w:num="1">
            <w:col w:w="11420"/>
          </w:cols>
          <w:pgMar w:left="240" w:top="125" w:right="239" w:bottom="0" w:gutter="0" w:footer="0" w:header="0"/>
        </w:sectPr>
      </w:pPr>
    </w:p>
    <w:bookmarkStart w:id="18" w:name="page19"/>
    <w:bookmarkEnd w:id="18"/>
    <w:p>
      <w:pPr>
        <w:ind w:left="980" w:right="28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value added services in our EFT Processing Segment, including the sale of dynamic currency conversion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money transfer and bill payment network;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125" w:right="4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18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phone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overall pace of growth in the prepaid mobile phone market, including consumer shifts between prepaid and postpaid services;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17" w:lineRule="exact"/>
        <w:rPr>
          <w:rFonts w:ascii="Arial" w:cs="Arial" w:eastAsia="Arial" w:hAnsi="Arial"/>
          <w:sz w:val="18"/>
          <w:szCs w:val="18"/>
          <w:color w:val="auto"/>
        </w:rPr>
      </w:pPr>
    </w:p>
    <w:p>
      <w:pPr>
        <w:ind w:left="980" w:right="22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Money Transfer Segment,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50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offer our products and services or develop new products and services at competitive prices to drive increases in transactions;</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125" w:right="4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Revenues and operating income by segment for the three- and nine-month periods ended September 30, 2013 and 2012 are summarized in the tables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gridSpan w:val="9"/>
            <w:vMerge w:val="restart"/>
          </w:tcPr>
          <w:p>
            <w:pPr>
              <w:jc w:val="right"/>
              <w:ind w:right="180"/>
              <w:spacing w:after="0"/>
              <w:rPr>
                <w:sz w:val="20"/>
                <w:szCs w:val="20"/>
                <w:color w:val="auto"/>
              </w:rPr>
            </w:pPr>
            <w:r>
              <w:rPr>
                <w:rFonts w:ascii="Arial" w:cs="Arial" w:eastAsia="Arial" w:hAnsi="Arial"/>
                <w:sz w:val="14"/>
                <w:szCs w:val="14"/>
                <w:b w:val="1"/>
                <w:bCs w:val="1"/>
                <w:color w:val="auto"/>
                <w:w w:val="94"/>
              </w:rPr>
              <w:t>Revenues for the Three Months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2"/>
              </w:rPr>
              <w:t>Revenues for the Nine Months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gridSpan w:val="9"/>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5"/>
            <w:vMerge w:val="restart"/>
          </w:tcPr>
          <w:p>
            <w:pPr>
              <w:jc w:val="right"/>
              <w:ind w:right="324"/>
              <w:spacing w:after="0"/>
              <w:rPr>
                <w:sz w:val="20"/>
                <w:szCs w:val="20"/>
                <w:color w:val="auto"/>
              </w:rPr>
            </w:pPr>
            <w:r>
              <w:rPr>
                <w:rFonts w:ascii="Arial" w:cs="Arial" w:eastAsia="Arial" w:hAnsi="Arial"/>
                <w:sz w:val="14"/>
                <w:szCs w:val="14"/>
                <w:b w:val="1"/>
                <w:bCs w:val="1"/>
                <w:color w:val="auto"/>
                <w:w w:val="99"/>
              </w:rPr>
              <w:t>Year-over-Year Change</w:t>
            </w:r>
          </w:p>
        </w:tc>
        <w:tc>
          <w:tcPr>
            <w:tcW w:w="20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tcPr>
          <w:p>
            <w:pPr>
              <w:jc w:val="center"/>
              <w:ind w:left="456"/>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3"/>
            <w:vMerge w:val="restart"/>
          </w:tcPr>
          <w:p>
            <w:pPr>
              <w:jc w:val="right"/>
              <w:ind w:right="32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293"/>
              <w:spacing w:after="0"/>
              <w:rPr>
                <w:sz w:val="20"/>
                <w:szCs w:val="20"/>
                <w:color w:val="auto"/>
              </w:rPr>
            </w:pPr>
            <w:r>
              <w:rPr>
                <w:rFonts w:ascii="Arial" w:cs="Arial" w:eastAsia="Arial" w:hAnsi="Arial"/>
                <w:sz w:val="14"/>
                <w:szCs w:val="14"/>
                <w:b w:val="1"/>
                <w:bCs w:val="1"/>
                <w:color w:val="auto"/>
                <w:w w:val="99"/>
              </w:rPr>
              <w:t>Ended September 30,</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right="153"/>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60"/>
              <w:spacing w:after="0" w:line="153" w:lineRule="exact"/>
              <w:rPr>
                <w:sz w:val="20"/>
                <w:szCs w:val="20"/>
                <w:color w:val="auto"/>
              </w:rPr>
            </w:pPr>
            <w:r>
              <w:rPr>
                <w:rFonts w:ascii="Arial" w:cs="Arial" w:eastAsia="Arial" w:hAnsi="Arial"/>
                <w:sz w:val="14"/>
                <w:szCs w:val="14"/>
                <w:b w:val="1"/>
                <w:bCs w:val="1"/>
                <w:color w:val="auto"/>
                <w:w w:val="94"/>
              </w:rPr>
              <w:t>Increase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18,706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219,149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46,035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1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w w:val="92"/>
              </w:rPr>
              <w:t>182,629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2"/>
              </w:rPr>
              <w:t>171,529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11,100</w:t>
            </w:r>
          </w:p>
        </w:tc>
        <w:tc>
          <w:tcPr>
            <w:tcW w:w="1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548,867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514,543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34,324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95,276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80,042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15,234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271,536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228,960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42,576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21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92"/>
              </w:rPr>
              <w:t>361,499</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2"/>
              </w:rPr>
              <w:t>316,459</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45,040</w:t>
            </w: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89"/>
              </w:rPr>
              <w:t>1,039,552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916,617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122,935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3"/>
              </w:rPr>
              <w:t>n/m</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21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2"/>
              </w:rPr>
              <w:t>360,580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2"/>
              </w:rPr>
              <w:t>316,356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44,224</w:t>
            </w:r>
          </w:p>
        </w:tc>
        <w:tc>
          <w:tcPr>
            <w:tcW w:w="10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89"/>
              </w:rPr>
              <w:t>1,037,767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916,355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121,412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w w:val="91"/>
              </w:rPr>
              <w:t>______________________</w:t>
            </w:r>
          </w:p>
        </w:tc>
        <w:tc>
          <w:tcPr>
            <w:tcW w:w="10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4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4"/>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Operating Income (Expense) for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Operating Income (Expense) for</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7"/>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the Three Months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6"/>
            <w:vMerge w:val="restart"/>
          </w:tcPr>
          <w:p>
            <w:pPr>
              <w:jc w:val="right"/>
              <w:ind w:right="400"/>
              <w:spacing w:after="0"/>
              <w:rPr>
                <w:sz w:val="20"/>
                <w:szCs w:val="20"/>
                <w:color w:val="auto"/>
              </w:rPr>
            </w:pPr>
            <w:r>
              <w:rPr>
                <w:rFonts w:ascii="Arial" w:cs="Arial" w:eastAsia="Arial" w:hAnsi="Arial"/>
                <w:sz w:val="14"/>
                <w:szCs w:val="14"/>
                <w:b w:val="1"/>
                <w:bCs w:val="1"/>
                <w:color w:val="auto"/>
              </w:rPr>
              <w:t>Year-over-Year Change</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the Nine Months Ended</w:t>
            </w:r>
          </w:p>
        </w:tc>
        <w:tc>
          <w:tcPr>
            <w:tcW w:w="220" w:type="dxa"/>
            <w:vAlign w:val="bottom"/>
          </w:tcPr>
          <w:p>
            <w:pPr>
              <w:spacing w:after="0"/>
              <w:rPr>
                <w:sz w:val="12"/>
                <w:szCs w:val="12"/>
                <w:color w:val="auto"/>
              </w:rPr>
            </w:pPr>
          </w:p>
        </w:tc>
        <w:tc>
          <w:tcPr>
            <w:tcW w:w="2040" w:type="dxa"/>
            <w:vAlign w:val="bottom"/>
            <w:gridSpan w:val="3"/>
            <w:vMerge w:val="restart"/>
          </w:tcPr>
          <w:p>
            <w:pPr>
              <w:jc w:val="right"/>
              <w:ind w:right="32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right="13"/>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rPr>
              <w:t>Increase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60"/>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1"/>
              </w:rPr>
              <w:t>(Decrease)Amount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 (1)</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44,620</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14,483</w:t>
            </w:r>
          </w:p>
        </w:tc>
        <w:tc>
          <w:tcPr>
            <w:tcW w:w="3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35,328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21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12,128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10,131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39,290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33,322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5,968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22,342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21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64,265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30,828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33,437</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127,816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81,364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46,452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eliminations and other</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(2,287)</w:t>
            </w:r>
          </w:p>
        </w:tc>
        <w:tc>
          <w:tcPr>
            <w:tcW w:w="10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2140" w:type="dxa"/>
            <w:vAlign w:val="bottom"/>
            <w:gridSpan w:val="2"/>
          </w:tcPr>
          <w:p>
            <w:pPr>
              <w:ind w:left="380"/>
              <w:spacing w:after="0"/>
              <w:rPr>
                <w:sz w:val="20"/>
                <w:szCs w:val="20"/>
                <w:color w:val="auto"/>
              </w:rPr>
            </w:pPr>
            <w:r>
              <w:rPr>
                <w:rFonts w:ascii="Arial" w:cs="Arial" w:eastAsia="Arial" w:hAnsi="Arial"/>
                <w:sz w:val="18"/>
                <w:szCs w:val="18"/>
                <w:color w:val="auto"/>
              </w:rPr>
              <w:t>Total (1)</w:t>
            </w:r>
          </w:p>
        </w:tc>
        <w:tc>
          <w:tcPr>
            <w:tcW w:w="16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55,345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24,195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31,150</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102,303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59,891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42,412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w w:val="91"/>
              </w:rPr>
              <w:t>______________________</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20" w:firstLine="8"/>
        <w:spacing w:after="0" w:line="253"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three- and nine-month periods ended September 30, 2013, both operating income for our EFT Processing segment and total consolidated operating income include a $19.3 million gain related to the change in fair value of an acquisition-related contingent consideration liability. Adjusted for this gain, operating income for our EFT processing segment would have been $25.3 million and $46.9 million for the three- and nine month periods ended September 30, 2013, respectively. Additionally, adjusted for this gain, total consolidated operating income would have been $36.0 million and $83.0 million for the three and nine-month periods ended September 30, 2013, respectively.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Because our revenues and local expenses are recorded in the functional currencies of our operating entities, amounts we earned for the third quarter and first nine months of 2013 reflected the impact of changes in currency values relative to the U.S. dollar. Considering the results by country and the associated functional currency, our consolidated operating income was not significantly influenced by the changes in foreign currency exchange rates when compared to the third quarter and first nine-months of 2012. To provide further perspective on the impact of foreign currency exchange rates, the following table shows the changes in currency values relative to the U.S. dollar from the third quarter and first nine months of 2012 to the same periods of 2013 for the countries and regions in which we have our most significant operations: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w w:val="96"/>
              </w:rPr>
              <w:t>Three Months Ended September 30,</w:t>
            </w:r>
          </w:p>
        </w:tc>
        <w:tc>
          <w:tcPr>
            <w:tcW w:w="100" w:type="dxa"/>
            <w:vAlign w:val="bottom"/>
          </w:tcPr>
          <w:p>
            <w:pPr>
              <w:spacing w:after="0"/>
              <w:rPr>
                <w:sz w:val="21"/>
                <w:szCs w:val="21"/>
                <w:color w:val="auto"/>
              </w:rPr>
            </w:pPr>
          </w:p>
        </w:tc>
        <w:tc>
          <w:tcPr>
            <w:tcW w:w="14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Increase</w:t>
            </w:r>
          </w:p>
        </w:tc>
        <w:tc>
          <w:tcPr>
            <w:tcW w:w="2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21"/>
                <w:szCs w:val="21"/>
                <w:color w:val="auto"/>
              </w:rPr>
            </w:pPr>
          </w:p>
        </w:tc>
        <w:tc>
          <w:tcPr>
            <w:tcW w:w="128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5"/>
              </w:rPr>
              <w:t>(Decrease)Percent</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5"/>
              </w:rPr>
              <w:t>(Decrease)Percent</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1.0391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1.0349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Brazilian real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0.4373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0.4936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0.4740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0.5237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1.5808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1.5784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1.3256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1.2520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1.3174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1.2825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0.0044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0.0044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Indian rupee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0.0161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0.0182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0.0175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0.0189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0.3126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0.3033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0.3140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0.3054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2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40"/>
        <w:spacing w:after="0" w:line="378" w:lineRule="auto"/>
        <w:rPr>
          <w:sz w:val="20"/>
          <w:szCs w:val="20"/>
          <w:color w:val="auto"/>
        </w:rPr>
      </w:pPr>
      <w:r>
        <w:rPr>
          <w:rFonts w:ascii="Arial" w:cs="Arial" w:eastAsia="Arial" w:hAnsi="Arial"/>
          <w:sz w:val="18"/>
          <w:szCs w:val="18"/>
          <w:b w:val="1"/>
          <w:bCs w:val="1"/>
          <w:color w:val="auto"/>
        </w:rPr>
        <w:t>COMPARISON OF OPERATING RESULTS FOR THE THREE- AND NINE-MONTH PERIODS ENDED SEPTEMBER 30, 2013 AND 2012 EFT PROCESSING SEGMENT</w:t>
      </w:r>
    </w:p>
    <w:p>
      <w:pPr>
        <w:ind w:right="440"/>
        <w:spacing w:after="0" w:line="277" w:lineRule="auto"/>
        <w:rPr>
          <w:sz w:val="20"/>
          <w:szCs w:val="20"/>
          <w:color w:val="auto"/>
        </w:rPr>
      </w:pPr>
      <w:r>
        <w:rPr>
          <w:rFonts w:ascii="Arial" w:cs="Arial" w:eastAsia="Arial" w:hAnsi="Arial"/>
          <w:sz w:val="18"/>
          <w:szCs w:val="18"/>
          <w:color w:val="auto"/>
        </w:rPr>
        <w:t>The following table presents the results of operations for the three- and nine-month periods ended September 30, 2013 and 2012 for our EFT Processing Segment: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300" w:type="dxa"/>
            <w:vAlign w:val="bottom"/>
            <w:gridSpan w:val="3"/>
            <w:vMerge w:val="restart"/>
          </w:tcPr>
          <w:p>
            <w:pPr>
              <w:jc w:val="right"/>
              <w:ind w:right="439"/>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760" w:type="dxa"/>
            <w:vAlign w:val="bottom"/>
            <w:gridSpan w:val="3"/>
            <w:vMerge w:val="restart"/>
          </w:tcPr>
          <w:p>
            <w:pPr>
              <w:jc w:val="right"/>
              <w:ind w:right="142"/>
              <w:spacing w:after="0"/>
              <w:rPr>
                <w:sz w:val="20"/>
                <w:szCs w:val="20"/>
                <w:color w:val="auto"/>
              </w:rPr>
            </w:pPr>
            <w:r>
              <w:rPr>
                <w:rFonts w:ascii="Arial" w:cs="Arial" w:eastAsia="Arial" w:hAnsi="Arial"/>
                <w:sz w:val="14"/>
                <w:szCs w:val="14"/>
                <w:b w:val="1"/>
                <w:bCs w:val="1"/>
                <w:color w:val="auto"/>
                <w:w w:val="98"/>
              </w:rPr>
              <w:t>Year-over-Year Change</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46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940" w:type="dxa"/>
            <w:vAlign w:val="bottom"/>
          </w:tcPr>
          <w:p>
            <w:pPr>
              <w:jc w:val="right"/>
              <w:ind w:right="122"/>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(Decrease)Percent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(Decrease)Percent</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83,594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18,706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219,149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46,035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6,501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104,103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20,138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10,195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1,495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29,409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4,954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1,402</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Acquisition-related</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26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260"/>
              <w:spacing w:after="0"/>
              <w:rPr>
                <w:sz w:val="20"/>
                <w:szCs w:val="20"/>
                <w:color w:val="auto"/>
              </w:rPr>
            </w:pPr>
            <w:r>
              <w:rPr>
                <w:rFonts w:ascii="Arial" w:cs="Arial" w:eastAsia="Arial" w:hAnsi="Arial"/>
                <w:sz w:val="18"/>
                <w:szCs w:val="18"/>
                <w:color w:val="auto"/>
              </w:rPr>
              <w:t>gain</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20"/>
                <w:szCs w:val="20"/>
                <w:color w:val="auto"/>
              </w:rPr>
            </w:pPr>
          </w:p>
        </w:tc>
        <w:tc>
          <w:tcPr>
            <w:tcW w:w="146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(19,319)</w:t>
            </w:r>
          </w:p>
        </w:tc>
        <w:tc>
          <w:tcPr>
            <w:tcW w:w="100" w:type="dxa"/>
            <w:vAlign w:val="bottom"/>
          </w:tcPr>
          <w:p>
            <w:pPr>
              <w:spacing w:after="0"/>
              <w:rPr>
                <w:sz w:val="20"/>
                <w:szCs w:val="20"/>
                <w:color w:val="auto"/>
              </w:rPr>
            </w:pPr>
          </w:p>
        </w:tc>
        <w:tc>
          <w:tcPr>
            <w:tcW w:w="940" w:type="dxa"/>
            <w:vAlign w:val="bottom"/>
          </w:tcPr>
          <w:p>
            <w:pPr>
              <w:jc w:val="right"/>
              <w:ind w:right="10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3,532</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246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38,974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50,405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8"/>
              </w:rPr>
              <w:t>152,965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142,258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44,620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30,137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66,184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30,856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35,328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ind w:left="180"/>
              <w:spacing w:after="0"/>
              <w:rPr>
                <w:sz w:val="20"/>
                <w:szCs w:val="20"/>
                <w:color w:val="auto"/>
              </w:rPr>
            </w:pPr>
            <w:r>
              <w:rPr>
                <w:rFonts w:ascii="Arial" w:cs="Arial" w:eastAsia="Arial" w:hAnsi="Arial"/>
                <w:sz w:val="18"/>
                <w:szCs w:val="18"/>
                <w:color w:val="auto"/>
              </w:rPr>
              <w:t>Transactions processed</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340"/>
              <w:spacing w:after="0"/>
              <w:rPr>
                <w:sz w:val="20"/>
                <w:szCs w:val="20"/>
                <w:color w:val="auto"/>
              </w:rPr>
            </w:pPr>
            <w:r>
              <w:rPr>
                <w:rFonts w:ascii="Arial" w:cs="Arial" w:eastAsia="Arial" w:hAnsi="Arial"/>
                <w:sz w:val="18"/>
                <w:szCs w:val="18"/>
                <w:color w:val="auto"/>
              </w:rPr>
              <w:t>(millions)</w:t>
            </w:r>
          </w:p>
        </w:tc>
        <w:tc>
          <w:tcPr>
            <w:tcW w:w="20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ATMs as of September 30,</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Average ATMs</w:t>
            </w:r>
          </w:p>
        </w:tc>
        <w:tc>
          <w:tcPr>
            <w:tcW w:w="2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17,595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17,295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17,671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16,414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1,257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revenues for the third quarter and first nine months of 2013 increased when compared to the same periods of 2012, primarily due to an increase in the number of ATMs under management, an increase in transactions processed on brown label ATMs in India, an increase in demand for dynamic currency conversion ("DCC") and other valued added services on our ATMs under management, and the impact of DCC revenues earned on POS devices from our acquisition of Pure Commerce Pty Limited ("Pure Commerce") in January 2013.</w:t>
      </w:r>
    </w:p>
    <w:p>
      <w:pPr>
        <w:spacing w:after="0" w:line="7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Average monthly revenues per ATM were $1,584 for the third quarter and $1,378 for the first nine months of 2013 compared to $1,251 for the third quarter and $1,172 for the first nine months of 2012. Revenues per transaction were $0.27 for the third quarter and $0.25 for the first nine months of 2013 compared to $0.21 for the third quarter and $0.20 for the first nine months of 2012. These increases were primarily the result of revenue growth from DCC and value added services, both of which earn higher revenues per transaction than other ATM services and the cancellation of an ATM driving and managed services contract in India. The revenues per ATM and per transaction earned under the canceled contract were significantly lower than other ATM services.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the cost of data center operations-related personnel, as well as the processing centers’ facility-related costs and other processing center-related expenses and commissions paid to retail merchants, banks and card processors involved with POS DCC transactions. Direct operating costs increased in the third quarter and first nine months of 2013 compared to the same periods of 2012, primarily due to an increase in the number of ATMs under management and the acquisition of Pure Commerce.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Gross profit, which is calculated as revenues less direct operating costs, was $47.0 million for the third quarter and $115.0 million for the first nine months of 2013 compared to $34.8 million for the third quarter and $89.1 million for the first nine months of 2012. This increase was primarily due to the growth in revenues from DCC and value added services, including revenues from DCC earned on POS devices from our acquisition of Pure Commerce, the increase in ATMs under management and the increase in transactions processed on brown label ATMs in India. Gross profit as a percentage of revenues (“gross margin”) was 56.2% for the third quarter and 52.5% for the first nine months of 2013 compared to 53.7% for the third quarter and 51.5% for the first nine months of 2012. This increase was primarily due to the increase in revenues from DCC and value added services discussed above, both of which earn a higher gross profit than other services.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salaries and benefits for the third quarter and first nine months of 2013 compared to the same periods of 2012 was primarily due to adding employees to support the growth in ATMs under management, along with the impact of our acquisition of Pure Commerce. As a percentage of revenues, these costs decreased to 12.2% for the third quarter and 13.4% for the first nine months of 2013 from 13.4% for the third quarter and 14.1% for the first nine months of 2012. This decrease was primarily due to the growth in revenues earned from DCC and value added services on our ATMs under management, which require minimal incremental support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increase in selling, general and administrative expenses for the third quarter and first nine months of 2013 compared to the same periods of 2012 was primarily due to the impact of our acquisition of Pure Commerce, partly offset by a decrease in bad debt expense due to the favorable resolution of a specific dispute. The increase for the first nine months of 2013 compared to the same period of 2012 was also due to an increase in professional expenses during the first half of 2013. As a percentage of revenues, these expenses decreased to 6.3% for the third quarter and 7.5% for the first nine months of 2013 from 8.0% for the third quarter and 8.7% for the first nine months of 2012, primarily due to the growth in revenues earned from DCC and value added services on our ATMs under management, which require minimal incremental support costs.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contingent consideration gain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third quarter of 2013, the Company adjusted to fair value the contingent consideration liability based on its assessment that the performance targets for gross profit and EBITDA would not be met. The change in fair value resulted in the recognition of a $19.3 million gain.</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Although certain elements of Pure Commerce’s business plan changed during the first half of 2013, its management team had specific plans in place to achieve the performance targets. At June 30, 2013, the Company determined that the performance targets were probable of achievement because Pure Commerce’s business can experience significant impacts on results when key customers launch its services and implementation timeframes are usually short. However, as the actual results through the third quarter were realized, the Company determined that delays in implementing contracts with certain merchants and merchant acquirers and lower than expected transaction volume on certain contracts would not allow Pure Commerce to meet the minimum threshold necessary to require the Company to pay contingent consideration. This assessment was primarily due to the short one-year timeframe to achieve the performance targets and the targets’ high sensitivity to changes in performance. While these factors contributed to Pure Commerce not achieving the performance targets, they are not expected to adversely affect the fair value of Pure Commerce.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Depreciation and amortization expense decreased for the third quarter of 2013 compared to the same period of 2012, primarily due to final purchase accounting true-up adjustments to certain acquired intangible assets related to the acquisition of Pure Commerce, partly offset by an increase in depreciation of ATMs under management. Depreciation and amortization expense increased for the first nine months of 2013 compared to the same period of 2012, primarily due to the amortization of intangible assets related to the acquisition of Pure Commerce recorded during the first half of 2013 and an increase in deprecation of ATMs under management. As a percentage of revenues, depreciation and amortization expense decreased to 7.5% for the third quarter and</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10.1% for the first nine months of 2013 from 9.9% for the third quarter and 10.8% for the first nine months of 2012, mainly due to the growth in revenues from DCC and value added services on our ATMs under management. The decrease for the third quarter of 2013 compared to the same period of 2012 is also due to the purchase accounting true-up adjustments discussed above.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Operating income increased for the third quarter and first nine months of 2013 compared to the same periods of 2012, primarily due to the acquisition-related contingent consideration gain, an increase in the number of ATMs under management, an increase in the number of transactions processed on brown label ATMs in India, growth in revenues earned from DCC and value added services and the decrease in bad debt expense. The increase in operating income for the first nine months of 2013 compared to the same period of 2012 was partly offset by the increase in amortization expense. Excluding the acquisition-related contingent consideration gain, operating income as a percentage of revenues (“operating margin”) increased to 30.3% for the third quarter and 21.4% for the first nine months of 2013 from 22.3% for the third quarter and 17.8% for the first nine months of 2012 and operating income per transaction increased to $0.08 for the third quarter and $0.05 for the first nine months of 2013 from $0.05 for the third quarter and $0.04 for the first nine months of 2012. Theses increases were primarily due to the increase in revenues earned from DCC and value added services on our ATMs under management.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nine-month periods ended September 30, 2013 and 2012 for our epay Segment: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1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44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6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(Decrease)Amount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(Decrease)Percent</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70"/>
        </w:trPr>
        <w:tc>
          <w:tcPr>
            <w:tcW w:w="2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182,629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171,529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11,100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548,867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514,543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34,324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142,284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131,999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10,285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424,343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395,185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29,158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777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3,567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Depreciation and</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ind w:left="34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170,501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161,398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9,103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509,577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481,221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28,356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97"/>
        </w:trPr>
        <w:tc>
          <w:tcPr>
            <w:tcW w:w="21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1,997</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20 %</w:t>
            </w:r>
          </w:p>
        </w:tc>
        <w:tc>
          <w:tcPr>
            <w:tcW w:w="1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39,290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5,968</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w w:val="99"/>
              </w:rPr>
              <w:t>Transactions processed</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increase in revenues for the third quarter and first nine months of 2013 compared to the same periods of 2012 was primarily due to an increase in the number of prepaid mobile transactions processed in the U.S., increased demand for non-mobile products in Germany, an increase in voucher redemptions and physical gift fulfillments at our cadooz subsidiary, and the impact of our acquisition of ezi-pay Limited ("ezi-pay") in November 2012. These increases were partly offset by revenue declines in Australia and the U.K. as a result of competitive pressures and certain mobile operators modifying their distribution strategies to drive consumer demand for top-up services to on-line or mobile device channels.</w:t>
      </w:r>
    </w:p>
    <w:p>
      <w:pPr>
        <w:spacing w:after="0" w:line="6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expect most of our future revenue growth to be derived from: (i) additional electronic payment products sold over the base of POS terminals, (ii) valued added services, (iii) developing markets or markets in which there is organic growth in the electronic top-up sector overall, and (iv) acquisitions, if available and commercially appropriate.</w:t>
      </w:r>
    </w:p>
    <w:p>
      <w:pPr>
        <w:spacing w:after="0" w:line="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Revenues per transaction were $0.68 for the third quarter and $0.66 for the first nine months of 2013 compared to $0.62 for the third quarter and $0.63 for the first nine months of 2012. The increase in revenues per transaction was mainly due to an increase in transactions processed at our cadooz subsidiary, where revenues are recorded at gross value, in contrast to our other electronic payment products which are recorded at net value, and other non-mobile products. These increases were partly offset by a shift in the mix of transactions, particularly due to growth in India, where revenues per transaction are considerably lower than average and a decrease in transactions processed at our ATX subsidiary. The decrease in the number of transactions processed for the third quarter of 2013 compared to the same period of 2012, and partial offset to the increase in the number of transactions processed for the first nine months of 2013 compared to the same period of 2012, was due to a decrease in transactions processed at our ATX subsidiary. At our ATX subsidiary and in India we provide only transaction processing services without significant direct costs and other operating costs related to installing and managing terminals. Therefore, the revenues we recognize from these transactions are a fraction of those recognized on average transactions, but with strong contribution to gross profit.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Direct operating costs in the epay Segment include the commissions we pay to retail merchants for the distribution and sale of prepaid mobile airtime and other prepaid products, as well as expenses required to operate POS terminals, and the cost of vouchers sold and physical gifts fulfilled. The increase in direct operating costs for the third quarter and first nine months of 2013 compared to the same periods of 2012 was primarily due to the growth in transactions processed in the U.S. and Germany, increased voucher redemptions and physical gifts fulfilled at our cadooz subsidiary, increased commissions costs in Brazil, and the impact of our acquisition of ezi-pay. These increases were partly offset by the decrease in the number of transactions processed in Australia and the U.K.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Gross profit, which represents revenues less direct costs, was $40.3 million for the third quarter and $124.5 million for the first nine months of 2013 compared to $39.5 million for the third quarter and $119.4 million for the first nine months of 2012. The increase in gross profit was primarily due to the increase in transactions processed in Germany (mainly from increased demand for non-mobile products), the U.S. and at our cadooz subsidiary, along with the impact of our acquisition of ezi-pay. These increases were partly offset by the decrease in transactions processed in Australia and at our ATX subsidiary, and the increase in commission costs in Brazil, as a result of a larger percentage of transactions being conducted through large retailers. Gross profit per transaction increased slightly to $0.15 for the third quarter of 2013 from $0.14 for the third quarter of 2012, primarily due to the growth in revenues at our cadooz subsidiary. Gross profit per transaction was unchanged at $0.15 for the first nine months of 2013 and 2012.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salaries and benefits for the third quarter and first nine months of 2013 compared to the same periods of 2012 was primarily due to an increase in staff in Germany, the U.S. and at our cadooz subsidiary to support the increases in transactions processed discussed above and the impact of our acquisition of ezi-pay. These increases were partly offset by a decrease in salaries and benefits in Brazil in response to a decrease in revenues. As a percentage of revenues, salaries and benefits was unchanged at 7.4% for both the third quarter of 2013 and 2012 and increased slightly to 7.6% for the first nine months of 2013 from 7.5% for the same period of 2012.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decrease in selling, general and administrative expenses for the third quarter and first nine months of 2013 compared to the same periods of 2012 was primarily due to a decrease in professional fees, partly offset by the impact of our acquisition of ezi-pay. Additionally, the decrease for the first nine months of 2013 compared to the same period of 2012 was due to a decrease in bad debt expense during the first half of 2013. As a percentage of revenues, selling, general and administrative expenses decreased to 5.9% for the third quarter and 5.6% for the first nine months of 2013 from 6.9% for the third quarter and 6.3% for the first nine months of 2012, primarily due to the decrease in professional fees and the increase in revenues in the U.S., in Germany, and at our cadooz subsidiary, which did not require similar increases in support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Depreciation and amortization expense primarily represents amortization of acquired intangible assets and the depreciation of POS terminals we install in retail stores. Depreciation and amortization expense decreased for the third quarter and first nine months of 2013 compared to the same periods of 2012. As a percentage of revenues, these expenses decreased to 2.2% for the third quarter and 2.3% for the first nine months of 2013 from 2.9% for both the third quarter and first nine months of 2012. These decreases were the result of certain acquired intangible assets becoming fully amortized during 2012 and first quarter of 2013, partly offset by the impact of our acquisition of ezi-pay.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Operating income increased for the third quarter and first nine months of 2013 compared to the same periods of 2012, primarily due to the growth in transactions processed in Germany and the U.S., along with the operating income from the acquisition ezi-pay and the decrease in amortization expense and professional fees. The increase for the first nine months of 2013 compared to the same period of 2012 was also due to an increase in transactions processed at our cadooz subsidiary and the decrease in bad debt expense. These increases were partly offset by declines in revenues and transactions processed in Australia and increased commission costs in Brazil. Operating margin was 6.6% for the third quarter and 7.2% for the first nine months of 2013 compared to 5.9% for the third quarter and 6.5% for the first nine months of 2012. This increase was primarily due to the increase in revenues discussed above, along with the decrease in amortization expense, partly offset by increased commission costs in Brazil. Operating income per transaction increased to $0.05 for both the third quarter and first nine months of 2013 from $0.04 for the same periods of 2012.</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tables present the results of operations for the three- and nine-month periods ended September 30, 2013 and 2012 for the Money Transfer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36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c>
          <w:tcPr>
            <w:tcW w:w="140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6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5"/>
              </w:rPr>
              <w:t>(Decrease)Percent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7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80,042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15,234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271,536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228,960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42,576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7"/>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38,394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7,194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130,221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108,037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22,184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19,450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3,670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64,601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56,067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8,534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11,250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3,271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7,043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Depreciation and</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34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(204)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73,828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13,931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249,194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211,774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37,420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97"/>
        </w:trPr>
        <w:tc>
          <w:tcPr>
            <w:tcW w:w="23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1,303</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22,342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5,156</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189"/>
        </w:trPr>
        <w:tc>
          <w:tcPr>
            <w:tcW w:w="23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increase in revenues for the third quarter and first nine months of 2013 compared to the same periods of 2012 was primarily due to an increase in the number of transactions processed and growth in revenues from other products such as mobile top-up, check cashing, bill payment and money order transactions. The increase in transactions processed was driven by a 17% and 19% increase in money transfers, including a 17% and 22% increase in transfers from the U.S. and a 18% and 14% increase in transfers from non-U.S. markets for the third quarter and first nine months of 2013 compared to the same periods of 2012, respectively. The increase in the number of money transfers processed from both the U.S. and non-U.S. markets was due to the expansion of our agent and correspondent payout networks.</w:t>
      </w:r>
    </w:p>
    <w:p>
      <w:pPr>
        <w:spacing w:after="0" w:line="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Revenues per transaction increased to $10.71 for the third quarter and $10.48 for the first nine months of 2013 from $10.01 for the third quarter and $10.31 for the first nine months of 2012. The increase is primarily due to the growth rate of money transfer transactions exceeding the growth rate of non-money transfer services, which earn higher revenues per transaction than non-money transfer services and the impact of the euro strengthening against the U.S. dollar.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who originate money transfers on our behalf and correspondent agents who disburse funds to the customers’ destination beneficiaries, together with less significant costs, such as bank depository fees. The increase in direct operating costs in the third quarter and first nine months of 2013 compared to the same periods of 2012 was primarily due to the growth in money transfer transactions processed.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profit, which represents revenues less direct costs, was $49.7 million for the third quarter and $141.3 million for the first nine months of 2013 compared to $41.6 million for the third quarter and $120.9 million for the first nine months of 2012. The increase in gross profit was primarily due to the growth in money transfer transactions and other services such as mobile top-up, check cashing, bill payment and money order transactions. Gross margin increased slightly to 52.2% for the third quarter of 2013 from 52.0% in the same period of 2012 and decreased to 52.0% for the first nine months of 2013 from 52.8% in the same period of 2012. The decrease for the first nine months of 2013 compared to the same period of 2012 was primarily due to an increase in the percentage of transactions processed to U.S. locations during the first half of 2013, which earn lower revenues and gross profit per transaction than non-U.S. locations.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increase in salaries and benefits for the third quarter and first nine months of 2013 compared to the same periods of 2012 was primarily due to an increase in headcount to support the expansion of our operations both in the U.S and internationally and support costs incurred to launch our on-line money transfer service. As a percentage of revenues, salaries and benefits was unchanged at 24.3% for both the third quarter of 2013 and 2012. As a percentage of revenues, salaries and benefits decreased to 23.8% for the first nine months of 2013 from 24.5% for the first nine months of 2012. This decrease was primarily due to the growth in revenues from money transfers processed exceeding the incremental support costs during the first half of 2013.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Selling, general and administrative expenses increased for the third quarter and first nine months of 2013 compared to the same periods of 2012, primarily due to increased expenditures we incurred to support expansion of our operations and products, both in the U.S. and internationally and an increase in professional fees. As a percentage of revenues, selling, general and administrative expenses increased to 15.2% for the third quarter and 15.0% for the first nine months of 2013 from 14.1% for the third quarter and 14.7% for the first nine months of 2012. This increase was primarily due to the growth rate of support costs exceeding the growth rate of money transfer revenues and the impact of increased professional fees and legal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Depreciation and amortization primarily represents amortization of acquired intangible assets and depreciation of money transfer terminals, computers and software, leasehold improvements and office equipment. For the third quarter and first nine months of 2013, depreciation and amortization decreased slightly compared to the same periods of 2012. As a percentage of revenues, depreciation and amortization decreased to 4.8% for the third quarter and 5.1% for the first nine months of 2013 from 5.9% for the third quarter and 6.2% for the first nine months of 2012. These decreases were primarily due to certain acquired intangibles that became fully amortized in the first quarter of 2013.</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Operating income increased by 21.0% for the third quarter and 30.0% for the first nine months of 2013 compared to the same periods of 2012, primarily due to the growth in transactions processed and the decrease in amortization expense. These increases were partly offset by the increase in professional fees. As a result, operating margin increased to 7.9% for the third quarter and 8.2% for the first nine months of 2013 from 7.8% for the third quarter and 7.5% for the first nine months of 2012. Operating income per transaction increased to $0.84 for the third quarter and $0.86 first nine months of 2013 from $0.78 for the third quarter and $0.77 for the first nine months of 2012, primarily due to growth in the number of money transfers processed discussed above, the decrease in amortization expense and the impact of the euro strengthening against the U.S. dollar.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operating expenses for the three- and nine-month periods ended September 30, 2013 and 2012 for Corporate Services: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w w:val="99"/>
              </w:rPr>
              <w:t>Year-over-Year Change</w:t>
            </w:r>
          </w:p>
        </w:tc>
        <w:tc>
          <w:tcPr>
            <w:tcW w:w="2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8"/>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12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3"/>
                <w:szCs w:val="13"/>
                <w:color w:val="auto"/>
              </w:rPr>
            </w:pPr>
          </w:p>
        </w:tc>
        <w:tc>
          <w:tcPr>
            <w:tcW w:w="70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8"/>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1,328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17,312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1,619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937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5,509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2,416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8,920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2,287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25,513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21,473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4,040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Overall, operating expenses for Corporate Services increased for the third quarter and first nine months of 2013 compared to the same periods of 2012 due to an increase in salaries and benefits and selling, general and administrative expenses. The increase in salaries and benefits was primarily due to an increase in share-based compensation expense and bonus expense, related to improved results. The increases in selling, general and administrative expenses was primarily due to an increase in professional fees and legal contingency accruals. For the third quarter and first nine months of 2013 compared to the same periods of 2012, depreciation and amortization expense increased slightly.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0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2020" w:type="dxa"/>
            <w:vAlign w:val="bottom"/>
            <w:gridSpan w:val="3"/>
            <w:vMerge w:val="restart"/>
          </w:tcPr>
          <w:p>
            <w:pPr>
              <w:jc w:val="right"/>
              <w:ind w:right="27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2,545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(16,542)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8,170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gains (losses), net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2,834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520" w:type="dxa"/>
            <w:vAlign w:val="bottom"/>
            <w:gridSpan w:val="2"/>
          </w:tcPr>
          <w:p>
            <w:pPr>
              <w:ind w:left="40"/>
              <w:spacing w:after="0"/>
              <w:rPr>
                <w:sz w:val="20"/>
                <w:szCs w:val="20"/>
                <w:color w:val="auto"/>
              </w:rPr>
            </w:pPr>
            <w:r>
              <w:rPr>
                <w:rFonts w:ascii="Arial" w:cs="Arial" w:eastAsia="Arial" w:hAnsi="Arial"/>
                <w:sz w:val="18"/>
                <w:szCs w:val="18"/>
                <w:color w:val="auto"/>
                <w:w w:val="95"/>
              </w:rPr>
              <w:t>Foreign currency exchange gain</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ind w:left="200"/>
              <w:spacing w:after="0"/>
              <w:rPr>
                <w:sz w:val="20"/>
                <w:szCs w:val="20"/>
                <w:color w:val="auto"/>
              </w:rPr>
            </w:pPr>
            <w:r>
              <w:rPr>
                <w:rFonts w:ascii="Arial" w:cs="Arial" w:eastAsia="Arial" w:hAnsi="Arial"/>
                <w:sz w:val="18"/>
                <w:szCs w:val="18"/>
                <w:color w:val="auto"/>
              </w:rPr>
              <w:t>(loss), net</w:t>
            </w:r>
          </w:p>
        </w:tc>
        <w:tc>
          <w:tcPr>
            <w:tcW w:w="2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0"/>
                <w:szCs w:val="20"/>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20"/>
                <w:szCs w:val="20"/>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from unconsolidated</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7"/>
        </w:trPr>
        <w:tc>
          <w:tcPr>
            <w:tcW w:w="252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6,324</w:t>
            </w:r>
          </w:p>
        </w:tc>
        <w:tc>
          <w:tcPr>
            <w:tcW w:w="100" w:type="dxa"/>
            <w:vAlign w:val="bottom"/>
          </w:tcPr>
          <w:p>
            <w:pPr>
              <w:spacing w:after="0"/>
              <w:rPr>
                <w:sz w:val="22"/>
                <w:szCs w:val="22"/>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7,726</w:t>
            </w:r>
          </w:p>
        </w:tc>
        <w:tc>
          <w:tcPr>
            <w:tcW w:w="100" w:type="dxa"/>
            <w:vAlign w:val="bottom"/>
          </w:tcPr>
          <w:p>
            <w:pPr>
              <w:spacing w:after="0"/>
              <w:rPr>
                <w:sz w:val="22"/>
                <w:szCs w:val="22"/>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52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decrease in interest income for the third quarter and first nine months of 2013 compared to the same periods of 2012 was primarily due to less interest earned in Australia and Brazil, as a result of holding less cash in interest earning bank accounts due to increased working capital requirements.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The decrease in interest expense for the third quarter and first nine months of 2013 compared to the same periods of 2012 was primarily related to the Company's repurchase of $167.9 million of our convertible debentures in October 2012. This decrease was partly offset by an increase in amounts outstanding under the credit facility during the first nine months of 2013, primarily due to borrowings to fund a portion of the convertible debenture repurchase during the fourth quarter of 2012.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(losses), net</w:t>
      </w:r>
    </w:p>
    <w:p>
      <w:pPr>
        <w:spacing w:after="0" w:line="11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 July 2013, the Company completed the sale of its 40% equity method investment in epay Malaysia, which resulted in the recognition of a $2.8 million gain. In the first half of 2013, the Company recorded a $0.4 million impairment charge to an investment in an unconsolidated subsidiary.</w:t>
      </w:r>
    </w:p>
    <w:p>
      <w:pPr>
        <w:spacing w:after="0" w:line="3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January 2012, our acquisition of the remaining 51% interest of Euronet Middle East W.L.L. resulted in Euronet obtaining control of the entity, which was considered a business combination. Accordingly, we valued the assets and liabilities at fair value, which resulted in a $4.4 million gain on the 49% interest previously owned.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which are not long-term in nature,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recognized by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8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recorded a net foreign currency exchange gain of $2.9 million in the third quarter of 2013 compared to a net foreign currency exchange gain of $1.4 million in the third quarter of 2012. We recorded a net foreign currency exchange gain of $2.7 million in the first nine months of 2013 compared to a net foreign currency exchange loss of $1.2 million in the first nine months of 2012. These realized and unrealized foreign currency exchange gains and losses reflect the respective weakening and strengthening of the U.S. dollar against the currencies of the countries in which we operate during the respective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Income from unconsolidated affiliates decreased in the third quarter of 2013 compared to the same period of 2012, primarily due to the sale of the Company's 40% equity method investment in epay Malaysia in July 2013. Income from unconsolidated affiliates decreased in the first nine months of 2013 compared to the same period of 2012, primarily due to decreased profitability at epay Malaysia during the first half of 2013 and the subsequent sale discussed above.</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2012</w:t>
            </w: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58,642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21,168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100,684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50,546</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(10,668)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(6,827)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(22,485)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(17,381)</w:t>
            </w:r>
          </w:p>
        </w:tc>
      </w:tr>
      <w:tr>
        <w:trPr>
          <w:trHeight w:val="27"/>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47,974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14,341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78,199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33,165</w:t>
            </w: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6"/>
        </w:trPr>
        <w:tc>
          <w:tcPr>
            <w:tcW w:w="6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64"/>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6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58,642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21,168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100,684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50,546</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Adjust: Acquisition-related contingent consideration gain</w:t>
            </w: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Foreign currency exchange gain (loss),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(1,237)</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Adjust: Other gains (losses), net</w:t>
            </w: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2,809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4,146</w:t>
            </w:r>
          </w:p>
        </w:tc>
      </w:tr>
      <w:tr>
        <w:trPr>
          <w:trHeight w:val="27"/>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as adjusted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33,615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19,774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76,310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47,637</w:t>
            </w: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6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(17,381)</w:t>
            </w:r>
          </w:p>
        </w:tc>
      </w:tr>
      <w:tr>
        <w:trPr>
          <w:trHeight w:val="229"/>
        </w:trPr>
        <w:tc>
          <w:tcPr>
            <w:tcW w:w="6120" w:type="dxa"/>
            <w:vAlign w:val="bottom"/>
            <w:gridSpan w:val="2"/>
          </w:tcPr>
          <w:p>
            <w:pPr>
              <w:ind w:left="40"/>
              <w:spacing w:after="0"/>
              <w:rPr>
                <w:sz w:val="20"/>
                <w:szCs w:val="20"/>
                <w:color w:val="auto"/>
              </w:rPr>
            </w:pPr>
            <w:r>
              <w:rPr>
                <w:rFonts w:ascii="Arial" w:cs="Arial" w:eastAsia="Arial" w:hAnsi="Arial"/>
                <w:sz w:val="18"/>
                <w:szCs w:val="18"/>
                <w:color w:val="auto"/>
                <w:w w:val="95"/>
              </w:rPr>
              <w:t>Adjust: Income tax benefit attributable to foreign currency exchange (loss) gain,</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120" w:type="dxa"/>
            <w:vAlign w:val="bottom"/>
            <w:gridSpan w:val="2"/>
          </w:tcPr>
          <w:p>
            <w:pPr>
              <w:ind w:left="20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20"/>
                <w:szCs w:val="20"/>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36</w:t>
            </w:r>
          </w:p>
        </w:tc>
      </w:tr>
      <w:tr>
        <w:trPr>
          <w:trHeight w:val="27"/>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 as adjusted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(10,772)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(6,799)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(22,355)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(17,417)</w:t>
            </w: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6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4"/>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 as adjusted</w:t>
            </w: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Company's effective income tax rates were 18.2% and 32.3% for the three-month periods ended September 30, 2013 and 2012, respectively, and 22.3% and 34.4% for the nine-month periods ended September 30, 2013 and 2012, respectively. The effective tax rates were significantly influenced by the Pure Commerce acquisition-related contingent consideration gain, foreign currency exchange gains and losses and other non-operating gains, net in the respective periods. Excluding these items from pre-tax income, as well as the related tax effects for these items, the Company's effective tax rates were 32.0%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34.4% for the three-month periods ended September 30, 2013 and 2012, respectively, and 29.3% and 36.6% for the nine-month periods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2013 and 2012, respectively.</w:t>
      </w:r>
    </w:p>
    <w:p>
      <w:pPr>
        <w:spacing w:after="0" w:line="10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effective tax rate, as adjusted, for the third quarter 2013 was lower than the applicable statutory tax rate of 35% primarily because of the Company's U.S. income tax positions. Our effective tax rate, as adjusted, for the nine-month period ended September 30, 2013 was lower than the applicable statutory tax rate of 35% primarily because of the Company's U.S. income tax positions and a change in the reserve for uncertain tax benefits. The Company does not have a history of significant taxable income in the U.S., therefore, the Company has recorded a valuation allowance against the tax net operating loss carryforwards. Accordingly, in instances when the Company's U.S. legal entities generate pre-tax book income, no income tax expense is recognized to the extent there are net operating loss carryforwards to offset pre-tax book income.</w:t>
      </w:r>
    </w:p>
    <w:p>
      <w:pPr>
        <w:spacing w:after="0" w:line="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decrease in the effective tax rate, as adjusted, for the third quarter of 2013 compared to the same period of 2012 was primarily because of the Company’s U.S. income tax positions. The decrease in the effective tax rate, as adjusted, for the nine-month period ended September 30, 2013 compared to the same period of 2012 was primarily because of the Company's U.S. income tax positions and a change in the reserve for uncertain tax benefits. During the first quarter of 2013, the Company recorded a $2.2 million decrease in the reserve for uncertain tax benefits related to the closure of an income tax audit in Germany, resulting in a decrease in income tax expense for the nine-month period ended September 30, 2013.</w:t>
      </w:r>
    </w:p>
    <w:p>
      <w:pPr>
        <w:spacing w:after="0" w:line="6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Income before income taxes, as adjusted, income tax expense, as adjusted and effective income tax rate, as adjusted are non-GAAP financial measures that management believes are useful for understanding why our effective tax rates are significantly different than would be expected.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OR LOSS ATTRIBUTABLE TO NONCONTROLLING INTERESTS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32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Percent</w:t>
            </w:r>
          </w:p>
        </w:tc>
        <w:tc>
          <w:tcPr>
            <w:tcW w:w="21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China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Euronet Pakistan</w:t>
            </w: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Services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epay - Russia</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Movilcarga</w:t>
            </w: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Universal Solutions Partners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EFT - UAE</w:t>
            </w:r>
          </w:p>
        </w:tc>
        <w:tc>
          <w:tcPr>
            <w:tcW w:w="0" w:type="dxa"/>
            <w:vAlign w:val="bottom"/>
          </w:tcPr>
          <w:p>
            <w:pPr>
              <w:spacing w:after="0"/>
              <w:rPr>
                <w:sz w:val="1"/>
                <w:szCs w:val="1"/>
                <w:color w:val="auto"/>
              </w:rPr>
            </w:pPr>
          </w:p>
        </w:tc>
      </w:tr>
      <w:tr>
        <w:trPr>
          <w:trHeight w:val="27"/>
        </w:trPr>
        <w:tc>
          <w:tcPr>
            <w:tcW w:w="7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 WORLDWIDE, INC.</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Net income attributable to Euronet Worldwide, Inc. was $47.9 million for the third quarter and $78.0 million for the first nine months of 2013 compared to $14.6 million for the third quarter and $33.5 million for the first nine months of 2012. As more fully discussed above, the increase in net income of $44.4 million for the first nine months of 2013 as compared to the same period in 2012 was primarily due to the recognition of a $19.3 million gain related to the change in fair value of a contingent consideration liability. The remaining $25.1 million increase was primarily the result of an increase in operating income (excluding the $19.3 million contingent consideration gain) of $23.1 million, an increase in foreign currency exchange gain of $3.9 million and a decrease in interest expense of $8.2 million. Theses increases were partly offset by a decrease in other non-operating income of $1.8 million, an increase in income tax expense of $5.1 million and a decrease in interest income of $2.1 million. Other non-operating items decreased net income by $1.1 million.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2013 and December 31, 2012, we had working capital, which is calculated as the difference between total current assets and total current liabilities, of $119.1 million and $116.5 million, respectively. Our ratio of current assets to current liabilities at September 30, 2013 and December 31, 2012 were 1.19 and 1.17, respectively.</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As of September 30, 2013, working capital in the Money Transfer Segment was $78.1 million. We expect that working capital needs will increase as we expand this business.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had cash and cash equivalents of $244.5 million at September 30, 2013, of which $176.4 million was held outside of the United States and is expected to be indefinitely reinvested for continued use in foreign operations. Repatriation of these assets to the U.S. could have negative tax consequences.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Cash flows provided by operating activities were $150.6 million for the first nine months of 2013 compared to $143.4 million for the first nine months of 2012. The increase is primarily due to improved operating results and fluctuations in working capital mainly associated with the timing of the settlement processes with mobile operators in the epay Segment and with correspondents in the Money Transfer Segment.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Cash flows used in investing activities were $55.0 million for the first nine months of 2013 compared to $38.3 million for the first nine months of 2012. During the first nine months of 2013, we used $30.8 million for acquisitions compared to $2.7 million for the first nine months of 2012. Purchases of property and equipment used $27.6 million and $33.2 million of cash for the first nine months of 2013 and 2012, respectively. Cash used for software development and other investing activities totaled $4.1 million for the first nine months of 2013 compared to $2.4 million for the first nine months of 2012. Additionally, we had $7.6 million of net proceeds from the sale of an equity investment during the first nine months of 2013.</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Cash flows used in financing activities were $52.5 million for the first nine months of 2013 compared to $85.6 million for the first nine months of 2012. Our financing activities for the first nine months of 2013 consisted of net repayments of debt obligations of $50.0 million compared to $81.5 million for the first nine months of 2012. To support the short-term cash needs of our Money Transfer Segment, we generally borrow amounts under our revolving credit facility several times each month to fund the correspondent network in advance of collecting remittance amounts from the agency network. These borrowings are repaid over a very short period of time, generally within a few days. As a result, during the first nine months of 2013 we had a total of $1,508.5 million in borrowings and $1,550.3 million in repayments under the revolving credit facility. We used $7.9 million and $3.3 million during the first nine months of 2013 and 2012, respectively, for the acquisition of subsidiary shares from a holder of noncontrolling interests. Additionally, for the first nine months of 2013 and 2012, we paid $2.0 million for capital lease obligations. Further, we received proceeds of $7.5 million and $2.1 million during the first nine months of 2013 and 2012, respectively, for the issuance of stock options in connection with our Stock Incentive Plan.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As of September 30, 2013, we have a $480 million Credit Facility consisting of a $390 million revolving credit facility, a $10 million India revolving credit facility and an $80 million term loan. The revolving credit facility allows for borrowings in U.S. dollars, euro, British pound sterling, Australian dollars and/or Indian rupees.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$390 million revolving credit facility contains a $200 million sublimit for the issuance of letters of credit and a $25 million sublimit for swingline loans. We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 Subject to certain conditions, we have the option to increase the Credit Facility by up to an additional $80 million by requesting additional commitments from existing or new lenders.</w:t>
      </w:r>
    </w:p>
    <w:p>
      <w:pPr>
        <w:spacing w:after="0" w:line="8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Fees and interest on borrowings vary based upon the Company's consolidated total leverage ratio (as defined in the Amended and Restated Credit Agreement governing the Credit Facility) and will be based, in the case of letter of credit fees, on a margin, and in the case of interest, on a margin over London Inter-Bank Offered Rate ("LIBOR") or a margin over the base rate, as selected by us, with the applicable margin ranging from 1.5% to 2.5% (or 0.5% to 1.5% for base rate loans). The base rate is the highest of (i) the Bank of America prime rate, (ii) the Federal Funds rate plus 0.50% or (iii) the Fixed LIBOR rate plus</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1.00%. The term loan is subject to scheduled quarterly amortization payments, as set forth in the Amended and Restated Credit Agreement. The maturity date for the Credit Facility is August 18, 2016, at which time the outstanding principal balance and all accrued interest will be due and payable in full. Financing costs of $5.5 million are being amortized over the terms of the respective loans.</w:t>
      </w:r>
    </w:p>
    <w:p>
      <w:pPr>
        <w:spacing w:after="0" w:line="8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September 30, 2013, we had borrowings of $70.0 million outstanding under the term loan. We had $173.3 million of borrowings and $35.2 million of stand-by letters of credit outstanding under the revolving credit facility as of September 30, 2013. The remaining $191.5 million under the revolving credit facility was available for borrowing. As of September 30, 2013, our weighted average interest rates under the revolving credit facility and term loan were 2.0% and 1.9%, respectively, excluding amortization of deferred financing costs.</w:t>
      </w:r>
    </w:p>
    <w:p>
      <w:pPr>
        <w:spacing w:after="0" w:line="79"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u w:val="single" w:color="auto"/>
          <w:color w:val="auto"/>
        </w:rPr>
        <w:t>Short-term debt obligations</w:t>
      </w:r>
      <w:r>
        <w:rPr>
          <w:rFonts w:ascii="Arial" w:cs="Arial" w:eastAsia="Arial" w:hAnsi="Arial"/>
          <w:sz w:val="17"/>
          <w:szCs w:val="17"/>
          <w:color w:val="auto"/>
        </w:rPr>
        <w:t xml:space="preserve"> — Short-term debt obligations at September 30, 2013 were primarily comprised of $8.0 million of payments due in the next twelve months under the term loan. Certain of our subsidiaries also have available credit lines and overdraft facilities to supplement short-term working capital requirements, when necessary, and there was $1.0 million outstanding under these facilities as of September 30, 2013.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u w:val="single" w:color="auto"/>
          <w:color w:val="auto"/>
        </w:rPr>
        <w:t>Debt and equity repurchases</w:t>
      </w:r>
      <w:r>
        <w:rPr>
          <w:rFonts w:ascii="Arial" w:cs="Arial" w:eastAsia="Arial" w:hAnsi="Arial"/>
          <w:sz w:val="17"/>
          <w:szCs w:val="17"/>
          <w:color w:val="auto"/>
        </w:rPr>
        <w:t xml:space="preserve"> — In September 2013, our Board of Directors authorized a program for the repurchase of Euronet Common Stock. The program authorizes repurchases of up to $100 million in value or 5 million shares and will expire on September 19, 2015. Because of constraints established in our Credit Agreement, repurchases may only begin after December 31, 2013. We expect to repurchase Common Stock when prices provide attractive returns on capital. There were no repurchases of Common Stock under a prior authorization during the first nine months of 2013. In September 2013, the Company repurchased at par the remaining $3.6 million of principal amount of the convertible debentures outstanding.</w:t>
      </w:r>
    </w:p>
    <w:p>
      <w:pPr>
        <w:spacing w:after="0" w:line="6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A portion of the net assets acquired in the acquisition of Pure Commerce includes a liability for additional purchase price consideration up to 30 million Australian dollars, payable in cash and Euronet Common Stock, based upon achieving certain performance conditions for the twelve month period ending in December 2013. As of September 30, 2013, we estimated that no additional purchase price consideration will be owed to the sellers under this agreement.</w:t>
      </w:r>
    </w:p>
    <w:p>
      <w:pPr>
        <w:spacing w:after="0" w:line="79"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nine months of 2013 were $28.5 million. These capital expenditures were used primarily for the purchase of ATMs in Poland and India, as well as for office, data center and company store computer equipment and software, and POS terminals for the epay Segment. Total capital expenditures for 2013 are currently estimated to be approximately $35 million to $40 million.</w:t>
      </w:r>
    </w:p>
    <w:p>
      <w:pPr>
        <w:spacing w:after="0" w:line="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epay Segment, approximately 90,000 of the approximately 636,000 POS devices that we operate are Company-owned, with the remaining terminals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financings, will be sufficient to meet our debt, leasing, contingent consideration and capital expenditure obligations. If our capital resources are not sufficient to meet these obligations, we will seek to issue additional debt and/or equity under terms acceptable to us. However, we can offer no assurances that we will be able to obtain favorable terms for the refinancing of any of our debt or other obligations or for the issuance of additional equity.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Although Euronet has no direct investments in European sovereign debt, we are indirectly exposed to its risks. Many of the customers of our EFT Processing Segment are banks who may hold investments in European sovereign debt. To the extent those customers are negatively impacted by those investments, they may be less able to pay amounts owed to us or renew service agreements with us. Further, to the extent that sovereign debt concerns depress economic activity, such concerns may negatively impact the number of transactions processed on our epay and money transfer networks, resulting in lower revenue.</w:t>
      </w:r>
    </w:p>
    <w:p>
      <w:pPr>
        <w:spacing w:after="0" w:line="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Australia, Middle East and U.K. epay businesses have experienced revenue declines as a result of competitive pressures and changes in the distribution strategies of certain mobile operators. Continued competitive pressures in these markets may negatively impact the epay Segment's profitability in the near term and it is possible that the goodwill or acquired intangible assets of these reporting units could become impaired. As of September 30, 2013, the carrying value of goodwill and acquired intangible assets for our Australia, Middle East and U.K. epay reporting units were $12.7 million, $12.3 million and $12.8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2013, there were no material changes from the disclosure in our Annual Report on Form 10-K for the year ended December 31, 2012. To date, we are not aware of any significant claims made by the indemnified parties or parties to whom we have provided guarantees on behalf of our subsidiaries and, accordingly, no liabilities have been recorded as of September 30, 2013. See also Note 10,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September 30, 2013, there have been no material changes outside the ordinary course of the Company's business from the disclosures relating to contractual obligations contained in our Annual Report on Form 10-K for the year ended December 31, 2012.</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125"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but not limited to, statements regarding the following:</w:t>
      </w:r>
    </w:p>
    <w:p>
      <w:pPr>
        <w:spacing w:after="0" w:line="73"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Statements contained in this filing that relate to the future resolution of matters, including those relating to the security breach, are forward-looking statements. Euronet's actual results may vary materially from those anticipated in such forward-looking statements as a result of a number of factors, including the following: the amount of actual losses or liabilities that will be asserted by card associations are currently unknown and may be larger than would be anticipated; other costs, penalties and fines incurred by the Company may be greater than would be anticipated; the Company's insurance coverage may be insufficient to cover all costs, losses and liabilities; and the Company may suffer harm to its reputation and existing and prospective customer relationships as a result of the security breach.</w:t>
      </w:r>
    </w:p>
    <w:p>
      <w:pPr>
        <w:spacing w:after="0" w:line="8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 for our products and services; our ability to successfully introduce new products; foreign currency exchange rate fluctuations; the effects of any potential future security breaches; our ability to renew existing contracts at profitable rates; changes in fees payable for transactions performed for cards bearing international logos or over switching networks such as card transactions on ATMs; changes in laws and regulations affecting our business, including immigration laws; changes in our relationships with, or in fees charged by, our business partners; competition; the outcome of claims and other loss contingencies affecting the Company; and those referred to above and as set forth and more fully described in Part I, Item 1A — Risk Factors of our Annual Report on Form 10-K for the year ended December 31, 2012. All forward-looking statements made in this Form 10-Q speak only as of the date of this report. We do not intend, and do not undertake, any obligation to update any forward looking statements to reflect future events or circumstances after the date of such statements.</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25" w:right="29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80"/>
        <w:spacing w:after="0" w:line="259" w:lineRule="auto"/>
        <w:rPr>
          <w:sz w:val="20"/>
          <w:szCs w:val="20"/>
          <w:color w:val="auto"/>
        </w:rPr>
      </w:pPr>
      <w:r>
        <w:rPr>
          <w:rFonts w:ascii="Arial" w:cs="Arial" w:eastAsia="Arial" w:hAnsi="Arial"/>
          <w:sz w:val="18"/>
          <w:szCs w:val="18"/>
          <w:color w:val="auto"/>
        </w:rPr>
        <w:t>As of September 30, 2013, our total debt outstanding was $250.1 million. Of this amount, $244.3 million, or 98% of our total debt obligations, relates to debt that accrues interest at variable rates. If we were to maintain these borrowings for one year and maximize the potential borrowings available under the revolving credit facility for one year, a 1% (100 basis points) increase in the applicable interest rate would result in additional annual interest expense to the Company of approximately $4.3 million.</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remaining $5.8 million, or 2% of our total debt obligations, relates to capitalized leases with fixed payment and interest terms that expire between 2013 and 2017.</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For the three- and nine-month periods ended September 30, 2013, 76% and 75% of our revenues, respectively, were generated in non-U.S. dollar countries and we expect to continue generating a significant portion of our revenues in countries with currencies other than the U.S. dollar.</w:t>
      </w:r>
    </w:p>
    <w:p>
      <w:pPr>
        <w:spacing w:after="0" w:line="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Brazilian real and Indian rupee. As of September 30, 2013, we estimate that a 10% fluctuation in these foreign currency exchange rates would have the combined annualized effect on reported net income and working capital of approximately $45 million to $50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$50 million to $55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primarily to help offset foreign currency exposure related to the notional value of money transfer transactions collected in currencies other than the U.S. dollar. As of September 30, 2013, we had foreign currency forward contracts outstanding with a notional value of $134.2 million, primarily in Australian dollars, euros and Mexican pesos, that were not designated as hedges and mature in a weighted average of two days. The fair value of these forward contracts as of September 30, 2013 was an unrealized gain of $25 thousand, which was partly offset by the unrealized losses on the related foreign currency liabilities.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2013.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September 30, 2013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Note 12, Litigation and Contingencies, to the unaudited consolidated financial statements in this report is incorporated herein by reference.</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Currently, there are no other legal or regulatory proceedings that management believes, either individually or in the aggregate, would have a material adverse effect upon the consolidated results of operations or financial condition of the Company. In accordance with U.S. GAAP, we record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 or matter.</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You should carefully consider the risks described in Part I, Item 1A. Risk Factors in our Annual Report on Form 10-K for the fiscal year ended December 31, 2012, as may be updated in our subsequent filings with the SEC, before making an investment decision. Our operations are subject to a number of risks and uncertainties, including the risks and uncertainties described in our Annual Report on Form 10-K, as may be updated by any subsequent Quarterly Reports on Form 10-Q.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Except as set forth below, there have been no material changes from the risk factors previously disclosed in the Company's Annual Report on Form 10-K for the year ended December 31, 2012 as filed with the SEC.</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various mechanisms in place to discourage takeover attempts, which may reduce or eliminate our stockholders' ability to sell their shares for a premium in a change of control transaction.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Various provisions of our certificate of incorporation and bylaws and of Delaware corporate law may discourage, delay or prevent a change in control or takeover attempt of our company by a third party to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71" w:lineRule="exact"/>
        <w:rPr>
          <w:sz w:val="20"/>
          <w:szCs w:val="20"/>
          <w:color w:val="auto"/>
        </w:rPr>
      </w:pPr>
    </w:p>
    <w:p>
      <w:pPr>
        <w:ind w:left="660" w:right="2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classification of our directors into three classes with respect to the time for which they hold office;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non-cumulative voting for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 by our board of directors of the size of our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of stockholders;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30, 2013, our stockholders ratified a three-year stockholders' rights agreement (the ''Rights Agreement'') entered into on March 26, 2013, between Euronet and Computershare Trust Company, N.A. as rights agent. The Rights Agreement replaces a previous rights agreement that expired on April 3, 2013. Pursuant to the Rights Agreement, holders of our Common Stock are entitled to purchase one one-hundredth (1/100) of a share (a ''Unit'') of Junior Preferred Stock at a price of $125.00 per Unit upon certain events (the "Right"). The purchase price is subject to appropriate adjustment for stock splits and other similar events. Generally, in the event a person or entity acquires, or initiates a tender offer to acquire, at least 20% of Euronet's then-outstanding Common Stock, the Rights will become exercisable for Common Stock having a value equal to two times the exercise price of the Right, or effectively at one-half of Euronet's then-current stock price. The existence of the Rights may discourage, delay or prevent a change of control or takeover attempt of our company by a third party that is opposed by our management and board of directors.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472"/>
        </w:trPr>
        <w:tc>
          <w:tcPr>
            <w:tcW w:w="1040" w:type="dxa"/>
            <w:vAlign w:val="bottom"/>
            <w:tcBorders>
              <w:top w:val="single" w:sz="8" w:color="auto"/>
            </w:tcBorders>
          </w:tcPr>
          <w:p>
            <w:pPr>
              <w:jc w:val="right"/>
              <w:ind w:right="593"/>
              <w:spacing w:after="0"/>
              <w:rPr>
                <w:sz w:val="20"/>
                <w:szCs w:val="20"/>
                <w:color w:val="auto"/>
              </w:rPr>
            </w:pPr>
            <w:r>
              <w:rPr>
                <w:rFonts w:ascii="Arial" w:cs="Arial" w:eastAsia="Arial" w:hAnsi="Arial"/>
                <w:sz w:val="18"/>
                <w:szCs w:val="18"/>
                <w:color w:val="auto"/>
                <w:w w:val="96"/>
              </w:rPr>
              <w:t>12.1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Computation of Ratio of Earnings to Fixed Charges (1)</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 (1)</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 (1)</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32.1</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 (2)</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32.2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 (2)</w:t>
            </w:r>
          </w:p>
        </w:tc>
      </w:tr>
    </w:tbl>
    <w:p>
      <w:pPr>
        <w:spacing w:after="0" w:line="310" w:lineRule="exact"/>
        <w:rPr>
          <w:sz w:val="20"/>
          <w:szCs w:val="20"/>
          <w:color w:val="auto"/>
        </w:rPr>
      </w:pPr>
    </w:p>
    <w:p>
      <w:pPr>
        <w:ind w:left="1180" w:right="80" w:hanging="1145"/>
        <w:spacing w:after="0" w:line="285" w:lineRule="auto"/>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following materials from Euronet Worldwide, Inc.’s Quarterly Report on Form 10-Q for the quarter ended September 30, 2013, formatted in XBRL (eXtensible Business Reporting Language): (i) Consolidated Balance Sheets at September 30, 2013 (unaudited) and December 31, 2012, (ii) Consolidated Statements of Operations (unaudited) for the three- and nine-month periods ended September 30, 2013 and 2012, (iii) Consolidated Statements of Comprehensive Income (unaudited) for the three- and nine-month periods ended September 30, 2013 and 2012, (iv) Consolidated Statements of Cash Flows (unaudited) for the nine-months ended September 30, 2013 and 2012, and</w:t>
      </w:r>
    </w:p>
    <w:p>
      <w:pPr>
        <w:spacing w:after="0" w:line="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8"/>
          <w:szCs w:val="18"/>
          <w:color w:val="auto"/>
        </w:rPr>
        <w:t>(v) Notes to the Unaudited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33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10-Q.</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October 30,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240" w:top="125" w:right="39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56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28"/>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before adjustment for income from unconsolidated</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subsidiaries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20,983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100,424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49,751</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23,485</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00"/>
              <w:spacing w:after="0"/>
              <w:rPr>
                <w:sz w:val="20"/>
                <w:szCs w:val="20"/>
                <w:color w:val="auto"/>
              </w:rPr>
            </w:pPr>
            <w:r>
              <w:rPr>
                <w:rFonts w:ascii="Arial" w:cs="Arial" w:eastAsia="Arial" w:hAnsi="Arial"/>
                <w:sz w:val="18"/>
                <w:szCs w:val="18"/>
                <w:color w:val="auto"/>
              </w:rPr>
              <w:t>Dividends received</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pretax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64,288</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28,944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116,851</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75,257</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ind w:left="2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16,542</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60"/>
              <w:spacing w:after="0"/>
              <w:rPr>
                <w:sz w:val="20"/>
                <w:szCs w:val="20"/>
                <w:color w:val="auto"/>
              </w:rPr>
            </w:pPr>
            <w:r>
              <w:rPr>
                <w:rFonts w:ascii="Arial" w:cs="Arial" w:eastAsia="Arial" w:hAnsi="Arial"/>
                <w:sz w:val="18"/>
                <w:szCs w:val="18"/>
                <w:color w:val="auto"/>
              </w:rPr>
              <w:t>Estimate of interest within rental expense</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2,478</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16,101</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23,485</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9020"/>
          </w:cols>
          <w:pgMar w:left="1440" w:top="580" w:right="1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2013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October 30, 2013</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2013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October 30,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0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2019-12-06T17:06:24Z</dcterms:created>
  <dcterms:modified xsi:type="dcterms:W3CDTF">2019-12-06T17:06:24Z</dcterms:modified>
</cp:coreProperties>
</file>