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183515</wp:posOffset>
            </wp:positionH>
            <wp:positionV relativeFrom="page">
              <wp:posOffset>243205</wp:posOffset>
            </wp:positionV>
            <wp:extent cx="72034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-175895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44" w:lineRule="exact"/>
        <w:rPr>
          <w:sz w:val="24"/>
          <w:szCs w:val="24"/>
          <w:color w:val="auto"/>
        </w:rPr>
      </w:pPr>
    </w:p>
    <w:p>
      <w:pPr>
        <w:ind w:left="860" w:hanging="521"/>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860" w:hanging="485"/>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300"/>
        <w:spacing w:after="0"/>
        <w:tabs>
          <w:tab w:leader="none" w:pos="660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6"/>
          <w:szCs w:val="16"/>
          <w:b w:val="1"/>
          <w:bCs w:val="1"/>
          <w:color w:val="auto"/>
        </w:rPr>
        <w:t>to</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001-31648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EURONET WORLDWIDE, INC.</w:t>
      </w:r>
    </w:p>
    <w:p>
      <w:pPr>
        <w:spacing w:after="0" w:line="2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13"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170"/>
              <w:spacing w:after="0"/>
              <w:rPr>
                <w:sz w:val="20"/>
                <w:szCs w:val="20"/>
                <w:color w:val="auto"/>
              </w:rPr>
            </w:pPr>
            <w:r>
              <w:rPr>
                <w:rFonts w:ascii="Arial" w:cs="Arial" w:eastAsia="Arial" w:hAnsi="Arial"/>
                <w:sz w:val="18"/>
                <w:szCs w:val="18"/>
                <w:b w:val="1"/>
                <w:bCs w:val="1"/>
                <w:color w:val="auto"/>
              </w:rPr>
              <w:t>74-2806888</w:t>
            </w: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(State or other jurisdiction</w:t>
            </w:r>
          </w:p>
        </w:tc>
        <w:tc>
          <w:tcPr>
            <w:tcW w:w="3160" w:type="dxa"/>
            <w:vAlign w:val="bottom"/>
          </w:tcPr>
          <w:p>
            <w:pPr>
              <w:jc w:val="center"/>
              <w:ind w:left="1650"/>
              <w:spacing w:after="0"/>
              <w:rPr>
                <w:sz w:val="20"/>
                <w:szCs w:val="20"/>
                <w:color w:val="auto"/>
              </w:rPr>
            </w:pPr>
            <w:r>
              <w:rPr>
                <w:rFonts w:ascii="Arial" w:cs="Arial" w:eastAsia="Arial" w:hAnsi="Arial"/>
                <w:sz w:val="18"/>
                <w:szCs w:val="18"/>
                <w:b w:val="1"/>
                <w:bCs w:val="1"/>
                <w:color w:val="auto"/>
                <w:w w:val="94"/>
              </w:rPr>
              <w:t>(I.R.S. Employer</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of incorporation or organization)</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2"/>
              </w:rPr>
              <w:t>Identification No.)</w:t>
            </w:r>
          </w:p>
        </w:tc>
      </w:tr>
      <w:tr>
        <w:trPr>
          <w:trHeight w:val="405"/>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9"/>
              </w:rPr>
              <w:t>3500 College Boulevard</w:t>
            </w:r>
          </w:p>
        </w:tc>
        <w:tc>
          <w:tcPr>
            <w:tcW w:w="3160" w:type="dxa"/>
            <w:vAlign w:val="bottom"/>
          </w:tcPr>
          <w:p>
            <w:pPr>
              <w:spacing w:after="0"/>
              <w:rPr>
                <w:sz w:val="24"/>
                <w:szCs w:val="24"/>
                <w:color w:val="auto"/>
              </w:rPr>
            </w:pP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Leawood, Kansas</w:t>
            </w:r>
          </w:p>
        </w:tc>
        <w:tc>
          <w:tcPr>
            <w:tcW w:w="3160" w:type="dxa"/>
            <w:vAlign w:val="bottom"/>
          </w:tcPr>
          <w:p>
            <w:pPr>
              <w:jc w:val="right"/>
              <w:ind w:right="390"/>
              <w:spacing w:after="0"/>
              <w:rPr>
                <w:sz w:val="20"/>
                <w:szCs w:val="20"/>
                <w:color w:val="auto"/>
              </w:rPr>
            </w:pPr>
            <w:r>
              <w:rPr>
                <w:rFonts w:ascii="Arial" w:cs="Arial" w:eastAsia="Arial" w:hAnsi="Arial"/>
                <w:sz w:val="18"/>
                <w:szCs w:val="18"/>
                <w:b w:val="1"/>
                <w:bCs w:val="1"/>
                <w:color w:val="auto"/>
              </w:rPr>
              <w:t>66211</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(Zip Code)</w:t>
            </w:r>
          </w:p>
        </w:tc>
      </w:tr>
    </w:tbl>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4"/>
          <w:szCs w:val="24"/>
          <w:color w:val="auto"/>
        </w:rPr>
      </w:pPr>
    </w:p>
    <w:p>
      <w:pPr>
        <w:ind w:right="42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60"/>
          </w:cols>
          <w:pgMar w:left="240" w:top="535" w:right="299" w:bottom="1440" w:gutter="0" w:footer="0" w:header="0"/>
        </w:sectPr>
      </w:pPr>
    </w:p>
    <w:p>
      <w:pPr>
        <w:spacing w:after="0" w:line="95"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Accelerated filer </w:t>
      </w: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90" w:lineRule="exact"/>
        <w:rPr>
          <w:sz w:val="24"/>
          <w:szCs w:val="24"/>
          <w:color w:val="auto"/>
        </w:rPr>
      </w:pPr>
    </w:p>
    <w:p>
      <w:pPr>
        <w:sectPr>
          <w:pgSz w:w="11900" w:h="16838" w:orient="portrait"/>
          <w:cols w:equalWidth="0" w:num="4">
            <w:col w:w="2340" w:space="720"/>
            <w:col w:w="1320" w:space="560"/>
            <w:col w:w="1660" w:space="40"/>
            <w:col w:w="4720"/>
          </w:cols>
          <w:pgMar w:left="240" w:top="535" w:right="29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Smaller reporting company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 xml:space="preserve">Emerging growth company </w:t>
      </w: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2">
            <w:col w:w="4560" w:space="720"/>
            <w:col w:w="6080"/>
          </w:cols>
          <w:pgMar w:left="240" w:top="535" w:right="299" w:bottom="1440" w:gutter="0" w:footer="0" w:header="0"/>
          <w:type w:val="continuous"/>
        </w:sectPr>
      </w:pPr>
    </w:p>
    <w:p>
      <w:pPr>
        <w:spacing w:after="0" w:line="156" w:lineRule="exact"/>
        <w:rPr>
          <w:sz w:val="24"/>
          <w:szCs w:val="24"/>
          <w:color w:val="auto"/>
        </w:rPr>
      </w:pPr>
    </w:p>
    <w:p>
      <w:pPr>
        <w:ind w:left="40" w:right="60"/>
        <w:spacing w:after="0" w:line="258"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On July 31, 2018, Euronet Worldwide, Inc. had 51,022,506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186690</wp:posOffset>
            </wp:positionV>
            <wp:extent cx="720344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100330</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60"/>
          </w:cols>
          <w:pgMar w:left="240" w:top="535" w:right="29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78"/>
              </w:rPr>
              <w:t>Page</w:t>
            </w:r>
          </w:p>
        </w:tc>
      </w:tr>
      <w:tr>
        <w:trPr>
          <w:trHeight w:val="237"/>
        </w:trPr>
        <w:tc>
          <w:tcPr>
            <w:tcW w:w="2920" w:type="dxa"/>
            <w:vAlign w:val="bottom"/>
            <w:tcBorders>
              <w:bottom w:val="single" w:sz="8" w:color="0000EE"/>
            </w:tcBorders>
            <w:gridSpan w:val="10"/>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I—FINANCIAL INFORMATION</w:t>
              </w:r>
            </w:hyperlink>
          </w:p>
        </w:tc>
        <w:tc>
          <w:tcPr>
            <w:tcW w:w="7780" w:type="dxa"/>
            <w:vAlign w:val="bottom"/>
            <w:gridSpan w:val="9"/>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1080" w:type="dxa"/>
            <w:vAlign w:val="bottom"/>
            <w:gridSpan w:val="4"/>
          </w:tcPr>
          <w:p>
            <w:pPr>
              <w:spacing w:after="0"/>
              <w:rPr>
                <w:sz w:val="20"/>
                <w:szCs w:val="20"/>
                <w:color w:val="auto"/>
              </w:rPr>
            </w:pPr>
            <w:r>
              <w:rPr>
                <w:rFonts w:ascii="Arial" w:cs="Arial" w:eastAsia="Arial" w:hAnsi="Arial"/>
                <w:sz w:val="16"/>
                <w:szCs w:val="16"/>
                <w:color w:val="auto"/>
              </w:rPr>
              <w:t>Item 1.</w:t>
            </w:r>
          </w:p>
        </w:tc>
        <w:tc>
          <w:tcPr>
            <w:tcW w:w="9620" w:type="dxa"/>
            <w:vAlign w:val="bottom"/>
            <w:gridSpan w:val="15"/>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 (unaudited)</w:t>
              </w:r>
            </w:hyperlink>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760" w:type="dxa"/>
            <w:vAlign w:val="bottom"/>
            <w:gridSpan w:val="10"/>
          </w:tcPr>
          <w:p>
            <w:pP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Consolidated Balance Sheets as of June 30, 2018 and December 31, 2017</w:t>
              </w:r>
            </w:hyperlink>
          </w:p>
        </w:tc>
        <w:tc>
          <w:tcPr>
            <w:tcW w:w="4860" w:type="dxa"/>
            <w:vAlign w:val="bottom"/>
            <w:gridSpan w:val="5"/>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300" w:type="dxa"/>
            <w:vAlign w:val="bottom"/>
            <w:gridSpan w:val="13"/>
          </w:tcPr>
          <w:p>
            <w:pPr>
              <w:spacing w:after="0"/>
              <w:rPr>
                <w:rFonts w:ascii="Arial" w:cs="Arial" w:eastAsia="Arial" w:hAnsi="Arial"/>
                <w:sz w:val="16"/>
                <w:szCs w:val="16"/>
                <w:color w:val="0000EE"/>
                <w:w w:val="90"/>
              </w:rPr>
            </w:pPr>
            <w:hyperlink w:anchor="page4">
              <w:r>
                <w:rPr>
                  <w:rFonts w:ascii="Arial" w:cs="Arial" w:eastAsia="Arial" w:hAnsi="Arial"/>
                  <w:sz w:val="16"/>
                  <w:szCs w:val="16"/>
                  <w:color w:val="0000EE"/>
                  <w:w w:val="90"/>
                </w:rPr>
                <w:t>Consolidated Statements of Income for the Three and Six Months Ended June 30, 2018 and 2017</w:t>
              </w:r>
            </w:hyperlink>
          </w:p>
        </w:tc>
        <w:tc>
          <w:tcPr>
            <w:tcW w:w="3320" w:type="dxa"/>
            <w:vAlign w:val="bottom"/>
            <w:gridSpan w:val="2"/>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
              <w:r>
                <w:rPr>
                  <w:rFonts w:ascii="Arial" w:cs="Arial" w:eastAsia="Arial" w:hAnsi="Arial"/>
                  <w:sz w:val="17"/>
                  <w:szCs w:val="17"/>
                  <w:color w:val="0000EE"/>
                </w:rPr>
                <w:t>4</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20" w:type="dxa"/>
            <w:vAlign w:val="bottom"/>
            <w:gridSpan w:val="15"/>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Comprehensive Income (Loss) for the Three and Six Months Ended June 30, 2018 and 2017</w:t>
              </w:r>
            </w:hyperlink>
          </w:p>
        </w:tc>
        <w:tc>
          <w:tcPr>
            <w:tcW w:w="340" w:type="dxa"/>
            <w:vAlign w:val="bottom"/>
            <w:gridSpan w:val="3"/>
          </w:tcPr>
          <w:p>
            <w:pPr>
              <w:jc w:val="right"/>
              <w:spacing w:after="0"/>
              <w:rPr>
                <w:rFonts w:ascii="Arial" w:cs="Arial" w:eastAsia="Arial" w:hAnsi="Arial"/>
                <w:sz w:val="17"/>
                <w:szCs w:val="17"/>
                <w:color w:val="0000EE"/>
              </w:rPr>
            </w:pPr>
            <w:hyperlink w:anchor="page5">
              <w:r>
                <w:rPr>
                  <w:rFonts w:ascii="Arial" w:cs="Arial" w:eastAsia="Arial" w:hAnsi="Arial"/>
                  <w:sz w:val="17"/>
                  <w:szCs w:val="17"/>
                  <w:color w:val="0000EE"/>
                </w:rPr>
                <w:t>5</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80" w:type="dxa"/>
            <w:vAlign w:val="bottom"/>
            <w:gridSpan w:val="12"/>
          </w:tcPr>
          <w:p>
            <w:pPr>
              <w:spacing w:after="0"/>
              <w:rPr>
                <w:rFonts w:ascii="Arial" w:cs="Arial" w:eastAsia="Arial" w:hAnsi="Arial"/>
                <w:sz w:val="16"/>
                <w:szCs w:val="16"/>
                <w:color w:val="0000EE"/>
                <w:w w:val="90"/>
              </w:rPr>
            </w:pPr>
            <w:hyperlink w:anchor="page6">
              <w:r>
                <w:rPr>
                  <w:rFonts w:ascii="Arial" w:cs="Arial" w:eastAsia="Arial" w:hAnsi="Arial"/>
                  <w:sz w:val="16"/>
                  <w:szCs w:val="16"/>
                  <w:color w:val="0000EE"/>
                  <w:w w:val="90"/>
                </w:rPr>
                <w:t>Consolidated Statements of Cash Flows for the Six Months Ended June 30, 2018 and 2017</w:t>
              </w:r>
            </w:hyperlink>
          </w:p>
        </w:tc>
        <w:tc>
          <w:tcPr>
            <w:tcW w:w="1920" w:type="dxa"/>
            <w:vAlign w:val="bottom"/>
            <w:gridSpan w:val="2"/>
          </w:tcPr>
          <w:p>
            <w:pPr>
              <w:spacing w:after="0"/>
              <w:rPr>
                <w:sz w:val="21"/>
                <w:szCs w:val="21"/>
                <w:color w:val="auto"/>
              </w:rPr>
            </w:pPr>
          </w:p>
        </w:tc>
        <w:tc>
          <w:tcPr>
            <w:tcW w:w="1820" w:type="dxa"/>
            <w:vAlign w:val="bottom"/>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6">
              <w:r>
                <w:rPr>
                  <w:rFonts w:ascii="Arial" w:cs="Arial" w:eastAsia="Arial" w:hAnsi="Arial"/>
                  <w:sz w:val="17"/>
                  <w:szCs w:val="17"/>
                  <w:color w:val="0000EE"/>
                </w:rPr>
                <w:t>6</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80" w:type="dxa"/>
            <w:vAlign w:val="bottom"/>
            <w:gridSpan w:val="12"/>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Notes to the Unaudited Consolidated Financial Statements</w:t>
              </w:r>
            </w:hyperlink>
          </w:p>
        </w:tc>
        <w:tc>
          <w:tcPr>
            <w:tcW w:w="3740" w:type="dxa"/>
            <w:vAlign w:val="bottom"/>
            <w:gridSpan w:val="3"/>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7">
              <w:r>
                <w:rPr>
                  <w:rFonts w:ascii="Arial" w:cs="Arial" w:eastAsia="Arial" w:hAnsi="Arial"/>
                  <w:sz w:val="17"/>
                  <w:szCs w:val="17"/>
                  <w:color w:val="0000EE"/>
                </w:rPr>
                <w:t>7</w:t>
              </w:r>
            </w:hyperlink>
          </w:p>
        </w:tc>
      </w:tr>
      <w:tr>
        <w:trPr>
          <w:trHeight w:val="20"/>
        </w:trPr>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2.</w:t>
            </w:r>
          </w:p>
        </w:tc>
        <w:tc>
          <w:tcPr>
            <w:tcW w:w="620" w:type="dxa"/>
            <w:vAlign w:val="bottom"/>
            <w:gridSpan w:val="2"/>
          </w:tcPr>
          <w:p>
            <w:pPr>
              <w:spacing w:after="0"/>
              <w:rPr>
                <w:sz w:val="21"/>
                <w:szCs w:val="21"/>
                <w:color w:val="auto"/>
              </w:rPr>
            </w:pPr>
          </w:p>
        </w:tc>
        <w:tc>
          <w:tcPr>
            <w:tcW w:w="5800" w:type="dxa"/>
            <w:vAlign w:val="bottom"/>
            <w:gridSpan w:val="11"/>
          </w:tcPr>
          <w:p>
            <w:pPr>
              <w:spacing w:after="0"/>
              <w:rPr>
                <w:rFonts w:ascii="Arial" w:cs="Arial" w:eastAsia="Arial" w:hAnsi="Arial"/>
                <w:sz w:val="16"/>
                <w:szCs w:val="16"/>
                <w:color w:val="0000EE"/>
                <w:w w:val="91"/>
              </w:rPr>
            </w:pPr>
            <w:hyperlink w:anchor="page21">
              <w:r>
                <w:rPr>
                  <w:rFonts w:ascii="Arial" w:cs="Arial" w:eastAsia="Arial" w:hAnsi="Arial"/>
                  <w:sz w:val="16"/>
                  <w:szCs w:val="16"/>
                  <w:color w:val="0000EE"/>
                  <w:w w:val="91"/>
                </w:rPr>
                <w:t>Management's Discussion and Analysis of Financial Condition and Results of Operations</w:t>
              </w:r>
            </w:hyperlink>
          </w:p>
        </w:tc>
        <w:tc>
          <w:tcPr>
            <w:tcW w:w="3820" w:type="dxa"/>
            <w:vAlign w:val="bottom"/>
            <w:gridSpan w:val="4"/>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21">
              <w:r>
                <w:rPr>
                  <w:rFonts w:ascii="Arial" w:cs="Arial" w:eastAsia="Arial" w:hAnsi="Arial"/>
                  <w:sz w:val="17"/>
                  <w:szCs w:val="17"/>
                  <w:color w:val="0000EE"/>
                </w:rPr>
                <w:t>21</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3.</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w w:val="92"/>
              </w:rPr>
            </w:pPr>
            <w:hyperlink w:anchor="page39">
              <w:r>
                <w:rPr>
                  <w:rFonts w:ascii="Arial" w:cs="Arial" w:eastAsia="Arial" w:hAnsi="Arial"/>
                  <w:sz w:val="16"/>
                  <w:szCs w:val="16"/>
                  <w:color w:val="0000EE"/>
                  <w:w w:val="92"/>
                </w:rPr>
                <w:t>Quantitative and Qualitative Disclosures About Market Risk</w:t>
              </w:r>
            </w:hyperlink>
          </w:p>
        </w:tc>
        <w:tc>
          <w:tcPr>
            <w:tcW w:w="1900" w:type="dxa"/>
            <w:vAlign w:val="bottom"/>
            <w:gridSpan w:val="2"/>
          </w:tcPr>
          <w:p>
            <w:pPr>
              <w:spacing w:after="0"/>
              <w:rPr>
                <w:sz w:val="20"/>
                <w:szCs w:val="20"/>
                <w:color w:val="auto"/>
              </w:rPr>
            </w:pPr>
          </w:p>
        </w:tc>
        <w:tc>
          <w:tcPr>
            <w:tcW w:w="3820" w:type="dxa"/>
            <w:vAlign w:val="bottom"/>
            <w:gridSpan w:val="4"/>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9">
              <w:r>
                <w:rPr>
                  <w:rFonts w:ascii="Arial" w:cs="Arial" w:eastAsia="Arial" w:hAnsi="Arial"/>
                  <w:sz w:val="17"/>
                  <w:szCs w:val="17"/>
                  <w:color w:val="0000EE"/>
                </w:rPr>
                <w:t>39</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5720" w:type="dxa"/>
            <w:vAlign w:val="bottom"/>
            <w:tcBorders>
              <w:left w:val="single" w:sz="8" w:color="0000EE"/>
            </w:tcBorders>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4.</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Controls and Procedures</w:t>
              </w:r>
            </w:hyperlink>
          </w:p>
        </w:tc>
        <w:tc>
          <w:tcPr>
            <w:tcW w:w="5720" w:type="dxa"/>
            <w:vAlign w:val="bottom"/>
            <w:gridSpan w:val="6"/>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0">
              <w:r>
                <w:rPr>
                  <w:rFonts w:ascii="Arial" w:cs="Arial" w:eastAsia="Arial" w:hAnsi="Arial"/>
                  <w:sz w:val="17"/>
                  <w:szCs w:val="17"/>
                  <w:color w:val="0000EE"/>
                </w:rPr>
                <w:t>40</w:t>
              </w:r>
            </w:hyperlink>
          </w:p>
        </w:tc>
      </w:tr>
      <w:tr>
        <w:trPr>
          <w:trHeight w:val="20"/>
        </w:trPr>
        <w:tc>
          <w:tcPr>
            <w:tcW w:w="4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2660" w:type="dxa"/>
            <w:vAlign w:val="bottom"/>
            <w:tcBorders>
              <w:bottom w:val="single" w:sz="8" w:color="0000EE"/>
            </w:tcBorders>
            <w:gridSpan w:val="9"/>
          </w:tcPr>
          <w:p>
            <w:pPr>
              <w:spacing w:after="0"/>
              <w:rPr>
                <w:rFonts w:ascii="Arial" w:cs="Arial" w:eastAsia="Arial" w:hAnsi="Arial"/>
                <w:sz w:val="17"/>
                <w:szCs w:val="17"/>
                <w:b w:val="1"/>
                <w:bCs w:val="1"/>
                <w:color w:val="0000EE"/>
              </w:rPr>
            </w:pPr>
            <w:hyperlink w:anchor="page40">
              <w:r>
                <w:rPr>
                  <w:rFonts w:ascii="Arial" w:cs="Arial" w:eastAsia="Arial" w:hAnsi="Arial"/>
                  <w:sz w:val="17"/>
                  <w:szCs w:val="17"/>
                  <w:b w:val="1"/>
                  <w:bCs w:val="1"/>
                  <w:color w:val="0000EE"/>
                </w:rPr>
                <w:t>PART II—OTHER INFORMATION</w:t>
              </w:r>
            </w:hyperlink>
          </w:p>
        </w:tc>
        <w:tc>
          <w:tcPr>
            <w:tcW w:w="8040" w:type="dxa"/>
            <w:vAlign w:val="bottom"/>
            <w:gridSpan w:val="10"/>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1.</w:t>
            </w:r>
          </w:p>
        </w:tc>
        <w:tc>
          <w:tcPr>
            <w:tcW w:w="620" w:type="dxa"/>
            <w:vAlign w:val="bottom"/>
            <w:gridSpan w:val="2"/>
          </w:tcPr>
          <w:p>
            <w:pPr>
              <w:spacing w:after="0"/>
              <w:rPr>
                <w:sz w:val="21"/>
                <w:szCs w:val="21"/>
                <w:color w:val="auto"/>
              </w:rPr>
            </w:pPr>
          </w:p>
        </w:tc>
        <w:tc>
          <w:tcPr>
            <w:tcW w:w="1200" w:type="dxa"/>
            <w:vAlign w:val="bottom"/>
            <w:gridSpan w:val="4"/>
          </w:tcPr>
          <w:p>
            <w:pPr>
              <w:spacing w:after="0"/>
              <w:rPr>
                <w:rFonts w:ascii="Arial" w:cs="Arial" w:eastAsia="Arial" w:hAnsi="Arial"/>
                <w:sz w:val="16"/>
                <w:szCs w:val="16"/>
                <w:color w:val="0000EE"/>
                <w:w w:val="89"/>
              </w:rPr>
            </w:pPr>
            <w:hyperlink w:anchor="page40">
              <w:r>
                <w:rPr>
                  <w:rFonts w:ascii="Arial" w:cs="Arial" w:eastAsia="Arial" w:hAnsi="Arial"/>
                  <w:sz w:val="16"/>
                  <w:szCs w:val="16"/>
                  <w:color w:val="0000EE"/>
                  <w:w w:val="89"/>
                </w:rPr>
                <w:t>Legal Proceedings</w:t>
              </w:r>
            </w:hyperlink>
          </w:p>
        </w:tc>
        <w:tc>
          <w:tcPr>
            <w:tcW w:w="8420" w:type="dxa"/>
            <w:vAlign w:val="bottom"/>
            <w:gridSpan w:val="11"/>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0">
              <w:r>
                <w:rPr>
                  <w:rFonts w:ascii="Arial" w:cs="Arial" w:eastAsia="Arial" w:hAnsi="Arial"/>
                  <w:sz w:val="17"/>
                  <w:szCs w:val="17"/>
                  <w:color w:val="0000EE"/>
                </w:rPr>
                <w:t>40</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1080" w:type="dxa"/>
            <w:vAlign w:val="bottom"/>
            <w:gridSpan w:val="4"/>
          </w:tcPr>
          <w:p>
            <w:pPr>
              <w:spacing w:after="0"/>
              <w:rPr>
                <w:sz w:val="20"/>
                <w:szCs w:val="20"/>
                <w:color w:val="auto"/>
              </w:rPr>
            </w:pPr>
            <w:r>
              <w:rPr>
                <w:rFonts w:ascii="Arial" w:cs="Arial" w:eastAsia="Arial" w:hAnsi="Arial"/>
                <w:sz w:val="16"/>
                <w:szCs w:val="16"/>
                <w:color w:val="auto"/>
              </w:rPr>
              <w:t>Item 1A.</w:t>
            </w:r>
          </w:p>
        </w:tc>
        <w:tc>
          <w:tcPr>
            <w:tcW w:w="9620" w:type="dxa"/>
            <w:vAlign w:val="bottom"/>
            <w:gridSpan w:val="15"/>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Risk Factors</w:t>
              </w:r>
            </w:hyperlink>
          </w:p>
        </w:tc>
        <w:tc>
          <w:tcPr>
            <w:tcW w:w="340" w:type="dxa"/>
            <w:vAlign w:val="bottom"/>
            <w:gridSpan w:val="3"/>
          </w:tcPr>
          <w:p>
            <w:pPr>
              <w:jc w:val="right"/>
              <w:spacing w:after="0"/>
              <w:rPr>
                <w:rFonts w:ascii="Arial" w:cs="Arial" w:eastAsia="Arial" w:hAnsi="Arial"/>
                <w:sz w:val="17"/>
                <w:szCs w:val="17"/>
                <w:color w:val="0000EE"/>
              </w:rPr>
            </w:pPr>
            <w:hyperlink w:anchor="page41">
              <w:r>
                <w:rPr>
                  <w:rFonts w:ascii="Arial" w:cs="Arial" w:eastAsia="Arial" w:hAnsi="Arial"/>
                  <w:sz w:val="17"/>
                  <w:szCs w:val="17"/>
                  <w:color w:val="0000EE"/>
                </w:rPr>
                <w:t>41</w:t>
              </w:r>
            </w:hyperlink>
          </w:p>
        </w:tc>
      </w:tr>
      <w:tr>
        <w:trPr>
          <w:trHeight w:val="20"/>
        </w:trPr>
        <w:tc>
          <w:tcPr>
            <w:tcW w:w="56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20" w:type="dxa"/>
            <w:vAlign w:val="bottom"/>
            <w:gridSpan w:val="15"/>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Unregistered Sales of Equity Securities and Use of Proceeds</w:t>
              </w:r>
            </w:hyperlink>
          </w:p>
        </w:tc>
        <w:tc>
          <w:tcPr>
            <w:tcW w:w="340" w:type="dxa"/>
            <w:vAlign w:val="bottom"/>
            <w:gridSpan w:val="3"/>
          </w:tcPr>
          <w:p>
            <w:pPr>
              <w:jc w:val="right"/>
              <w:spacing w:after="0"/>
              <w:rPr>
                <w:rFonts w:ascii="Arial" w:cs="Arial" w:eastAsia="Arial" w:hAnsi="Arial"/>
                <w:sz w:val="17"/>
                <w:szCs w:val="17"/>
                <w:color w:val="0000EE"/>
              </w:rPr>
            </w:pPr>
            <w:hyperlink w:anchor="page41">
              <w:r>
                <w:rPr>
                  <w:rFonts w:ascii="Arial" w:cs="Arial" w:eastAsia="Arial" w:hAnsi="Arial"/>
                  <w:sz w:val="17"/>
                  <w:szCs w:val="17"/>
                  <w:color w:val="0000EE"/>
                </w:rPr>
                <w:t>41</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20" w:type="dxa"/>
            <w:vAlign w:val="bottom"/>
            <w:gridSpan w:val="7"/>
            <w:shd w:val="clear" w:color="auto" w:fill="0000EE"/>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6.</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Exhibits</w:t>
              </w:r>
            </w:hyperlink>
          </w:p>
        </w:tc>
        <w:tc>
          <w:tcPr>
            <w:tcW w:w="5720" w:type="dxa"/>
            <w:vAlign w:val="bottom"/>
            <w:gridSpan w:val="6"/>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2">
              <w:r>
                <w:rPr>
                  <w:rFonts w:ascii="Arial" w:cs="Arial" w:eastAsia="Arial" w:hAnsi="Arial"/>
                  <w:sz w:val="17"/>
                  <w:szCs w:val="17"/>
                  <w:color w:val="0000EE"/>
                </w:rPr>
                <w:t>42</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940" w:type="dxa"/>
            <w:vAlign w:val="bottom"/>
            <w:gridSpan w:val="1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5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gridSpan w:val="2"/>
          </w:tcPr>
          <w:p>
            <w:pPr>
              <w:spacing w:after="0"/>
              <w:rPr>
                <w:rFonts w:ascii="Arial" w:cs="Arial" w:eastAsia="Arial" w:hAnsi="Arial"/>
                <w:sz w:val="16"/>
                <w:szCs w:val="16"/>
                <w:color w:val="0000EE"/>
                <w:w w:val="86"/>
              </w:rPr>
            </w:pPr>
            <w:hyperlink w:anchor="page43">
              <w:r>
                <w:rPr>
                  <w:rFonts w:ascii="Arial" w:cs="Arial" w:eastAsia="Arial" w:hAnsi="Arial"/>
                  <w:sz w:val="16"/>
                  <w:szCs w:val="16"/>
                  <w:color w:val="0000EE"/>
                  <w:w w:val="86"/>
                </w:rPr>
                <w:t>Signatures</w:t>
              </w:r>
            </w:hyperlink>
          </w:p>
        </w:tc>
        <w:tc>
          <w:tcPr>
            <w:tcW w:w="8940" w:type="dxa"/>
            <w:vAlign w:val="bottom"/>
            <w:gridSpan w:val="13"/>
          </w:tcPr>
          <w:p>
            <w:pPr>
              <w:spacing w:after="0"/>
              <w:rPr>
                <w:sz w:val="24"/>
                <w:szCs w:val="24"/>
                <w:color w:val="auto"/>
              </w:rPr>
            </w:pPr>
          </w:p>
        </w:tc>
        <w:tc>
          <w:tcPr>
            <w:tcW w:w="340" w:type="dxa"/>
            <w:vAlign w:val="bottom"/>
            <w:gridSpan w:val="3"/>
          </w:tcPr>
          <w:p>
            <w:pPr>
              <w:jc w:val="right"/>
              <w:spacing w:after="0"/>
              <w:rPr>
                <w:rFonts w:ascii="Arial" w:cs="Arial" w:eastAsia="Arial" w:hAnsi="Arial"/>
                <w:sz w:val="17"/>
                <w:szCs w:val="17"/>
                <w:color w:val="0000EE"/>
              </w:rPr>
            </w:pPr>
            <w:hyperlink w:anchor="page43">
              <w:r>
                <w:rPr>
                  <w:rFonts w:ascii="Arial" w:cs="Arial" w:eastAsia="Arial" w:hAnsi="Arial"/>
                  <w:sz w:val="17"/>
                  <w:szCs w:val="17"/>
                  <w:color w:val="0000EE"/>
                </w:rPr>
                <w:t>43</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040"/>
          </w:cols>
          <w:pgMar w:left="440" w:top="364" w:right="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r>
      <w:tr>
        <w:trPr>
          <w:trHeight w:val="152"/>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3"/>
                <w:szCs w:val="13"/>
                <w:color w:val="auto"/>
              </w:rPr>
            </w:pPr>
          </w:p>
        </w:tc>
        <w:tc>
          <w:tcPr>
            <w:tcW w:w="11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1,163,369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819,144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72,914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81,374</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Trade accounts receivable, net of allowances for doubtful accounts of $23,168 at June 30, 2018 and $20,958 at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December 31, 2017</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697,008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744,879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231,851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244,789</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2,165,142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1,890,186</w:t>
            </w:r>
          </w:p>
        </w:tc>
      </w:tr>
      <w:tr>
        <w:trPr>
          <w:trHeight w:val="229"/>
        </w:trPr>
        <w:tc>
          <w:tcPr>
            <w:tcW w:w="8800" w:type="dxa"/>
            <w:vAlign w:val="bottom"/>
          </w:tcPr>
          <w:p>
            <w:pPr>
              <w:ind w:left="40"/>
              <w:spacing w:after="0"/>
              <w:rPr>
                <w:sz w:val="20"/>
                <w:szCs w:val="20"/>
                <w:color w:val="auto"/>
              </w:rPr>
            </w:pPr>
            <w:r>
              <w:rPr>
                <w:rFonts w:ascii="Arial" w:cs="Arial" w:eastAsia="Arial" w:hAnsi="Arial"/>
                <w:sz w:val="18"/>
                <w:szCs w:val="18"/>
                <w:color w:val="auto"/>
                <w:w w:val="92"/>
              </w:rPr>
              <w:t>Property and equipment, net of accumulated depreciation of $350,923 at June 30, 2018 and $340,128 at December 31,</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800" w:type="dxa"/>
            <w:vAlign w:val="bottom"/>
          </w:tcPr>
          <w:p>
            <w:pPr>
              <w:ind w:left="20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274,693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268,303</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719,162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717,386</w:t>
            </w:r>
          </w:p>
        </w:tc>
      </w:tr>
      <w:tr>
        <w:trPr>
          <w:trHeight w:val="229"/>
        </w:trPr>
        <w:tc>
          <w:tcPr>
            <w:tcW w:w="8800" w:type="dxa"/>
            <w:vAlign w:val="bottom"/>
          </w:tcPr>
          <w:p>
            <w:pPr>
              <w:ind w:left="40"/>
              <w:spacing w:after="0"/>
              <w:rPr>
                <w:sz w:val="20"/>
                <w:szCs w:val="20"/>
                <w:color w:val="auto"/>
              </w:rPr>
            </w:pPr>
            <w:r>
              <w:rPr>
                <w:rFonts w:ascii="Arial" w:cs="Arial" w:eastAsia="Arial" w:hAnsi="Arial"/>
                <w:sz w:val="18"/>
                <w:szCs w:val="18"/>
                <w:color w:val="auto"/>
                <w:w w:val="90"/>
              </w:rPr>
              <w:t>Acquired intangible assets, net of accumulated amortization of $187,054 at June 30, 2018 and $179,142 at December 31,</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800" w:type="dxa"/>
            <w:vAlign w:val="bottom"/>
          </w:tcPr>
          <w:p>
            <w:pPr>
              <w:ind w:left="20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135,639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150,543</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Other assets, net of accumulated amortization of $47,317 at June 30, 2018 and $44,469 at December 31, 2017</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112,325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113,611</w:t>
            </w:r>
          </w:p>
        </w:tc>
      </w:tr>
      <w:tr>
        <w:trPr>
          <w:trHeight w:val="297"/>
        </w:trPr>
        <w:tc>
          <w:tcPr>
            <w:tcW w:w="880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3,406,961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3,140,029</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EQUITY</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391,743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494,841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718,320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759,789</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618,770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41,288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53,596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54,437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50,700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51,996</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1,838,464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1,407,720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372,005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404,012</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9,753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54,009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54,969</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62,943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64,097</w:t>
            </w: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2,336,531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1,940,551</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0"/>
              </w:rPr>
              <w:t>Common Stock, $0.02 par value. 90,000,000 shares authorized; 59,104,973 issued at June 30, 2018 and 58,892,744</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issued at December 31, 2017</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1,178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paid-in-capital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1,084,536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1,072,005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Treasury stock, at cost, 8,123,102 shares at June 30, 2018 and 6,084,586 shares at December 31, 2017</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(393,138)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(217,161)</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507,091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436,954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(130,006)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(94,458)</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1,069,664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1,198,518</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960</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1,070,430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1,199,478</w:t>
            </w:r>
          </w:p>
        </w:tc>
      </w:tr>
      <w:tr>
        <w:trPr>
          <w:trHeight w:val="257"/>
        </w:trPr>
        <w:tc>
          <w:tcPr>
            <w:tcW w:w="8800" w:type="dxa"/>
            <w:vAlign w:val="bottom"/>
          </w:tcPr>
          <w:p>
            <w:pPr>
              <w:ind w:left="8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3,406,961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3,140,029</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125" w:right="239" w:bottom="584"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584"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r>
      <w:tr>
        <w:trPr>
          <w:trHeight w:val="264"/>
        </w:trPr>
        <w:tc>
          <w:tcPr>
            <w:tcW w:w="546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622,224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536,563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1,172,739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1,009,943</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361,512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317,346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704,836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613,953</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91,723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78,620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177,429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150,483</w:t>
            </w: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48,442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102,368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90,429</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Acquired intangible assets impairment</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2,286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2,286</w:t>
            </w: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5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23,178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52,265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44,815</w:t>
            </w:r>
          </w:p>
        </w:tc>
      </w:tr>
      <w:tr>
        <w:trPr>
          <w:trHeight w:val="237"/>
        </w:trPr>
        <w:tc>
          <w:tcPr>
            <w:tcW w:w="546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5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531,855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469,872</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1,036,898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901,966</w:t>
            </w:r>
          </w:p>
        </w:tc>
      </w:tr>
      <w:tr>
        <w:trPr>
          <w:trHeight w:val="27"/>
        </w:trPr>
        <w:tc>
          <w:tcPr>
            <w:tcW w:w="54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90,369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66,691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135,841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107,977</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1,629</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(8,376)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(15,524)</w:t>
            </w: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unconsolidated affiliates</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Foreign currency exchange (loss) gain, net</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11,141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12,856</w:t>
            </w:r>
          </w:p>
        </w:tc>
      </w:tr>
      <w:tr>
        <w:trPr>
          <w:trHeight w:val="27"/>
        </w:trPr>
        <w:tc>
          <w:tcPr>
            <w:tcW w:w="5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gains</w:t>
            </w:r>
          </w:p>
        </w:tc>
        <w:tc>
          <w:tcPr>
            <w:tcW w:w="5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37"/>
        </w:trPr>
        <w:tc>
          <w:tcPr>
            <w:tcW w:w="5460" w:type="dxa"/>
            <w:vAlign w:val="bottom"/>
          </w:tcPr>
          <w:p>
            <w:pPr>
              <w:ind w:left="600"/>
              <w:spacing w:after="0"/>
              <w:rPr>
                <w:sz w:val="20"/>
                <w:szCs w:val="20"/>
                <w:color w:val="auto"/>
              </w:rPr>
            </w:pPr>
            <w:r>
              <w:rPr>
                <w:rFonts w:ascii="Arial" w:cs="Arial" w:eastAsia="Arial" w:hAnsi="Arial"/>
                <w:sz w:val="18"/>
                <w:szCs w:val="18"/>
                <w:color w:val="auto"/>
              </w:rPr>
              <w:t>Other (expense) income, net</w:t>
            </w:r>
          </w:p>
        </w:tc>
        <w:tc>
          <w:tcPr>
            <w:tcW w:w="5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(30,306)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3,242</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(1,004)</w:t>
            </w:r>
          </w:p>
        </w:tc>
      </w:tr>
      <w:tr>
        <w:trPr>
          <w:trHeight w:val="27"/>
        </w:trPr>
        <w:tc>
          <w:tcPr>
            <w:tcW w:w="54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69,933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106,973</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(18,586)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(27,557)</w:t>
            </w:r>
          </w:p>
        </w:tc>
      </w:tr>
      <w:tr>
        <w:trPr>
          <w:trHeight w:val="27"/>
        </w:trPr>
        <w:tc>
          <w:tcPr>
            <w:tcW w:w="54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51,347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69,980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79,416</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Net loss attributable to noncontrolling interests</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72</w:t>
            </w:r>
          </w:p>
        </w:tc>
      </w:tr>
      <w:tr>
        <w:trPr>
          <w:trHeight w:val="27"/>
        </w:trPr>
        <w:tc>
          <w:tcPr>
            <w:tcW w:w="54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43,724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51,365</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70,137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79,488</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5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Earnings per share attributable to Euronet Worldwide, Inc. stockholders:</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304"/>
        </w:trPr>
        <w:tc>
          <w:tcPr>
            <w:tcW w:w="5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0.98</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1.52</w:t>
            </w:r>
          </w:p>
        </w:tc>
      </w:tr>
      <w:tr>
        <w:trPr>
          <w:trHeight w:val="251"/>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0.93</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304"/>
        </w:trPr>
        <w:tc>
          <w:tcPr>
            <w:tcW w:w="5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51,226,898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5"/>
              </w:rPr>
              <w:t>52,453,752</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51,563,090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5"/>
              </w:rPr>
              <w:t>52,399,848</w:t>
            </w:r>
          </w:p>
        </w:tc>
      </w:tr>
      <w:tr>
        <w:trPr>
          <w:trHeight w:val="251"/>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53,492,835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55,210,993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53,871,279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55,122,618</w:t>
            </w:r>
          </w:p>
        </w:tc>
      </w:tr>
      <w:tr>
        <w:trPr>
          <w:trHeight w:val="20"/>
        </w:trPr>
        <w:tc>
          <w:tcPr>
            <w:tcW w:w="596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1"/>
        </w:trPr>
        <w:tc>
          <w:tcPr>
            <w:tcW w:w="8800" w:type="dxa"/>
            <w:vAlign w:val="bottom"/>
            <w:gridSpan w:val="8"/>
          </w:tcPr>
          <w:p>
            <w:pPr>
              <w:jc w:val="center"/>
              <w:ind w:left="2530"/>
              <w:spacing w:after="0"/>
              <w:rPr>
                <w:sz w:val="20"/>
                <w:szCs w:val="20"/>
                <w:color w:val="auto"/>
              </w:rPr>
            </w:pPr>
            <w:r>
              <w:rPr>
                <w:rFonts w:ascii="Arial" w:cs="Arial" w:eastAsia="Arial" w:hAnsi="Arial"/>
                <w:sz w:val="18"/>
                <w:szCs w:val="18"/>
                <w:color w:val="auto"/>
                <w:w w:val="89"/>
              </w:rPr>
              <w:t>See accompanying notes to the unaudited consolidated financial statements.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5460" w:type="dxa"/>
            <w:vAlign w:val="bottom"/>
          </w:tcPr>
          <w:p>
            <w:pPr>
              <w:spacing w:after="0"/>
              <w:rPr>
                <w:sz w:val="24"/>
                <w:szCs w:val="24"/>
                <w:color w:val="auto"/>
              </w:rPr>
            </w:pP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660"/>
        <w:spacing w:after="0" w:line="266" w:lineRule="auto"/>
        <w:rPr>
          <w:sz w:val="20"/>
          <w:szCs w:val="20"/>
          <w:color w:val="auto"/>
        </w:rPr>
      </w:pPr>
      <w:r>
        <w:rPr>
          <w:rFonts w:ascii="Arial" w:cs="Arial" w:eastAsia="Arial" w:hAnsi="Arial"/>
          <w:sz w:val="18"/>
          <w:szCs w:val="18"/>
          <w:b w:val="1"/>
          <w:bCs w:val="1"/>
          <w:color w:val="auto"/>
        </w:rPr>
        <w:t>EURONET WORLDWIDE, INC. AND SUBSIDIARIES CONSOLIDATED STATEMENTS OF COMPREHENSIVE INCOME (LOSS) (Unaudited,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43,636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51,347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69,980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79,416</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Translation adjustment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(58,533)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51,188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70,608</w:t>
            </w: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102,535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34,395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150,024</w:t>
            </w: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Comprehensive loss (income) attributable to noncontrolling interests</w:t>
            </w:r>
          </w:p>
        </w:tc>
        <w:tc>
          <w:tcPr>
            <w:tcW w:w="3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(loss) income attributable to Euronet Worldwide,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102,455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34,589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149,974</w:t>
            </w: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2017</w:t>
            </w: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79,416</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44,815</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8,579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8,092</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Unrealized foreign exchange loss (gain),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(12,856)</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from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Accretion of convertible debt discount and amortization of debt issuance costs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6,994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6,671</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Non-cash impairment of acquired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2,286</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Changes in working capital, net of amounts acquired:</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35,456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92,656</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55,499</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(99,237)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(120,919)</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(35,553)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(46,042)</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noncurrent assets and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(3,833)</w:t>
            </w:r>
          </w:p>
        </w:tc>
      </w:tr>
      <w:tr>
        <w:trPr>
          <w:trHeight w:val="237"/>
        </w:trPr>
        <w:tc>
          <w:tcPr>
            <w:tcW w:w="878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69,304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103,241</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(47,940)</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Purchases of other long-term assets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(3,159)</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r>
      <w:tr>
        <w:trPr>
          <w:trHeight w:val="237"/>
        </w:trPr>
        <w:tc>
          <w:tcPr>
            <w:tcW w:w="878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(68,990)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(50,628)</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Proceeds from issuance of shares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4,626</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Repurchase of shares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Borrowings from revolving credit agreements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2,573,941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1,214,687</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Repayments of revolving credit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(2,333,885)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(1,052,187)</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Repayments of long-term debt obligations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(4,219)</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Repayments of 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w:t>
            </w: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Borrowings from short-term debt obligations, net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302,841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95,022</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r>
      <w:tr>
        <w:trPr>
          <w:trHeight w:val="237"/>
        </w:trPr>
        <w:tc>
          <w:tcPr>
            <w:tcW w:w="8780" w:type="dxa"/>
            <w:vAlign w:val="bottom"/>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360,922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253,575</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41,421</w:t>
            </w:r>
          </w:p>
        </w:tc>
      </w:tr>
      <w:tr>
        <w:trPr>
          <w:trHeight w:val="243"/>
        </w:trPr>
        <w:tc>
          <w:tcPr>
            <w:tcW w:w="8780" w:type="dxa"/>
            <w:vAlign w:val="bottom"/>
          </w:tcPr>
          <w:p>
            <w:pPr>
              <w:ind w:left="600"/>
              <w:spacing w:after="0"/>
              <w:rPr>
                <w:sz w:val="20"/>
                <w:szCs w:val="20"/>
                <w:color w:val="auto"/>
              </w:rPr>
            </w:pPr>
            <w:r>
              <w:rPr>
                <w:rFonts w:ascii="Arial" w:cs="Arial" w:eastAsia="Arial" w:hAnsi="Arial"/>
                <w:sz w:val="18"/>
                <w:szCs w:val="18"/>
                <w:color w:val="auto"/>
              </w:rPr>
              <w:t>Increase in cash and cash equivalents and restricted cash</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335,765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347,609</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900,518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812,088</w:t>
            </w:r>
          </w:p>
        </w:tc>
      </w:tr>
      <w:tr>
        <w:trPr>
          <w:trHeight w:val="230"/>
        </w:trPr>
        <w:tc>
          <w:tcPr>
            <w:tcW w:w="87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57"/>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1,236,283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1,159,697</w:t>
            </w:r>
          </w:p>
        </w:tc>
      </w:tr>
      <w:tr>
        <w:trPr>
          <w:trHeight w:val="20"/>
        </w:trPr>
        <w:tc>
          <w:tcPr>
            <w:tcW w:w="8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7"/>
        </w:trPr>
        <w:tc>
          <w:tcPr>
            <w:tcW w:w="8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160"/>
              <w:spacing w:after="0"/>
              <w:rPr>
                <w:sz w:val="20"/>
                <w:szCs w:val="20"/>
                <w:color w:val="auto"/>
              </w:rPr>
            </w:pPr>
            <w:r>
              <w:rPr>
                <w:rFonts w:ascii="Arial" w:cs="Arial" w:eastAsia="Arial" w:hAnsi="Arial"/>
                <w:sz w:val="18"/>
                <w:szCs w:val="18"/>
                <w:color w:val="auto"/>
              </w:rPr>
              <w:t>Interest paid during the period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9,857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9,873</w:t>
            </w:r>
          </w:p>
        </w:tc>
      </w:tr>
      <w:tr>
        <w:trPr>
          <w:trHeight w:val="27"/>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taxes paid during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24,949</w:t>
            </w:r>
          </w:p>
        </w:tc>
      </w:tr>
      <w:tr>
        <w:trPr>
          <w:trHeight w:val="230"/>
        </w:trPr>
        <w:tc>
          <w:tcPr>
            <w:tcW w:w="8780" w:type="dxa"/>
            <w:vAlign w:val="bottom"/>
          </w:tcPr>
          <w:p>
            <w:pPr>
              <w:ind w:left="2960"/>
              <w:spacing w:after="0"/>
              <w:rPr>
                <w:sz w:val="20"/>
                <w:szCs w:val="20"/>
                <w:color w:val="auto"/>
              </w:rPr>
            </w:pPr>
            <w:r>
              <w:rPr>
                <w:rFonts w:ascii="Arial" w:cs="Arial" w:eastAsia="Arial" w:hAnsi="Arial"/>
                <w:sz w:val="18"/>
                <w:szCs w:val="18"/>
                <w:color w:val="auto"/>
                <w:w w:val="94"/>
              </w:rPr>
              <w:t>See accompanying notes to the unaudited consolidated financial statements.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5" w:right="25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Euronet Worldwide, Inc. (together with its subsidiaries, the “Company” or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software solutions, electronic distribution of prepaid mobile airtime and other electronic payment products, foreign currency exchange services and global money transfer services.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and cash flows for the interim periods. The unaudited consolidated financial statements should be read in conjunction with the audited consolidated financial statements of the Company for the year ended December 31, 2017, including the notes thereto, set forth in the Company’s 2017 Annual Report on Form 10-K. Certain amounts in prior years have been reclassified to conform to the current year's presentation.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reported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Euronet’s EFT Processing Segment experiences its heaviest demand for dynamic currency conversion ("DCC") services during the third quarter of the fiscal year, coinciding with the tourism season. Additionally, the EFT Processing and epay Segments are impacted by seasonality during the fourth quarter and the first quarter of each year due to higher transaction levels during the holiday season and lower levels following the holiday season. Seasonality in the Money Transfer Segment varies by regions of the world. In most markets, Euronet usually experiences increased demand for money transfer services from the month of May through the fourth quarter of each year, coinciding with the increase in worker migration patterns and various holidays, and experiences its lowest transaction levels during the first quarter of each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AND ADOPTED ACCOUNTING PRONOUNCEMENTS</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(Topic 606)” </w:t>
      </w:r>
      <w:r>
        <w:rPr>
          <w:rFonts w:ascii="Arial" w:cs="Arial" w:eastAsia="Arial" w:hAnsi="Arial"/>
          <w:sz w:val="18"/>
          <w:szCs w:val="18"/>
          <w:color w:val="auto"/>
        </w:rPr>
        <w:t>(“Topic 606”), and subsequently modified the standard with several ASUs. The Company adopted the standard on January 1, 2018</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historic accounting under Topic 605.</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completed its review of customer contracts relative to the requirements of Topic 606 and concluded that revenues from certain customer contracts in the epay Segment should be recorded differently under the principal versus agent guidance of Topic 606. With respect to those contracts, the Company concluded that it earns a commission from content providers for distributing and processing their prepaid mobile airtime and other electronic payment products, but it is not the principal for the products themselves. As a result, the impact of the change in accounting principle was a reduction of $14.3 million and $36.9 million in both revenues and direct operating expenses for the three and six months ended June 30, 2018, respectively, with no impact on reported net income.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new standard requires the deferral of incremental costs to obtain customer contracts, known as contract assets, which are then amortized to expense as part of selling, general and administrative expense over the respective periods of expected benefit. The Company completed its review of such costs and concluded that a transition adjustment was not necessary related to contract assets. However, the Company has implemented processes and controls to record such costs on an ongoing basis and will disclose them if they become material.</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records deferred revenues when cash payments are received or due in advance of its performance. The decrease in the deferred revenue balance for the first half of 2018 is primarily driven by $17.1 million of cash payments received or due in advance of satisfying the performance obligations, offset by $18.5 million of revenues recognized that were included in the deferred revenue balance as of December 31,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Consideration</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Within the EFT segment, outsourcing services are generally billed on the basis of a fixed fee per ATM, plus a transaction-based fee. Transaction-based fees are recognized at the time the transactions are processed and outsourcing management fees are recognized ratably over the contract period. These fees can be variable based on transaction volume tiered discounts; however, as all tiered discounts are calculated monthly, the actual discount is recorded on a monthly basis. In addition, the epay segment generates commissions from the distribution of electronic content. It is common for these long-term contracts to contain award fees, incentive fees, or other provisions that can either increase or decrease the transaction price. These variable amounts generally are awarded upon achievement of certain performance metrics or program milestones and can be based upon customer discretion.</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Transaction fees, as well as any tiered volume discounts or incentive fees, are calculated and billed monthly in accordance with the terms established in the contract. The Company estimates variable consideration at the most likely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as assessment of Euronet's anticipated performance and all information (historical, current and forecast) that is reasonably available.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Multiple Performance Obligations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Company's most significant revenues are generated from transaction fees for which there are no remaining performance obligations left to fulfill after revenue is recognized. An insignificant amount of revenues are generated from contracts with customers which may include multiple performance obligations. For such arrangements, Euronet allocates revenues to each performance obligation based on its relative standalone selling price.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Revenues are recognized when control of the promised goods or services is transferred to Euronet's customers, in an amount that reflects the consideration it expects to be entitled to in exchange for goods or services.</w:t>
      </w:r>
    </w:p>
    <w:p>
      <w:pPr>
        <w:spacing w:after="0" w:line="18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following table presents the Company's revenues disaggregated by segment and region. Sales and usage-based taxes are excluded from revenues.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4"/>
                <w:szCs w:val="14"/>
                <w:b w:val="1"/>
                <w:bCs w:val="1"/>
                <w:color w:val="auto"/>
                <w:w w:val="93"/>
              </w:rPr>
              <w:t>For the Three Months Ended June 30, 2018</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3"/>
              </w:rPr>
              <w:t>For the Six Months Ended June 30, 2018</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EFT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9"/>
              </w:rPr>
              <w:t>Money</w:t>
            </w:r>
          </w:p>
        </w:tc>
        <w:tc>
          <w:tcPr>
            <w:tcW w:w="300" w:type="dxa"/>
            <w:vAlign w:val="bottom"/>
          </w:tcPr>
          <w:p>
            <w:pPr>
              <w:spacing w:after="0"/>
              <w:rPr>
                <w:sz w:val="13"/>
                <w:szCs w:val="13"/>
                <w:color w:val="auto"/>
              </w:rPr>
            </w:pPr>
          </w:p>
        </w:tc>
        <w:tc>
          <w:tcPr>
            <w:tcW w:w="8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rPr>
              <w:t>EFT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Money</w:t>
            </w:r>
          </w:p>
        </w:tc>
        <w:tc>
          <w:tcPr>
            <w:tcW w:w="220" w:type="dxa"/>
            <w:vAlign w:val="bottom"/>
          </w:tcPr>
          <w:p>
            <w:pPr>
              <w:spacing w:after="0"/>
              <w:rPr>
                <w:sz w:val="13"/>
                <w:szCs w:val="13"/>
                <w:color w:val="auto"/>
              </w:rPr>
            </w:pPr>
          </w:p>
        </w:tc>
        <w:tc>
          <w:tcPr>
            <w:tcW w:w="9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Processing</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2"/>
              </w:rPr>
              <w:t>Transfer</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8,327</w:t>
            </w:r>
          </w:p>
        </w:tc>
        <w:tc>
          <w:tcPr>
            <w:tcW w:w="4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143,754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194,351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16,343</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83,321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272,739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372,403</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158,413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103,344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81,816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343,573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258,499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216,794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155,774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631,067</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31,713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55,740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34,611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63,854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154,205</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3,691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4,532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8,231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8,582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8,285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16,882</w:t>
            </w:r>
          </w:p>
        </w:tc>
        <w:tc>
          <w:tcPr>
            <w:tcW w:w="0" w:type="dxa"/>
            <w:vAlign w:val="bottom"/>
          </w:tcPr>
          <w:p>
            <w:pPr>
              <w:spacing w:after="0"/>
              <w:rPr>
                <w:sz w:val="1"/>
                <w:szCs w:val="1"/>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194,894</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166,463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261,815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623,172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330,597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343,308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500,652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1,174,557</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2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4"/>
                <w:szCs w:val="14"/>
                <w:b w:val="1"/>
                <w:bCs w:val="1"/>
                <w:color w:val="auto"/>
                <w:w w:val="93"/>
              </w:rPr>
              <w:t>For the Three Months Ended June 30, 2017</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3"/>
              </w:rPr>
              <w:t>For the Six Months Ended June 30, 2017</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EFT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9"/>
              </w:rPr>
              <w:t>Money</w:t>
            </w:r>
          </w:p>
        </w:tc>
        <w:tc>
          <w:tcPr>
            <w:tcW w:w="300" w:type="dxa"/>
            <w:vAlign w:val="bottom"/>
          </w:tcPr>
          <w:p>
            <w:pPr>
              <w:spacing w:after="0"/>
              <w:rPr>
                <w:sz w:val="13"/>
                <w:szCs w:val="13"/>
                <w:color w:val="auto"/>
              </w:rPr>
            </w:pPr>
          </w:p>
        </w:tc>
        <w:tc>
          <w:tcPr>
            <w:tcW w:w="84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rPr>
              <w:t>EFT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Money</w:t>
            </w:r>
          </w:p>
        </w:tc>
        <w:tc>
          <w:tcPr>
            <w:tcW w:w="220" w:type="dxa"/>
            <w:vAlign w:val="bottom"/>
          </w:tcPr>
          <w:p>
            <w:pPr>
              <w:spacing w:after="0"/>
              <w:rPr>
                <w:sz w:val="13"/>
                <w:szCs w:val="13"/>
                <w:color w:val="auto"/>
              </w:rPr>
            </w:pPr>
          </w:p>
        </w:tc>
        <w:tc>
          <w:tcPr>
            <w:tcW w:w="9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Processing</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2"/>
              </w:rPr>
              <w:t>Transfer</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7,601</w:t>
            </w:r>
          </w:p>
        </w:tc>
        <w:tc>
          <w:tcPr>
            <w:tcW w:w="4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126,457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149,895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14,999</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248,006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295,812</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123,172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120,920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64,555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308,647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199,066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240,754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120,278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560,098</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22,808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23,846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71,835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47,638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48,643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142,016</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4,562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2,268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6,832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4,174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13,179</w:t>
            </w:r>
          </w:p>
        </w:tc>
        <w:tc>
          <w:tcPr>
            <w:tcW w:w="0" w:type="dxa"/>
            <w:vAlign w:val="bottom"/>
          </w:tcPr>
          <w:p>
            <w:pPr>
              <w:spacing w:after="0"/>
              <w:rPr>
                <w:sz w:val="1"/>
                <w:szCs w:val="1"/>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155,956</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164,127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217,126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537,209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261,708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328,296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421,101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1,011,105</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3"/>
          <w:szCs w:val="13"/>
          <w:color w:val="auto"/>
        </w:rPr>
        <w:t>As noted above, prior period amounts have not been adjusted under the modified retrospective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-93980</wp:posOffset>
            </wp:positionV>
            <wp:extent cx="5866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9"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In March 2016, the FASB issued ASU 2016-04, Recognition of Breakage for Certain Prepaid Stored-Value Products. The new standard specifies that liabilities within its scope are considered to be financial liabilities, and amends the guidance in ASC 405-20, Extinguishments of Liabilities, by directing entities to derecognize prepaid stored-value product liabilities based on expected breakage in proportion to the pattern of rights expected to be exercised by the consumer. Derecognition for breakage is permitted only to the extent that it is probable that a significant reversal of recognized breakage will not subsequently occur. The new standard is consistent with the breakage guidance in Topic 606. The Company adopted this ASU as of January 1, 2018 along with Topic 606. The adoption of this standard did not have a significant impact on the Company's consolidated financial statements and related disclosures.</w:t>
      </w:r>
    </w:p>
    <w:p>
      <w:pPr>
        <w:spacing w:after="0" w:line="165"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 xml:space="preserve">In August 2016, the FASB issued an accounting standard classified under FASB ASC Topic 230, </w:t>
      </w:r>
      <w:r>
        <w:rPr>
          <w:rFonts w:ascii="Arial" w:cs="Arial" w:eastAsia="Arial" w:hAnsi="Arial"/>
          <w:sz w:val="16"/>
          <w:szCs w:val="16"/>
          <w:i w:val="1"/>
          <w:iCs w:val="1"/>
          <w:color w:val="auto"/>
        </w:rPr>
        <w:t>“Statement of Cash Flows”</w:t>
      </w:r>
      <w:r>
        <w:rPr>
          <w:rFonts w:ascii="Arial" w:cs="Arial" w:eastAsia="Arial" w:hAnsi="Arial"/>
          <w:sz w:val="16"/>
          <w:szCs w:val="16"/>
          <w:color w:val="auto"/>
        </w:rPr>
        <w:t>. This accounting standard provides guidance on eight specific cash flow issues. Subsequently, the FASB issued amendments to this accounting standard that required companies to include restricted cash and restricted cash equivalents with cash and cash equivalents when reconciling the statement of cash flows.</w:t>
      </w:r>
    </w:p>
    <w:p>
      <w:pPr>
        <w:spacing w:after="0" w:line="14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adopted these standards as of January 1, 2018. The adoption of these accounting standards resulted in an increase in net cash provided by operating activities of $10.5 million for the six months ended June 30, 2017. As of June 30, 2018, the Company had $72.9 million of restricted cash consisting of restricted cash held in trust and/or cash held on behalf of others and cash collateral on bank credit arrangements. Cash held in trust and/or cash held on behalf of others is in connection with the administration of the customer collection and vendor remittance activities by certain subsidiaries within the Company’s epay and EFT Processing Segments. Amounts collected on behalf of certain mobile phone operators and/or merchants are deposited into a restricted cash account. The bank credit arrangements primarily represent cash collateral on deposit with commercial banks to cover guarantees.</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will update the existing guidance on accounting for leases and require new qualitative and quantitative disclosures about the Company’s leasing activities. The new standard requires lessees to account for all leases on the balance sheet, except for certain short-term leases that have a maximum possible lease term of 12 months. The accounting for lessors is largely unchanged from the previous accounting guidance, except for leverage lease accounting which is not permitted for leases entered into or modified after the effective date of the new standard. The new standard is effective for annual periods beginning after December 15, 2018 and interim periods within those annual periods, with early adoption permitted. In transition, lessees and lessors are required to recognize and measure leases at the beginning of the earliest period presented using a modified retrospective approach. The modified retrospective approach includes a number of optional practical expedients that the Company may elect to apply. The Company currently anticipates this standard will have a material impact on its consolidated balance sheets but will not have a material impact on its consolidated income statements. The Company currently expects the most significant impact will be the recognition of right-of-</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use assets and lease liabilities for operating leases. The Company currently expects its accounting for capital leases to remain substantially unchanged. The Company is continuing to assess the potential impacts of the standard.</w:t>
      </w:r>
    </w:p>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fiscal years, and interim periods within those fiscal years, beginning after December 15, 2019. Early application will be permitted for all entities for fiscal years, and interim periods within those fiscal years, beginning after December 15, 2018. The Company is currently in the process of evaluating the effect of the adoption of ASU 2016-13 on its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periods. Diluted earnings per share has been computed by dividing earnings available to common stockholders by the weighted average shares outstanding during the respective period, after adjusting for any potential dilution from options to purchase the Company's common stock, assumed vesting of restricted stock and the assumed conversion of the Company’s convertible debentures. The following table provides the computation of diluted weighted average number of common shares outstanding:</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596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938"/>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Borders>
              <w:bottom w:val="single" w:sz="8" w:color="auto"/>
            </w:tcBorders>
            <w:gridSpan w:val="3"/>
          </w:tcPr>
          <w:p>
            <w:pPr>
              <w:jc w:val="center"/>
              <w:ind w:left="938"/>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51,226,898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w w:val="93"/>
              </w:rPr>
              <w:t>52,453,752</w:t>
            </w:r>
          </w:p>
        </w:tc>
        <w:tc>
          <w:tcPr>
            <w:tcW w:w="20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51,563,090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w w:val="95"/>
              </w:rPr>
              <w:t>52,399,848</w:t>
            </w:r>
          </w:p>
        </w:tc>
      </w:tr>
      <w:tr>
        <w:trPr>
          <w:trHeight w:val="27"/>
        </w:trPr>
        <w:tc>
          <w:tcPr>
            <w:tcW w:w="5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Incremental shares from assumed exercise of stock options and vesting of</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stock</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1,494,766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1,788,091</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1,537,018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1,753,620</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Incremental shares from assumed conversion of convertible notes</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771,171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969,150</w:t>
            </w:r>
          </w:p>
        </w:tc>
        <w:tc>
          <w:tcPr>
            <w:tcW w:w="20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771,171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969,150</w:t>
            </w:r>
          </w:p>
        </w:tc>
      </w:tr>
      <w:tr>
        <w:trPr>
          <w:trHeight w:val="27"/>
        </w:trPr>
        <w:tc>
          <w:tcPr>
            <w:tcW w:w="59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53,492,835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3"/>
              </w:rPr>
              <w:t>55,210,993</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53,871,279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55,122,618</w:t>
            </w:r>
          </w:p>
        </w:tc>
      </w:tr>
      <w:tr>
        <w:trPr>
          <w:trHeight w:val="20"/>
        </w:trPr>
        <w:tc>
          <w:tcPr>
            <w:tcW w:w="5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table includes the impact of all stock options and restricted stock that are dilutive to the Company’s weighted average common shares outstanding during the three and six months ended June 30, 2018 and 2017. The calculation of diluted earnings per share excludes stock options or shares of restricted stock that are anti-dilutive to the Company’s weighted average common shares outstanding of approximately 1,209,000 and 1,124,000 for the three and six months ended June 30, 2018, respectively, and approximately 928,000 and 929,000 for the three and six months ended June 30, 2017, respectively.</w:t>
      </w:r>
    </w:p>
    <w:p>
      <w:pPr>
        <w:spacing w:after="0" w:line="4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Company's convertible notes have settlement features requiring the Company upon conversion to settle the principal amount of the debt and the conversion value in excess of the principal value ("conversion premium") for cash or shares of the Company's common stock or a combination thereof, at the Company's option. At issuance, the Company stated its intent to settle any conversion of these notes by paying cash for the principal value and issuing common stock for any conversion premium. Accordingly, the convertible notes are included in the calculation of diluted earnings per share if their inclusion is dilutive. The convertible notes would only have a dilutive effect if the market price per share of common stock exceeds the conversion price of $72.18 per share and the dilutive effect increases the more the market price exceeds the conversion price. As of June 30, 2018 and 2017, the stock price exceeded the conversion price and these notes were dilutive to earnings per share. Further, as a result of the share price decreasing from $87.37 at June 30, 2017 to $83.77 at June 30, 2018, there was a decrease in shares from the assumed conversion of convertible notes.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17"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The Company's Board of Directors has authorized a stock repurchase program ("Repurchase Program") allowing Euronet to repurchase up to $375 million in value or 10.0 million shares of stock through March 31, 2020. Repurchases under the Repurchase Program may take place in the open market or in privately negotiated transactions, including derivative transactions, and may be made under a Rule 10b5-1 plan. For the three and six months ended June 30, 2018, the Company repurchased $50.0 million and $175.0 million, respectively, in value of Euronet common stock under the Repurchase Program.</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Accumulated other comprehensive loss consists entirely of foreign currency translation adjustments. The Company recorded foreign currency translation losses of $58.5 million and $35.6 million for the three and six months ended June 30, 2018,</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respectively, and gains of $51.2 million and $70.6 million for the three and six months ended June 30, 2017, respectively. There were no reclassifications of foreign currency translation into the consolidated statements of income for the three and six months ended June 30, 2018 and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six months ended June 30, 2018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Acquired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20" w:type="dxa"/>
            <w:vAlign w:val="bottom"/>
          </w:tcPr>
          <w:p>
            <w:pPr>
              <w:spacing w:after="0"/>
              <w:rPr>
                <w:sz w:val="12"/>
                <w:szCs w:val="12"/>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Goodwill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150,543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717,386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867,929</w:t>
            </w:r>
          </w:p>
        </w:tc>
        <w:tc>
          <w:tcPr>
            <w:tcW w:w="0" w:type="dxa"/>
            <w:vAlign w:val="bottom"/>
          </w:tcPr>
          <w:p>
            <w:pPr>
              <w:spacing w:after="0"/>
              <w:rPr>
                <w:sz w:val="1"/>
                <w:szCs w:val="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20,742</w:t>
            </w:r>
          </w:p>
        </w:tc>
        <w:tc>
          <w:tcPr>
            <w:tcW w:w="0" w:type="dxa"/>
            <w:vAlign w:val="bottom"/>
          </w:tcPr>
          <w:p>
            <w:pPr>
              <w:spacing w:after="0"/>
              <w:rPr>
                <w:sz w:val="1"/>
                <w:szCs w:val="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(11,616)</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(22,254)</w:t>
            </w:r>
          </w:p>
        </w:tc>
        <w:tc>
          <w:tcPr>
            <w:tcW w:w="0" w:type="dxa"/>
            <w:vAlign w:val="bottom"/>
          </w:tcPr>
          <w:p>
            <w:pPr>
              <w:spacing w:after="0"/>
              <w:rPr>
                <w:sz w:val="1"/>
                <w:szCs w:val="1"/>
                <w:color w:val="auto"/>
              </w:rPr>
            </w:pPr>
          </w:p>
        </w:tc>
      </w:tr>
      <w:tr>
        <w:trPr>
          <w:trHeight w:val="25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Balance as of June 30, 2018</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135,639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719,162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854,801</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Estimated amortization expense on intangible assets with finite lives, before income taxes, as of June 30, 2018, is expected to total $11.1 million for the remainder of 2018, $21.5 million for 2019, $20.7 million for 2020, $19.8 million for 2021, $18.7 million for 2022 and $13.8 million for 2023.</w:t>
      </w:r>
    </w:p>
    <w:p>
      <w:pPr>
        <w:spacing w:after="0" w:line="3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completed the acquisitions of two small European businesses for an immaterial amount of cash consideration, completing one acquisition in the first quarter of 2018 and completing the other acquisition in the second quarter of 2018. The acquisitions have been accounted for as business combinations in accordance with U.S. GAAP and the results of operations have been included from the respective dates of acquisition in the EFT Processing Segment.</w:t>
      </w:r>
    </w:p>
    <w:p>
      <w:pPr>
        <w:spacing w:after="0" w:line="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Company’s annual goodwill impairment test is performed during the fourth quarter of its fiscal year. The annual impairment test for the year ended December 31, 2017 resulted in impairment charges of $31.8 million.</w:t>
      </w:r>
    </w:p>
    <w:p>
      <w:pPr>
        <w:spacing w:after="0" w:line="62"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the estimates or assumptions included in the 2017 annual impairment test could change, which may result in the Company recording material non-cash impairment charges during the year in which these changes take place.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w w:val="85"/>
              </w:rPr>
              <w:t>As of</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4"/>
              </w:rPr>
              <w:t>June 30, 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249,822</w:t>
            </w:r>
          </w:p>
        </w:tc>
        <w:tc>
          <w:tcPr>
            <w:tcW w:w="54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301,390</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Money transfer settlement obligations</w:t>
            </w:r>
          </w:p>
        </w:tc>
        <w:tc>
          <w:tcPr>
            <w:tcW w:w="3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323,401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343,613</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Accrued amounts due to mobile operators and other content providers</w:t>
            </w:r>
          </w:p>
        </w:tc>
        <w:tc>
          <w:tcPr>
            <w:tcW w:w="3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92,291</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3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22,495</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718,320</w:t>
            </w:r>
          </w:p>
        </w:tc>
        <w:tc>
          <w:tcPr>
            <w:tcW w:w="54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759,789</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vMerge w:val="restart"/>
          </w:tcPr>
          <w:p>
            <w:pPr>
              <w:jc w:val="right"/>
              <w:ind w:right="2910"/>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4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consist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As of</w:t>
            </w:r>
          </w:p>
        </w:tc>
        <w:tc>
          <w:tcPr>
            <w:tcW w:w="920" w:type="dxa"/>
            <w:vAlign w:val="bottom"/>
            <w:tcBorders>
              <w:bottom w:val="single" w:sz="8" w:color="auto"/>
            </w:tcBorders>
          </w:tcPr>
          <w:p>
            <w:pPr>
              <w:spacing w:after="0"/>
              <w:rPr>
                <w:sz w:val="16"/>
                <w:szCs w:val="16"/>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2018</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88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Term loan, due 2019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51,094</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Revolving credit agreements, due 2019</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242,819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r>
      <w:tr>
        <w:trPr>
          <w:trHeight w:val="237"/>
        </w:trPr>
        <w:tc>
          <w:tcPr>
            <w:tcW w:w="88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287,819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54,094</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1.50% convertible notes, unsecured, due 2044</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374,958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369,259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ATM credit facility</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obligations</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32,517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27,763</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debt obligations</w:t>
            </w: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995,294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451,116</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(5,816)</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Carrying value of debt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990,775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445,300</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(618,770)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(41,288)</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Long-term debt obligations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372,005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404,012</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June 30, 2018, the Company had a $675 million senior secured credit facility (the "Credit Facility") consisting of a $600 million revolving credit facility and a $75 million term loan ("Term Loan A"), which had been reduced to $45.0 million through principal amortization payments. The Credit Facility expires April 9, 2019.</w:t>
      </w:r>
    </w:p>
    <w:p>
      <w:pPr>
        <w:spacing w:after="0" w:line="7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Interest on borrowings under the revolving credit facility and Term Loan A varies based upon the Company's consolidated total leverage ratio, as defined in the Company's credit agreement, and is based on a margin over the London Inter-Bank Offered Rate (“LIBOR”) or a margin over a base rate, as selected by the Company, with the applicable margin ranging from 1.375% to 2.375% for LIBOR loans or 0.375% to 1.375% for base rate loans. Accordingly, the weighted average interest rate for borrowings outstanding under the Company's revolving credit facility and Term Loan A was 3.01% and 3.47%, respectively, as of June 30, 2018.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Convertible Senior Notes (“Convertible Notes”) had a principal amount outstanding of $402.5 million as of June 30, 2018. The Convertible Notes mature in October 2044 unless repurchased or converted prior to such date, and are convertible into shares of Euronet Common Stock at a conversion price of approximately $72.18 per share. Holders of the Convertible Notes have the option to require the Company to purchase their notes at par on October 1, 2020, and have additional options to require the Company to purchase their notes at par on October 1, 2024, 2029, 2034, and 2039, or upon a change in control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Holders may convert all or any portion of their Convertible Notes at their option at any time prior to October 1, 2044 only under the following circumstances:</w:t>
      </w:r>
    </w:p>
    <w:p>
      <w:pPr>
        <w:spacing w:after="0" w:line="46" w:lineRule="exact"/>
        <w:rPr>
          <w:sz w:val="20"/>
          <w:szCs w:val="20"/>
          <w:color w:val="auto"/>
        </w:rPr>
      </w:pPr>
    </w:p>
    <w:p>
      <w:pPr>
        <w:ind w:right="80" w:firstLine="8"/>
        <w:spacing w:after="0" w:line="269"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during any calendar quarter (and only during such calendar quarter), if the closing sale price of the common stock for at least 20 trading days (whether or not consecutive) during a period of 30 consecutive trading days ending on the last trading day of the immediately preceding calendar quarter is greater than 130% of the conversion price on each applicable trading day; (2) during the five consecutive business day period after any ten consecutive trading day period (the measurement period) in which the trading price for the Convertible Notes for each trading day of the measurement period was less than 98% of the product of the closing sale price of the Company's common stock and the conversion rate on each such trading day; or (3) upon the occurrence of specified corporate events. If the holders exercise their option to convert, the Company is required to deliver cash or shares of the Company's common stock, at the Company's option, to satisfy the principal amount and the conversion premium.</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None of the above conversion conditions are currently in effect.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Contractual interest expense for the Convertible Notes was $1.5 million and $3.0 million for the three and six months ended June 30, 2018 and 2017, respectively. Accretion expense was $2.9 million and $5.7 million for the three and six months ended June 30, 2018, respectively, and $2.7 million and $5.4 million for the three and six months ended June 30, 2017, respectively. The effective interest rate was 4.7% for the three and six months ended June 30, 2018. As of June 30, 2018, the unamortized discount was $27.5 million, and will be amortized through October 1, 2020.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ATM Credit Facility</w:t>
      </w:r>
    </w:p>
    <w:p>
      <w:pPr>
        <w:spacing w:after="0" w:line="11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On May 11, 2018, the Company entered into a short-term credit facility in the amount of $300 million for the sole purpose of providing cash for its ATM network. Interest is charged on this financing on an annual basis at the Overnight LIBOR rate plus 1.75%. The facility expires on November 30, 2018. The weighted average interest rate for borrowings under the ATM credit facility was 3.5% for the second quarter of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short-term borrowings that are payable in currencies other than the U.S. dollar.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Topic 815, </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("ASC Topic 815")</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either the relatively short duration of the contract term or the effects of fluctuations in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rates being reflected concurrently in earnings for both the derivative instrument and the hedged transaction and having an offsetting effect.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 and Corporate</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United States, the Company's Ria operations use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As of June 30, 2018, the Company held in its Ria operations foreign currency forward contracts outstanding in the U.S. with a notional value of $397 million, primarily in Australian dollars, Canadian dollars, British pounds, euros and Mexican pesos.</w:t>
      </w:r>
    </w:p>
    <w:p>
      <w:pPr>
        <w:spacing w:after="0" w:line="8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addition, the Company uses forward contracts, typically with maturities from a few days to less than one year, to offset foreign exchange rate fluctuations on certain foreign currency denominated other asset and liability positions. As of June 30, 2018, the Company had foreign currency forward contracts outstanding with a notional value of $404 million, primarily in euros and Polish zloty.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HiFX Operations</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HiFX writes derivative instruments, primarily foreign currency forward contracts and cross-currency swaps, mostly with counterparties comprised of individuals and small-to-medium size businesses and derives a currency margin from this activity as part of its operations. HiFX aggregates its foreign currency exposures arising from customer contracts and may hedge some or all of the resulting net currency risks by entering into offsetting contracts with established financial institution counterparties. Foreign exchange revenues from HiFX's total portfolio of positions were $16.8 million and $35.5 million for the three and six months ended June 30, 2018, respectively, and $16.0 million and $31.7 million for the three and six months ended June 30, 2017, respectively. All of the derivative contracts used in the Company's HiFX operations are economic hedges and are not designated as hedges under ASC Topic 815</w:t>
      </w:r>
      <w:r>
        <w:rPr>
          <w:rFonts w:ascii="Arial" w:cs="Arial" w:eastAsia="Arial" w:hAnsi="Arial"/>
          <w:sz w:val="17"/>
          <w:szCs w:val="17"/>
          <w:i w:val="1"/>
          <w:iCs w:val="1"/>
          <w:color w:val="auto"/>
        </w:rPr>
        <w:t>.</w:t>
      </w:r>
      <w:r>
        <w:rPr>
          <w:rFonts w:ascii="Arial" w:cs="Arial" w:eastAsia="Arial" w:hAnsi="Arial"/>
          <w:sz w:val="17"/>
          <w:szCs w:val="17"/>
          <w:color w:val="auto"/>
        </w:rPr>
        <w:t xml:space="preserve"> The duration of these derivative contracts is generally less than one year.</w:t>
      </w:r>
    </w:p>
    <w:p>
      <w:pPr>
        <w:spacing w:after="0" w:line="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fair value of HiFX's total portfolio of positions can change significantly from period to period based on, among other factors, market movements and changes in customer contract positions. HiFX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HiFX does not expect any significant losses from counterparty defaults.</w:t>
      </w:r>
    </w:p>
    <w:p>
      <w:pPr>
        <w:spacing w:after="0" w:line="6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aggregate equivalent U.S. dollar notional amounts of foreign currency derivative customer contracts held by the Company in its HiFX operations as of June 30, 2018 was approximately $1.2 billion. The majority of customer contracts are written in major currencies such as the U.S. dollar, euro, New Zealand dollar, British pound, and Australian dollar.</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tcBorders>
              <w:bottom w:val="single" w:sz="8" w:color="auto"/>
            </w:tcBorders>
            <w:gridSpan w:val="5"/>
          </w:tcPr>
          <w:p>
            <w:pPr>
              <w:ind w:left="1580"/>
              <w:spacing w:after="0"/>
              <w:rPr>
                <w:sz w:val="20"/>
                <w:szCs w:val="20"/>
                <w:color w:val="auto"/>
              </w:rPr>
            </w:pPr>
            <w:r>
              <w:rPr>
                <w:rFonts w:ascii="Arial" w:cs="Arial" w:eastAsia="Arial" w:hAnsi="Arial"/>
                <w:sz w:val="14"/>
                <w:szCs w:val="14"/>
                <w:b w:val="1"/>
                <w:bCs w:val="1"/>
                <w:color w:val="auto"/>
              </w:rPr>
              <w:t>Asset Derivatives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40" w:type="dxa"/>
            <w:vAlign w:val="bottom"/>
            <w:tcBorders>
              <w:bottom w:val="single" w:sz="8" w:color="auto"/>
            </w:tcBorders>
            <w:gridSpan w:val="4"/>
          </w:tcPr>
          <w:p>
            <w:pPr>
              <w:jc w:val="center"/>
              <w:ind w:left="1057"/>
              <w:spacing w:after="0"/>
              <w:rPr>
                <w:sz w:val="20"/>
                <w:szCs w:val="20"/>
                <w:color w:val="auto"/>
              </w:rPr>
            </w:pPr>
            <w:r>
              <w:rPr>
                <w:rFonts w:ascii="Arial" w:cs="Arial" w:eastAsia="Arial" w:hAnsi="Arial"/>
                <w:sz w:val="14"/>
                <w:szCs w:val="14"/>
                <w:b w:val="1"/>
                <w:bCs w:val="1"/>
                <w:color w:val="auto"/>
                <w:w w:val="95"/>
              </w:rPr>
              <w:t>Liability Derivatives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4"/>
          </w:tcPr>
          <w:p>
            <w:pPr>
              <w:jc w:val="right"/>
              <w:ind w:right="74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2"/>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90"/>
              </w:rPr>
              <w:t>June 30, 2018</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3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Balance Sheet Location</w:t>
            </w:r>
          </w:p>
        </w:tc>
        <w:tc>
          <w:tcPr>
            <w:tcW w:w="100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2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340" w:type="dxa"/>
            <w:vAlign w:val="bottom"/>
            <w:tcBorders>
              <w:bottom w:val="single" w:sz="8" w:color="auto"/>
            </w:tcBorders>
            <w:gridSpan w:val="2"/>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4"/>
        </w:trPr>
        <w:tc>
          <w:tcPr>
            <w:tcW w:w="22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5"/>
              </w:rPr>
              <w:t>Derivatives not designated</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 hedging instruments</w:t>
            </w: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2"/>
          </w:tcPr>
          <w:p>
            <w:pPr>
              <w:jc w:val="right"/>
              <w:ind w:right="560"/>
              <w:spacing w:after="0"/>
              <w:rPr>
                <w:sz w:val="20"/>
                <w:szCs w:val="20"/>
                <w:color w:val="auto"/>
              </w:rPr>
            </w:pPr>
            <w:r>
              <w:rPr>
                <w:rFonts w:ascii="Arial" w:cs="Arial" w:eastAsia="Arial" w:hAnsi="Arial"/>
                <w:sz w:val="18"/>
                <w:szCs w:val="18"/>
                <w:color w:val="auto"/>
                <w:w w:val="96"/>
              </w:rPr>
              <w:t>Accrued expenses and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ind w:left="180"/>
              <w:spacing w:after="0"/>
              <w:rPr>
                <w:sz w:val="20"/>
                <w:szCs w:val="20"/>
                <w:color w:val="auto"/>
              </w:rPr>
            </w:pPr>
            <w:r>
              <w:rPr>
                <w:rFonts w:ascii="Arial" w:cs="Arial" w:eastAsia="Arial" w:hAnsi="Arial"/>
                <w:sz w:val="18"/>
                <w:szCs w:val="18"/>
                <w:color w:val="auto"/>
              </w:rPr>
              <w:t>Foreign currency</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ind w:left="320"/>
              <w:spacing w:after="0"/>
              <w:rPr>
                <w:sz w:val="20"/>
                <w:szCs w:val="20"/>
                <w:color w:val="auto"/>
              </w:rPr>
            </w:pPr>
            <w:r>
              <w:rPr>
                <w:rFonts w:ascii="Arial" w:cs="Arial" w:eastAsia="Arial" w:hAnsi="Arial"/>
                <w:sz w:val="18"/>
                <w:szCs w:val="18"/>
                <w:color w:val="auto"/>
              </w:rPr>
              <w:t>other current liabilities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gridSpan w:val="2"/>
          </w:tcPr>
          <w:p>
            <w:pPr>
              <w:ind w:left="340"/>
              <w:spacing w:after="0"/>
              <w:rPr>
                <w:sz w:val="20"/>
                <w:szCs w:val="20"/>
                <w:color w:val="auto"/>
              </w:rPr>
            </w:pPr>
            <w:r>
              <w:rPr>
                <w:rFonts w:ascii="Arial" w:cs="Arial" w:eastAsia="Arial" w:hAnsi="Arial"/>
                <w:sz w:val="18"/>
                <w:szCs w:val="18"/>
                <w:color w:val="auto"/>
              </w:rPr>
              <w:t>exchange contracts</w:t>
            </w:r>
          </w:p>
        </w:tc>
        <w:tc>
          <w:tcPr>
            <w:tcW w:w="188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22"/>
              <w:spacing w:after="0"/>
              <w:rPr>
                <w:sz w:val="20"/>
                <w:szCs w:val="20"/>
                <w:color w:val="auto"/>
              </w:rPr>
            </w:pPr>
            <w:r>
              <w:rPr>
                <w:rFonts w:ascii="Arial" w:cs="Arial" w:eastAsia="Arial" w:hAnsi="Arial"/>
                <w:sz w:val="18"/>
                <w:szCs w:val="18"/>
                <w:color w:val="auto"/>
              </w:rPr>
              <w:t>43,372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42"/>
              <w:spacing w:after="0"/>
              <w:rPr>
                <w:sz w:val="20"/>
                <w:szCs w:val="20"/>
                <w:color w:val="auto"/>
              </w:rPr>
            </w:pPr>
            <w:r>
              <w:rPr>
                <w:rFonts w:ascii="Arial" w:cs="Arial" w:eastAsia="Arial" w:hAnsi="Arial"/>
                <w:sz w:val="18"/>
                <w:szCs w:val="18"/>
                <w:color w:val="auto"/>
              </w:rPr>
              <w:t>36,574</w:t>
            </w:r>
          </w:p>
        </w:tc>
        <w:tc>
          <w:tcPr>
            <w:tcW w:w="100" w:type="dxa"/>
            <w:vAlign w:val="bottom"/>
          </w:tcPr>
          <w:p>
            <w:pPr>
              <w:spacing w:after="0"/>
              <w:rPr>
                <w:sz w:val="20"/>
                <w:szCs w:val="20"/>
                <w:color w:val="auto"/>
              </w:rPr>
            </w:pP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(26,624)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(22,495)</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gross and net fair value of derivative assets and liabilities as of June 30, 2018 and December 31, 2017 (in thousands):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Gross Amounts Not Offset in the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Consolidated Balance Sheet</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Amounts of</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Cash Collateral</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June 30, 2018</w:t>
            </w:r>
          </w:p>
        </w:tc>
        <w:tc>
          <w:tcPr>
            <w:tcW w:w="140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4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6"/>
        </w:trPr>
        <w:tc>
          <w:tcPr>
            <w:tcW w:w="3300" w:type="dxa"/>
            <w:vAlign w:val="bottom"/>
            <w:gridSpan w:val="2"/>
            <w:vMerge w:val="continue"/>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Recognized Assets</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Balance Sheet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Balance Sheet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Instruments</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Received</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43,372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43,372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23,441</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36,574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36,574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13,921</w:t>
            </w:r>
          </w:p>
        </w:tc>
        <w:tc>
          <w:tcPr>
            <w:tcW w:w="0" w:type="dxa"/>
            <w:vAlign w:val="bottom"/>
          </w:tcPr>
          <w:p>
            <w:pPr>
              <w:spacing w:after="0"/>
              <w:rPr>
                <w:sz w:val="1"/>
                <w:szCs w:val="1"/>
                <w:color w:val="auto"/>
              </w:rPr>
            </w:pPr>
          </w:p>
        </w:tc>
      </w:tr>
      <w:tr>
        <w:trPr>
          <w:trHeight w:val="324"/>
        </w:trPr>
        <w:tc>
          <w:tcPr>
            <w:tcW w:w="3340" w:type="dxa"/>
            <w:vAlign w:val="bottom"/>
            <w:gridSpan w:val="3"/>
          </w:tcPr>
          <w:p>
            <w:pPr>
              <w:spacing w:after="0"/>
              <w:rPr>
                <w:sz w:val="20"/>
                <w:szCs w:val="20"/>
                <w:color w:val="auto"/>
              </w:rPr>
            </w:pPr>
            <w:r>
              <w:rPr>
                <w:rFonts w:ascii="Arial" w:cs="Arial" w:eastAsia="Arial" w:hAnsi="Arial"/>
                <w:sz w:val="18"/>
                <w:szCs w:val="18"/>
                <w:i w:val="1"/>
                <w:iCs w:val="1"/>
                <w:color w:val="auto"/>
              </w:rPr>
              <w:t>Offsetting of Derivative Liabilities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Gross Amounts Not Offset in the</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Consolidated Balance Sheet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Gross Amounts of</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8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Collateral</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June 30, 2018</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4"/>
              </w:rPr>
              <w:t>Net Amounts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9"/>
              </w:rPr>
              <w:t>Instruments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14,986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(11,470)</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15,050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2,716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8, Fair Value Measurements, for the determination of the fair values of derivatives.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Statement Presentation</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summarizes the location and amount of gains and losses on derivatives in the Consolidated Statements of Income for the three and six months ended June 30, 2018 and 2017:</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100" w:type="dxa"/>
            <w:vAlign w:val="bottom"/>
            <w:gridSpan w:val="10"/>
          </w:tcPr>
          <w:p>
            <w:pPr>
              <w:jc w:val="center"/>
              <w:ind w:right="99"/>
              <w:spacing w:after="0"/>
              <w:rPr>
                <w:sz w:val="20"/>
                <w:szCs w:val="20"/>
                <w:color w:val="auto"/>
              </w:rPr>
            </w:pPr>
            <w:r>
              <w:rPr>
                <w:rFonts w:ascii="Arial" w:cs="Arial" w:eastAsia="Arial" w:hAnsi="Arial"/>
                <w:sz w:val="14"/>
                <w:szCs w:val="14"/>
                <w:b w:val="1"/>
                <w:bCs w:val="1"/>
                <w:color w:val="auto"/>
                <w:w w:val="93"/>
              </w:rPr>
              <w:t>Amount of Gain (Loss) Recognized in Income on Derivative</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342"/>
              <w:spacing w:after="0"/>
              <w:rPr>
                <w:sz w:val="20"/>
                <w:szCs w:val="20"/>
                <w:color w:val="auto"/>
              </w:rPr>
            </w:pPr>
            <w:r>
              <w:rPr>
                <w:rFonts w:ascii="Arial" w:cs="Arial" w:eastAsia="Arial" w:hAnsi="Arial"/>
                <w:sz w:val="14"/>
                <w:szCs w:val="14"/>
                <w:b w:val="1"/>
                <w:bCs w:val="1"/>
                <w:color w:val="auto"/>
                <w:w w:val="92"/>
              </w:rPr>
              <w:t>Contracts (a)</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gridSpan w:val="5"/>
          </w:tcPr>
          <w:p>
            <w:pPr>
              <w:ind w:left="180"/>
              <w:spacing w:after="0" w:line="153" w:lineRule="exact"/>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3"/>
                <w:szCs w:val="13"/>
                <w:color w:val="auto"/>
              </w:rPr>
            </w:pPr>
          </w:p>
        </w:tc>
        <w:tc>
          <w:tcPr>
            <w:tcW w:w="1740" w:type="dxa"/>
            <w:vAlign w:val="bottom"/>
            <w:gridSpan w:val="4"/>
          </w:tcPr>
          <w:p>
            <w:pPr>
              <w:jc w:val="center"/>
              <w:ind w:right="199"/>
              <w:spacing w:after="0" w:line="153" w:lineRule="exact"/>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Location of Gain (Loss) Recognized in Income on</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6"/>
              </w:rPr>
              <w:t>June 30,</w:t>
            </w: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344"/>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3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 Contracts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20" w:type="dxa"/>
            <w:vAlign w:val="bottom"/>
            <w:shd w:val="clear" w:color="auto" w:fill="CCEEFF"/>
          </w:tcPr>
          <w:p>
            <w:pPr>
              <w:spacing w:after="0"/>
              <w:rPr>
                <w:sz w:val="21"/>
                <w:szCs w:val="21"/>
                <w:color w:val="auto"/>
              </w:rPr>
            </w:pP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exchange (loss) gain,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7,085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8,380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80" w:firstLine="8"/>
        <w:spacing w:after="0" w:line="255"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HiFX operations. These derivative contracts are excluded from this table as they are part of the broader disclosure of foreign currency exchange revenues for this business discussed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5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117"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62"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and liabilities measured and recorded at fair value on a recurring basis: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As of June 30, 2018</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43,372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43,372</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(26,624)</w:t>
            </w:r>
          </w:p>
        </w:tc>
      </w:tr>
      <w:tr>
        <w:trPr>
          <w:trHeight w:val="399"/>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As of December 31, 2017</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36,574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36,574</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(22,495)</w:t>
            </w:r>
          </w:p>
        </w:tc>
      </w:tr>
      <w:tr>
        <w:trPr>
          <w:trHeight w:val="675"/>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ind w:left="19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Other Fair Value Disclosures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252525"/>
        </w:rPr>
        <w:t>The carrying amounts of cash and cash equivalents, accounts receivable, trade accounts payable, accrued expenses and other current obligations approximate their fair values because of the relatively short-term maturities of these financial instruments. The carrying values of the Company’s long-term debt (other than the Convertible Notes), including the current portion, approximate fair value because interest is primarily based on LIBOR, which resets at various intervals of less than one year. The Company estimates the fair value of the Convertible Notes using quoted prices in inactive markets for identical liabilities (Level 2). As of June 30, 2018 and December 31, 2017, the fair values of the Convertible Notes were $514.3 million and $503.7 million, respectively, with carrying values of $375.0 million and $369.3 million,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 xml:space="preserve">The Company’s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hanging="648"/>
        <w:spacing w:after="0" w:line="25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cash withdrawal services, ATM network participation, outsourced ATM and POS management solutions, credit and debit card outsourcing, dynamic currency conversion and other value added services. Through this segment, the Company also offers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680" w:hanging="648"/>
        <w:spacing w:after="0" w:line="308"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Through the epay Segment, the Company provides distribution, processing and collection services for prepaid mobile airtime and other electronic payment products in Europe, the Middle East, Asia Pacific, the United States and South America.</w:t>
      </w:r>
    </w:p>
    <w:p>
      <w:pPr>
        <w:spacing w:after="0" w:line="38" w:lineRule="exact"/>
        <w:rPr>
          <w:rFonts w:ascii="Arial" w:cs="Arial" w:eastAsia="Arial" w:hAnsi="Arial"/>
          <w:sz w:val="17"/>
          <w:szCs w:val="17"/>
          <w:color w:val="auto"/>
        </w:rPr>
      </w:pPr>
    </w:p>
    <w:p>
      <w:pPr>
        <w:ind w:left="980" w:right="60" w:hanging="648"/>
        <w:spacing w:after="0" w:line="25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money transfer services under the brand names Ria, HiFX, IME and xe. Ria and IME provide global consumer-to-consumer money transfer services through a network of sending agents, Company-owned stores and Company-owned websites, disbursing money transfers through a worldwide correspondent network. HiFX offers account-to-account international payment services to high-income individuals and small-to-medium sized businesses. xe is a provider of foreign currency exchange information and offers money transfers on its currency data websites. The Company also offers customers bill payment services, payment alternatives such as money orders and prepaid debit cards, comprehensive check cashing services, foreign currency exchange services and mobile top-up. The Company provides cash management solutions and foreign currency risk management services to small-to-medium sized businesses under the brand name HiFM.</w:t>
      </w:r>
    </w:p>
    <w:p>
      <w:pPr>
        <w:spacing w:after="0" w:line="84"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addition, the Company accounts for non-operating activity, most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three and six months ended June 30, 2018 and 2017:</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4"/>
                <w:szCs w:val="14"/>
                <w:b w:val="1"/>
                <w:bCs w:val="1"/>
                <w:color w:val="auto"/>
                <w:w w:val="94"/>
              </w:rPr>
              <w:t>For the Three Months Ended June 30, 2018</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240" w:type="dxa"/>
            <w:vAlign w:val="bottom"/>
          </w:tcPr>
          <w:p>
            <w:pPr>
              <w:spacing w:after="0"/>
              <w:rPr>
                <w:sz w:val="12"/>
                <w:szCs w:val="12"/>
                <w:color w:val="auto"/>
              </w:rPr>
            </w:pPr>
          </w:p>
        </w:tc>
        <w:tc>
          <w:tcPr>
            <w:tcW w:w="12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194,893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166,463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261,816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622,224</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96,326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125,423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140,707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361,512</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19,046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14,327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49,118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9,232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91,723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31,426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52,357</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16,383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7,953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26,263</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141,971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150,134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229,204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10,546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531,855</w:t>
            </w:r>
          </w:p>
        </w:tc>
        <w:tc>
          <w:tcPr>
            <w:tcW w:w="0" w:type="dxa"/>
            <w:vAlign w:val="bottom"/>
          </w:tcPr>
          <w:p>
            <w:pPr>
              <w:spacing w:after="0"/>
              <w:rPr>
                <w:sz w:val="1"/>
                <w:szCs w:val="1"/>
                <w:color w:val="auto"/>
              </w:rPr>
            </w:pPr>
          </w:p>
        </w:tc>
      </w:tr>
      <w:tr>
        <w:trPr>
          <w:trHeight w:val="257"/>
        </w:trPr>
        <w:tc>
          <w:tcPr>
            <w:tcW w:w="448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52,922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16,329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32,612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90,369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4"/>
                <w:szCs w:val="14"/>
                <w:b w:val="1"/>
                <w:bCs w:val="1"/>
                <w:color w:val="auto"/>
                <w:w w:val="94"/>
              </w:rPr>
              <w:t>For the Three Months Ended June 30, 2017</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240" w:type="dxa"/>
            <w:vAlign w:val="bottom"/>
          </w:tcPr>
          <w:p>
            <w:pPr>
              <w:spacing w:after="0"/>
              <w:rPr>
                <w:sz w:val="12"/>
                <w:szCs w:val="12"/>
                <w:color w:val="auto"/>
              </w:rPr>
            </w:pPr>
          </w:p>
        </w:tc>
        <w:tc>
          <w:tcPr>
            <w:tcW w:w="12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155,957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164,127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217,127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536,563</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77,656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124,086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116,251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317,346</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15,562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13,056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42,274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7,728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78,620</w:t>
            </w: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48,442</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Acquired intangible assets impairment</w:t>
            </w:r>
          </w:p>
        </w:tc>
        <w:tc>
          <w:tcPr>
            <w:tcW w:w="220" w:type="dxa"/>
            <w:vAlign w:val="bottom"/>
          </w:tcPr>
          <w:p>
            <w:pPr>
              <w:spacing w:after="0"/>
              <w:rPr>
                <w:sz w:val="21"/>
                <w:szCs w:val="21"/>
                <w:color w:val="auto"/>
              </w:rPr>
            </w:pPr>
          </w:p>
        </w:tc>
        <w:tc>
          <w:tcPr>
            <w:tcW w:w="1040" w:type="dxa"/>
            <w:vAlign w:val="bottom"/>
            <w:vMerge w:val="restart"/>
          </w:tcPr>
          <w:p>
            <w:pPr>
              <w:jc w:val="right"/>
              <w:ind w:right="14"/>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vMerge w:val="restart"/>
          </w:tcPr>
          <w:p>
            <w:pPr>
              <w:jc w:val="right"/>
              <w:ind w:right="12"/>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13,226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2,673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23,178</w:t>
            </w:r>
          </w:p>
        </w:tc>
        <w:tc>
          <w:tcPr>
            <w:tcW w:w="0" w:type="dxa"/>
            <w:vAlign w:val="bottom"/>
          </w:tcPr>
          <w:p>
            <w:pPr>
              <w:spacing w:after="0"/>
              <w:rPr>
                <w:sz w:val="1"/>
                <w:szCs w:val="1"/>
                <w:color w:val="auto"/>
              </w:rPr>
            </w:pPr>
          </w:p>
        </w:tc>
      </w:tr>
      <w:tr>
        <w:trPr>
          <w:trHeight w:val="237"/>
        </w:trPr>
        <w:tc>
          <w:tcPr>
            <w:tcW w:w="448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116,626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149,338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192,223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11,685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469,872</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39,331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14,789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24,904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66,691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4"/>
                <w:szCs w:val="14"/>
                <w:b w:val="1"/>
                <w:bCs w:val="1"/>
                <w:color w:val="auto"/>
                <w:w w:val="93"/>
              </w:rPr>
              <w:t>For the Six Months Ended June 30, 2018</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240" w:type="dxa"/>
            <w:vAlign w:val="bottom"/>
          </w:tcPr>
          <w:p>
            <w:pPr>
              <w:spacing w:after="0"/>
              <w:rPr>
                <w:sz w:val="12"/>
                <w:szCs w:val="12"/>
                <w:color w:val="auto"/>
              </w:rPr>
            </w:pPr>
          </w:p>
        </w:tc>
        <w:tc>
          <w:tcPr>
            <w:tcW w:w="12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330,597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343,308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500,652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1,172,739</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178,163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260,345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704,836</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36,051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28,744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96,475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16,159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177,429</w:t>
            </w: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102,368</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32,583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3,772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15,848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52,265</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266,128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310,084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441,586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1,036,898</w:t>
            </w:r>
          </w:p>
        </w:tc>
        <w:tc>
          <w:tcPr>
            <w:tcW w:w="0" w:type="dxa"/>
            <w:vAlign w:val="bottom"/>
          </w:tcPr>
          <w:p>
            <w:pPr>
              <w:spacing w:after="0"/>
              <w:rPr>
                <w:sz w:val="1"/>
                <w:szCs w:val="1"/>
                <w:color w:val="auto"/>
              </w:rPr>
            </w:pPr>
          </w:p>
        </w:tc>
      </w:tr>
      <w:tr>
        <w:trPr>
          <w:trHeight w:val="257"/>
        </w:trPr>
        <w:tc>
          <w:tcPr>
            <w:tcW w:w="448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64,469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33,224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59,066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(20,918)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135,841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Six Months Ended June 30, 2017</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261,709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328,297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421,100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1,009,943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139,729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250,246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225,136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613,953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29,308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25,651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81,163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14,361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150,483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49,264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90,429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Acquired intangible assets impairment</w:t>
            </w:r>
          </w:p>
        </w:tc>
        <w:tc>
          <w:tcPr>
            <w:tcW w:w="220" w:type="dxa"/>
            <w:vAlign w:val="bottom"/>
          </w:tcPr>
          <w:p>
            <w:pPr>
              <w:spacing w:after="0"/>
              <w:rPr>
                <w:sz w:val="21"/>
                <w:szCs w:val="21"/>
                <w:color w:val="auto"/>
              </w:rPr>
            </w:pPr>
          </w:p>
        </w:tc>
        <w:tc>
          <w:tcPr>
            <w:tcW w:w="1040" w:type="dxa"/>
            <w:vAlign w:val="bottom"/>
            <w:vMerge w:val="restart"/>
          </w:tcPr>
          <w:p>
            <w:pPr>
              <w:jc w:val="right"/>
              <w:ind w:right="14"/>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vMerge w:val="restart"/>
          </w:tcPr>
          <w:p>
            <w:pPr>
              <w:jc w:val="right"/>
              <w:ind w:right="12"/>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44,815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211,416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299,586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370,101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20,863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901,966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50,293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28,711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50,999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107,977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property and equipment and total assets by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w w:val="92"/>
              </w:rPr>
              <w:t>Property and Equipment, net as of</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Total Assets as of</w:t>
            </w: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00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0"/>
              </w:rPr>
              <w:t>June 30, 2018</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55"/>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203,932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196,451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1,451,704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1,040,135</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27,752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28,135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587,761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695,990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42,934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43,564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1,329,681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1,255,765</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1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37,815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148,139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274,693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268,303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3,406,961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3,140,029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The Company's effective income tax rate was 27.3% and 30.1% for the three and six months ended </w:t>
      </w:r>
      <w:r>
        <w:rPr>
          <w:rFonts w:ascii="Arial" w:cs="Arial" w:eastAsia="Arial" w:hAnsi="Arial"/>
          <w:sz w:val="17"/>
          <w:szCs w:val="17"/>
          <w:color w:val="252525"/>
        </w:rPr>
        <w:t>June 30, 2018</w:t>
      </w:r>
      <w:r>
        <w:rPr>
          <w:rFonts w:ascii="Arial" w:cs="Arial" w:eastAsia="Arial" w:hAnsi="Arial"/>
          <w:sz w:val="17"/>
          <w:szCs w:val="17"/>
          <w:color w:val="auto"/>
        </w:rPr>
        <w:t>, respectively, compared to 26.6% and 25.8% for the three and six months ended June 30, 2017, respectively. The Company's effective income tax rate for the three and six months ended June 30, 2017 was less than the applicable statutory rate of 35% primarily as a result of the Company's U.S. tax position. The Company had significant U.S. federal tax net operating loss carryforwards with no recent history of significant U.S. taxable income; therefore, the Company had recorded a valuation allowance against its net U.S. deferred tax assets. Accordingly, in instances when the Company generated pre-tax U.S. GAAP income, no income tax expense was recognized to the extent there were net operating loss carryforwards to offset the pre-tax U.S. GAAP income.</w:t>
      </w:r>
    </w:p>
    <w:p>
      <w:pPr>
        <w:spacing w:after="0" w:line="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Company's effective income tax rate for the three and six months ended June 30, 2018 was higher than the applicable statutory income tax rate of 21% as a result of the enactment into law what is commonly known as the Tax Cuts and Jobs Act of 2017 (the "Act") and the Act's impact on the Company's U.S. income tax positions at the end of 2017. The most significant provisions of the Act are the transition tax on previously undistributed foreign earnings of foreign subsidiaries, the reduction in the U.S. corporate statutory income tax rate from 35% to 21% beginning on January 1, 2018, and new taxes on certain foreign sourced earnings. As stated above, the Company had recorded a valuation allowance against its net U.S. deferred tax assets. Upon enactment of the Act, the Company expected to utilize its historic U.S. federal tax net operating losses to partially offset the transition tax and released the associated valuation allowance in the fourth quarter of 2017. This change has created additional U.S. tax expense as the Company now recognizes income tax expense on its pre-tax U.S. GAAP income. In addition, the Act's global intangible low-taxed income ("GILTI") provision has subjected the Company's foreign earnings to additional U.S. tax expense.</w:t>
      </w:r>
    </w:p>
    <w:p>
      <w:pPr>
        <w:spacing w:after="0" w:line="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SEC staff issued Staff Accounting Bulletin ("SAB") 118, which provides guidance on accounting for the tax effects of the Act. SAB 118 provides a measurement period of up to one year from the Act's enactment date for companies to complete their accounting. In accordance with SAB 118, the Company provided provisional amounts where appropriate which it believes represent a reasonable estimate based on available information and its interpretations of the Act. Further, the Company is allowed to either recognize deferred taxes for temporary differences expected to reverse as GILTI in future years or recognize such taxes as current period expenses when incurred. Due to the complexity of calculating GILTI, the Company has not determined which method it will apply. The Company will continue to evaluate the Act and adjust the provisional amounts as additional information becomes available.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June 30, 2018, the Company had $75.8 million of stand-by letters of credit/bank guarantees issued on its behalf, of which $49.0 million are outstanding under the Credit Facility. The remaining stand-by letters of credit/bank guarantees are collateralized by $3.0 million of cash deposits held by the respective issuing banks.</w:t>
      </w:r>
    </w:p>
    <w:p>
      <w:pPr>
        <w:spacing w:after="0" w:line="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June 30, 2018, the Company had granted off balance sheet guarantees for cash in various ATM networks amounting to $16.4 million over the terms of the cash supply agreements and performance guarantees amounting to approximately $30.2 million over the terms of agreements with the customers.</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Once each of Euronet's subsidiaries reaches a certain size, it is required under the Credit Facility to provide a guarantee of all or a portion of the outstanding obligations under the Credit Facility depending upon whether the subsidiary is a domestic or foreign entity.</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63" w:lineRule="exact"/>
        <w:rPr>
          <w:sz w:val="20"/>
          <w:szCs w:val="20"/>
          <w:color w:val="auto"/>
        </w:rPr>
      </w:pPr>
    </w:p>
    <w:p>
      <w:pPr>
        <w:ind w:left="580" w:right="100" w:hanging="329"/>
        <w:spacing w:after="0" w:line="259"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June 30, 2018, the balance of cash used in the Company's ATM networks for which the Company was responsible was approximately $451 million. The Company maintains insurance policies to mitigate this exposure;</w:t>
      </w:r>
    </w:p>
    <w:p>
      <w:pPr>
        <w:spacing w:after="0" w:line="78" w:lineRule="exact"/>
        <w:rPr>
          <w:rFonts w:ascii="Arial" w:cs="Arial" w:eastAsia="Arial" w:hAnsi="Arial"/>
          <w:sz w:val="18"/>
          <w:szCs w:val="18"/>
          <w:color w:val="auto"/>
        </w:rPr>
      </w:pPr>
    </w:p>
    <w:p>
      <w:pPr>
        <w:ind w:left="580" w:right="120" w:hanging="329"/>
        <w:spacing w:after="0" w:line="259"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systems of internal controls and insurance policies to mitigate this exposure;</w:t>
      </w:r>
    </w:p>
    <w:p>
      <w:pPr>
        <w:spacing w:after="0" w:line="78" w:lineRule="exact"/>
        <w:rPr>
          <w:rFonts w:ascii="Arial" w:cs="Arial" w:eastAsia="Arial" w:hAnsi="Arial"/>
          <w:sz w:val="18"/>
          <w:szCs w:val="18"/>
          <w:color w:val="auto"/>
        </w:rPr>
      </w:pPr>
    </w:p>
    <w:p>
      <w:pPr>
        <w:ind w:left="580" w:right="180" w:hanging="329"/>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580" w:right="140" w:hanging="329"/>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580" w:right="60" w:hanging="329"/>
        <w:spacing w:after="0" w:line="293"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56" w:lineRule="exact"/>
        <w:rPr>
          <w:rFonts w:ascii="Arial" w:cs="Arial" w:eastAsia="Arial" w:hAnsi="Arial"/>
          <w:sz w:val="16"/>
          <w:szCs w:val="16"/>
          <w:color w:val="auto"/>
        </w:rPr>
      </w:pPr>
    </w:p>
    <w:p>
      <w:pPr>
        <w:ind w:left="580" w:right="420" w:hanging="329"/>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June 30, 2018 or December 31, 2017.</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LITIGATION AND CONTINGENCIES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From time to time, the Company is a party to legal or regulatory proceedings arising in the ordinary course of its business. Currently, there are no legal proceedings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80" w:lineRule="exact"/>
        <w:rPr>
          <w:sz w:val="20"/>
          <w:szCs w:val="20"/>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the closing of any pending acquisitions;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effects of changes in laws or accounting standards;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6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the effects in Europe of the Brexit vote and economic conditions in specific countries and regions; the effects of demonetization in India;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consumer and data protection requirements, and the E.U. General Data Protection Regulation, or GDPR, and Payment Services Directive 2, or PSD2, requirements; changes in laws and regulations affecting our business, including tax and immigration laws and any laws regulating payments, including DCC transactions; changes in our relationships with, or in fees charged by, our business partners; competition; the outcome of claims and other loss contingencies affecting Euronet; and those factors referred to above and as set forth and more fully described in Part I, Item 1A — Risk Factors of our Annual Report on Form 10-K for the year ended December 31, 2017 and in Part II, Item 1A-Risk Factors in our Quarterly Report on Form 10-Q for the quarter ended March 31, 2018. Our Annual Report on Form 10-K and Quarterly Reports on Form 10-Q are available on the SEC's EDGAR website at www.sec.gov, and copies may also be obtained by contacting the Company. 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Euronet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electronic distribution of prepaid mobile airtime and other electronic payment products, foreign currency exchange services and global money transfer services. We operate in the following three segments:</w:t>
      </w:r>
    </w:p>
    <w:p>
      <w:pPr>
        <w:spacing w:after="0" w:line="46" w:lineRule="exact"/>
        <w:rPr>
          <w:sz w:val="20"/>
          <w:szCs w:val="20"/>
          <w:color w:val="auto"/>
        </w:rPr>
      </w:pPr>
    </w:p>
    <w:p>
      <w:pPr>
        <w:ind w:left="980" w:right="280" w:hanging="648"/>
        <w:spacing w:after="0" w:line="276"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EFT Processing Segment, which processes transactions for a network of 41,205 ATMs and approximately 276,000 POS terminals across Europe, the Middle East and Asia Pacific. We provide comprehensive electronic payment solutions consisting of ATM cash withdrawal and deposit services, ATM network participation, outsourced ATM and POS management solutions, credit and debit card outsourcing, dynamic currency conversion ("DCC"), and other value added services. Through this segment, we also offer a suite of integrated electronic financial transaction software solutions for electronic payment and transaction delivery systems.</w:t>
      </w:r>
    </w:p>
    <w:p>
      <w:pPr>
        <w:spacing w:after="0" w:line="64" w:lineRule="exact"/>
        <w:rPr>
          <w:rFonts w:ascii="Arial" w:cs="Arial" w:eastAsia="Arial" w:hAnsi="Arial"/>
          <w:sz w:val="17"/>
          <w:szCs w:val="17"/>
          <w:color w:val="auto"/>
        </w:rPr>
      </w:pPr>
    </w:p>
    <w:p>
      <w:pPr>
        <w:ind w:left="980" w:right="100" w:hanging="648"/>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epay Segment, which provides distribution, processing and collection services for prepaid mobile airtime and other electronic payment products. We operate a network of approximately 695,000 POS terminals providing electronic processing of prepaid mobile airtime top-up services and other electronic payment products in Europe, the Middle East, Asia Pacific, the United States and South America. We also provide vouchers and physical gift fulfillment services in Europe.</w:t>
      </w:r>
    </w:p>
    <w:p>
      <w:pPr>
        <w:spacing w:after="0" w:line="78" w:lineRule="exact"/>
        <w:rPr>
          <w:rFonts w:ascii="Arial" w:cs="Arial" w:eastAsia="Arial" w:hAnsi="Arial"/>
          <w:sz w:val="18"/>
          <w:szCs w:val="18"/>
          <w:color w:val="auto"/>
        </w:rPr>
      </w:pPr>
    </w:p>
    <w:p>
      <w:pPr>
        <w:ind w:left="980" w:right="20" w:hanging="648"/>
        <w:spacing w:after="0" w:line="270"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Money Transfer Segment, which provides global consumer-to-consumer money transfer services, primarily under the brand names Ria, IME and xe, and global account-to-account money transfer services under the brand name HiFX. We offer services under the brand names Ria and IME through a network of sending agents, Company-owned stores (primarily in North America, Europe and Malaysia) and Ria branded websites (riamoneytransfer.com and imeremit.com), disbursing money transfers through a worldwide correspondent network that includes approximately 355,000 locations. xe is a provider of foreign currency exchange information and offers money transfer services on its currency data websites (xe.com and x-rates.com). We offer services under the brand name HiFX through HiFX branded websites and HiFX customer service representatives.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Through our HiFM brand, we offer cash management solutions and foreign currency risk management services to small-to-medium sized businesses.</w:t>
      </w:r>
    </w:p>
    <w:p>
      <w:pPr>
        <w:spacing w:after="0" w:line="70" w:lineRule="exact"/>
        <w:rPr>
          <w:sz w:val="20"/>
          <w:szCs w:val="20"/>
          <w:color w:val="auto"/>
        </w:rPr>
      </w:pPr>
    </w:p>
    <w:p>
      <w:pPr>
        <w:ind w:left="60" w:right="100"/>
        <w:spacing w:after="0" w:line="259" w:lineRule="auto"/>
        <w:rPr>
          <w:sz w:val="20"/>
          <w:szCs w:val="20"/>
          <w:color w:val="auto"/>
        </w:rPr>
      </w:pPr>
      <w:r>
        <w:rPr>
          <w:rFonts w:ascii="Arial" w:cs="Arial" w:eastAsia="Arial" w:hAnsi="Arial"/>
          <w:sz w:val="18"/>
          <w:szCs w:val="18"/>
          <w:color w:val="auto"/>
        </w:rPr>
        <w:t>We have six processing centers in Europe, five in Asia Pacific and two in North America. We have 36 principal offices in Europe, 11 in Asia Pacific, nine in North America, three in the Middle East, two in South America and one in Africa. Our executive offices are located in Leawood, Kansas, USA. With approximately 70% of our revenues denominated in currencies other than the U.S. dollar, any significant changes in foreign currency exchange rates will likely have a significant impact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Euronet primarily earns revenues and income from ATM management fees, transaction fees, commissions and foreign currency exchange margin. Each operating segment’s sources of revenues are described below.</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EFT Processing Segment </w:t>
      </w:r>
      <w:r>
        <w:rPr>
          <w:rFonts w:ascii="Arial" w:cs="Arial" w:eastAsia="Arial" w:hAnsi="Arial"/>
          <w:sz w:val="16"/>
          <w:szCs w:val="16"/>
          <w:color w:val="auto"/>
        </w:rPr>
        <w:t>— Revenues in the EFT Processing Segment, which represented approximately 31% and 28% of total consolidated revenues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quarter and first half of 2018, respectively, are primarily derived from fees charged for transactions made by cardholders on our proprietary network of ATMs, fixed management fees and transaction fees we charge to customers for operating ATMs and processing debit and credit cards under outsourcing and cross-border acquiring agreements, direct access fees, foreign currency exchange margin on DCC transactions, and other value added services such as advertising, prepaid telecommunication recharges, bill payment, and money transfers provided over ATMs. Revenues in this segment are also derived from license fees, professional services and maintenance fees for proprietary application software and sales of related hardware.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epay Segment </w:t>
      </w:r>
      <w:r>
        <w:rPr>
          <w:rFonts w:ascii="Arial" w:cs="Arial" w:eastAsia="Arial" w:hAnsi="Arial"/>
          <w:sz w:val="17"/>
          <w:szCs w:val="17"/>
          <w:color w:val="auto"/>
        </w:rPr>
        <w:t>— Revenues in the epay Segment, which represented approximately 27% and 29% of total consolidated revenues for the second quarter and</w:t>
      </w:r>
      <w:r>
        <w:rPr>
          <w:rFonts w:ascii="Arial" w:cs="Arial" w:eastAsia="Arial" w:hAnsi="Arial"/>
          <w:sz w:val="17"/>
          <w:szCs w:val="17"/>
          <w:i w:val="1"/>
          <w:iCs w:val="1"/>
          <w:color w:val="auto"/>
        </w:rPr>
        <w:t xml:space="preserve"> </w:t>
      </w:r>
      <w:r>
        <w:rPr>
          <w:rFonts w:ascii="Arial" w:cs="Arial" w:eastAsia="Arial" w:hAnsi="Arial"/>
          <w:sz w:val="17"/>
          <w:szCs w:val="17"/>
          <w:color w:val="auto"/>
        </w:rPr>
        <w:t>first half of 2018, respectively, are derived from commissions or processing fees received from mobile phone operators for the processing and distribution of prepaid mobile airtime and commissions earned from the distribution of other electronic payment products, vouchers, and physical gifts. The proportion of epay Segment revenues earned from the distribution of prepaid mobile phone time as compared with other electronic products has decreased over time, and non-mobile content now produces approximately 66% of epay Segment revenues. Other electronic payment products offered by this segment include digital content such as music, games and software, as well as other products, including prepaid long distance calling card plans, prepaid Internet plans, prepaid debit cards, gift cards, vouchers, transport payments, lottery payments, bill payment, and money transfer.</w:t>
      </w:r>
    </w:p>
    <w:p>
      <w:pPr>
        <w:spacing w:after="0" w:line="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Money Transfer Segment </w:t>
      </w:r>
      <w:r>
        <w:rPr>
          <w:rFonts w:ascii="Arial" w:cs="Arial" w:eastAsia="Arial" w:hAnsi="Arial"/>
          <w:sz w:val="16"/>
          <w:szCs w:val="16"/>
          <w:color w:val="auto"/>
        </w:rPr>
        <w:t>— Revenues in the Money Transfer Segment, which represented approximately 42% and 43% of total consolidated revenues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quarter and first half of 2018, respectively,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Ria, xe and HiFX branded websites,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5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offers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is effective until April 2020. Thereafter, it will automatically renew for subsequent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5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eight primary areas:</w:t>
      </w:r>
    </w:p>
    <w:p>
      <w:pPr>
        <w:spacing w:after="0" w:line="117"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the number of ATMs and cash deposit terminals in our independent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 and POS devices;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w:t>
      </w:r>
    </w:p>
    <w:p>
      <w:pPr>
        <w:spacing w:after="0" w:line="117" w:lineRule="exact"/>
        <w:rPr>
          <w:rFonts w:ascii="Arial" w:cs="Arial" w:eastAsia="Arial" w:hAnsi="Arial"/>
          <w:sz w:val="18"/>
          <w:szCs w:val="18"/>
          <w:color w:val="auto"/>
        </w:rPr>
      </w:pPr>
    </w:p>
    <w:p>
      <w:pPr>
        <w:ind w:left="980" w:right="36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value added services and other products offered by our EFT Processing Segment, including the sale of DCC, acquiring and other prepaid card services to banks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epay processing network and portfolio of digital content;</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money transfer services, cross-currency payment products and bill payment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cash management solutions and foreign currency risk management services;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our credit and debit card outsourcing business.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 and revenues;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enter into and renew ATM network cash supply agreements with financial institutions;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efficiently to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line="342"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impact of changes in rules imposed by international card organizations such as Visa and Mastercard on card transactions on ATMs, including reductions in ATM interchange fees, restrictions on the ability to apply direct access fees and increases in fees charged on DCC transactions;</w:t>
      </w:r>
    </w:p>
    <w:p>
      <w:pPr>
        <w:spacing w:after="0" w:line="15" w:lineRule="exact"/>
        <w:rPr>
          <w:rFonts w:ascii="Arial" w:cs="Arial" w:eastAsia="Arial" w:hAnsi="Arial"/>
          <w:sz w:val="16"/>
          <w:szCs w:val="16"/>
          <w:color w:val="auto"/>
        </w:rPr>
      </w:pPr>
    </w:p>
    <w:p>
      <w:pPr>
        <w:ind w:left="980" w:hanging="648"/>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impact of changes in laws and regulations affecting the profitability of our services, including regulation of DCC transactions by the E.U.;</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 regulatory considerations of local countries. These agreements tend to cover large numbers of ATMs, so significant increases and decreases in our pool of managed ATMs could result from the acquisition or termination of one or more of these management contracts. Therefore, the timing of both current and new contract revenues is uncertain and unpredictable.</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36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operators, digital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use existing expertise and relationships with mobile operators, digital content providers and retailers to our advantage;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continued use of third-party providers such as ourselves to supply electronic processing solutions for existing and additional digital content;</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development of mobile phone networks in the markets in which we do business and the increase in the number of mobile phone users;</w:t>
      </w:r>
    </w:p>
    <w:p>
      <w:pPr>
        <w:spacing w:after="0" w:line="128" w:lineRule="exact"/>
        <w:rPr>
          <w:rFonts w:ascii="Arial" w:cs="Arial" w:eastAsia="Arial" w:hAnsi="Arial"/>
          <w:sz w:val="17"/>
          <w:szCs w:val="17"/>
          <w:color w:val="auto"/>
        </w:rPr>
      </w:pPr>
    </w:p>
    <w:p>
      <w:pPr>
        <w:ind w:left="980" w:right="40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and digital content market, including consumer shifts between prepaid and postpaid services;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and effectively market additional value added services;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right="10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EFT Processing and Money Transfer Segments,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3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all of the markets in which we operate, we are experiencing significant competition which will impact the rate at which we may be able to grow organically. Competition among prepaid mobile airtime and digital content distributors results in the increase of commissions paid to retailers and increases in retailer attrition rates. To grow, we must capture market share from other prepaid mobile airtime and digital content distributors, offer a superior product offering and demonstrate the value of a global network. In certain markets in which we operate, many of the factors that may contribute to rapid growth (growth in electronic payment products, expansion of our network of retailers and access to products of mobile operators and other content providers) remain present.</w:t>
      </w:r>
    </w:p>
    <w:p>
      <w:pPr>
        <w:spacing w:after="0" w:line="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220" w:hanging="648"/>
        <w:spacing w:after="0" w:line="30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mitigation of economic and political factors that have had an adverse impact on money transfer volumes, such as changes in the economic sectors in which immigrants work and the developments in immigration policies in the countries in which we operate;</w:t>
      </w:r>
    </w:p>
    <w:p>
      <w:pPr>
        <w:spacing w:after="0" w:line="38" w:lineRule="exact"/>
        <w:rPr>
          <w:rFonts w:ascii="Arial" w:cs="Arial" w:eastAsia="Arial" w:hAnsi="Arial"/>
          <w:sz w:val="17"/>
          <w:szCs w:val="17"/>
          <w:color w:val="auto"/>
        </w:rPr>
      </w:pPr>
    </w:p>
    <w:p>
      <w:pPr>
        <w:ind w:left="980" w:right="6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high-income individuals,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right="34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 and our ability to acquire, develop and implement new technologies;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18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the epay Segment, including providing prepaid services through our stores and agents worldwide;</w:t>
      </w:r>
    </w:p>
    <w:p>
      <w:pPr>
        <w:spacing w:after="0" w:line="62"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maintain banking relationships necessary for us to service our customers;</w:t>
      </w:r>
    </w:p>
    <w:p>
      <w:pPr>
        <w:spacing w:after="0" w:line="117"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institution licenses under the Payment Services Directive and in the United States;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provide additional value-added products under the xe brand,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considerations regarding the use of our various trade names within the money transfer business.</w:t>
      </w:r>
    </w:p>
    <w:p>
      <w:pPr>
        <w:spacing w:after="0" w:line="33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our ability to maintain current processing technology and efficiencies, as well as deliver new and innovative services to compete in the marketplace.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Revenues and operating income by segment for the three and six months ended June 30, 2018 and 2017 are summarized in the tables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12"/>
          </w:tcPr>
          <w:p>
            <w:pPr>
              <w:jc w:val="right"/>
              <w:ind w:right="140"/>
              <w:spacing w:after="0"/>
              <w:rPr>
                <w:sz w:val="20"/>
                <w:szCs w:val="20"/>
                <w:color w:val="auto"/>
              </w:rPr>
            </w:pPr>
            <w:r>
              <w:rPr>
                <w:rFonts w:ascii="Arial" w:cs="Arial" w:eastAsia="Arial" w:hAnsi="Arial"/>
                <w:sz w:val="14"/>
                <w:szCs w:val="14"/>
                <w:b w:val="1"/>
                <w:bCs w:val="1"/>
                <w:color w:val="auto"/>
                <w:w w:val="93"/>
              </w:rPr>
              <w:t>Revenues for the Three Months Ended</w:t>
            </w:r>
          </w:p>
        </w:tc>
        <w:tc>
          <w:tcPr>
            <w:tcW w:w="120" w:type="dxa"/>
            <w:vAlign w:val="bottom"/>
          </w:tcPr>
          <w:p>
            <w:pPr>
              <w:spacing w:after="0"/>
              <w:rPr>
                <w:sz w:val="14"/>
                <w:szCs w:val="14"/>
                <w:color w:val="auto"/>
              </w:rPr>
            </w:pPr>
          </w:p>
        </w:tc>
        <w:tc>
          <w:tcPr>
            <w:tcW w:w="1760" w:type="dxa"/>
            <w:vAlign w:val="bottom"/>
            <w:gridSpan w:val="6"/>
            <w:vMerge w:val="restart"/>
          </w:tcPr>
          <w:p>
            <w:pPr>
              <w:ind w:left="120"/>
              <w:spacing w:after="0"/>
              <w:rPr>
                <w:sz w:val="20"/>
                <w:szCs w:val="20"/>
                <w:color w:val="auto"/>
              </w:rPr>
            </w:pPr>
            <w:r>
              <w:rPr>
                <w:rFonts w:ascii="Arial" w:cs="Arial" w:eastAsia="Arial" w:hAnsi="Arial"/>
                <w:sz w:val="14"/>
                <w:szCs w:val="14"/>
                <w:b w:val="1"/>
                <w:bCs w:val="1"/>
                <w:color w:val="auto"/>
              </w:rPr>
              <w:t>Year-over-Year Change</w:t>
            </w:r>
          </w:p>
        </w:tc>
        <w:tc>
          <w:tcPr>
            <w:tcW w:w="100" w:type="dxa"/>
            <w:vAlign w:val="bottom"/>
            <w:vMerge w:val="restart"/>
          </w:tcPr>
          <w:p>
            <w:pPr>
              <w:spacing w:after="0"/>
              <w:rPr>
                <w:sz w:val="14"/>
                <w:szCs w:val="14"/>
                <w:color w:val="auto"/>
              </w:rPr>
            </w:pPr>
          </w:p>
        </w:tc>
        <w:tc>
          <w:tcPr>
            <w:tcW w:w="2360" w:type="dxa"/>
            <w:vAlign w:val="bottom"/>
            <w:gridSpan w:val="8"/>
          </w:tcPr>
          <w:p>
            <w:pPr>
              <w:ind w:left="100"/>
              <w:spacing w:after="0"/>
              <w:rPr>
                <w:sz w:val="20"/>
                <w:szCs w:val="20"/>
                <w:color w:val="auto"/>
              </w:rPr>
            </w:pPr>
            <w:r>
              <w:rPr>
                <w:rFonts w:ascii="Arial" w:cs="Arial" w:eastAsia="Arial" w:hAnsi="Arial"/>
                <w:sz w:val="14"/>
                <w:szCs w:val="14"/>
                <w:b w:val="1"/>
                <w:bCs w:val="1"/>
                <w:color w:val="auto"/>
                <w:w w:val="93"/>
              </w:rPr>
              <w:t>Revenues for the Six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4"/>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Increase</w:t>
            </w: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7"/>
              </w:rPr>
              <w:t>Increase</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9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 amounts in thousands)</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194,893</w:t>
            </w: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155,957</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38,936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330,597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261,709</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68,888</w:t>
            </w: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6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166,463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164,127</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2,336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343,308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328,297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15,011</w:t>
            </w:r>
          </w:p>
        </w:tc>
        <w:tc>
          <w:tcPr>
            <w:tcW w:w="4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261,816</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217,127</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44,689</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500,652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421,100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79,552</w:t>
            </w:r>
          </w:p>
        </w:tc>
        <w:tc>
          <w:tcPr>
            <w:tcW w:w="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1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623,172</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537,211</w:t>
            </w: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85,961</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1,174,557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2"/>
              </w:rPr>
              <w:t>1,011,106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163,451</w:t>
            </w:r>
          </w:p>
        </w:tc>
        <w:tc>
          <w:tcPr>
            <w:tcW w:w="40" w:type="dxa"/>
            <w:vAlign w:val="bottom"/>
            <w:tcBorders>
              <w:top w:val="single" w:sz="8" w:color="auto"/>
            </w:tcBorders>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eliminations and other</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(648)</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622,224</w:t>
            </w:r>
          </w:p>
        </w:tc>
        <w:tc>
          <w:tcPr>
            <w:tcW w:w="2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536,563</w:t>
            </w:r>
          </w:p>
        </w:tc>
        <w:tc>
          <w:tcPr>
            <w:tcW w:w="4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85,661</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1,172,739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2"/>
              </w:rPr>
              <w:t>1,009,943</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162,796</w:t>
            </w:r>
          </w:p>
        </w:tc>
        <w:tc>
          <w:tcPr>
            <w:tcW w:w="40" w:type="dxa"/>
            <w:vAlign w:val="bottom"/>
            <w:tcBorders>
              <w:top w:val="single" w:sz="8" w:color="auto"/>
              <w:bottom w:val="single" w:sz="8" w:color="auto"/>
            </w:tcBorders>
          </w:tcPr>
          <w:p>
            <w:pPr>
              <w:spacing w:after="0"/>
              <w:rPr>
                <w:sz w:val="22"/>
                <w:szCs w:val="22"/>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540" w:type="dxa"/>
            <w:vAlign w:val="bottom"/>
            <w:gridSpan w:val="11"/>
          </w:tcPr>
          <w:p>
            <w:pPr>
              <w:jc w:val="right"/>
              <w:ind w:right="240"/>
              <w:spacing w:after="0"/>
              <w:rPr>
                <w:sz w:val="20"/>
                <w:szCs w:val="20"/>
                <w:color w:val="auto"/>
              </w:rPr>
            </w:pPr>
            <w:r>
              <w:rPr>
                <w:rFonts w:ascii="Arial" w:cs="Arial" w:eastAsia="Arial" w:hAnsi="Arial"/>
                <w:sz w:val="14"/>
                <w:szCs w:val="14"/>
                <w:b w:val="1"/>
                <w:bCs w:val="1"/>
                <w:color w:val="auto"/>
                <w:w w:val="96"/>
              </w:rPr>
              <w:t>Operating Income (Expense) for the</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40" w:type="dxa"/>
            <w:vAlign w:val="bottom"/>
            <w:gridSpan w:val="5"/>
            <w:vMerge w:val="restart"/>
          </w:tcPr>
          <w:p>
            <w:pPr>
              <w:jc w:val="right"/>
              <w:ind w:right="195"/>
              <w:spacing w:after="0"/>
              <w:rPr>
                <w:sz w:val="20"/>
                <w:szCs w:val="20"/>
                <w:color w:val="auto"/>
              </w:rPr>
            </w:pPr>
            <w:r>
              <w:rPr>
                <w:rFonts w:ascii="Arial" w:cs="Arial" w:eastAsia="Arial" w:hAnsi="Arial"/>
                <w:sz w:val="14"/>
                <w:szCs w:val="14"/>
                <w:b w:val="1"/>
                <w:bCs w:val="1"/>
                <w:color w:val="auto"/>
                <w:w w:val="92"/>
              </w:rPr>
              <w:t>Year-over-Year Change</w:t>
            </w:r>
          </w:p>
        </w:tc>
        <w:tc>
          <w:tcPr>
            <w:tcW w:w="120" w:type="dxa"/>
            <w:vAlign w:val="bottom"/>
            <w:gridSpan w:val="2"/>
            <w:vMerge w:val="restart"/>
          </w:tcPr>
          <w:p>
            <w:pPr>
              <w:spacing w:after="0"/>
              <w:rPr>
                <w:sz w:val="23"/>
                <w:szCs w:val="23"/>
                <w:color w:val="auto"/>
              </w:rPr>
            </w:pPr>
          </w:p>
        </w:tc>
        <w:tc>
          <w:tcPr>
            <w:tcW w:w="2360" w:type="dxa"/>
            <w:vAlign w:val="bottom"/>
            <w:gridSpan w:val="8"/>
          </w:tcPr>
          <w:p>
            <w:pPr>
              <w:ind w:left="20"/>
              <w:spacing w:after="0"/>
              <w:rPr>
                <w:sz w:val="20"/>
                <w:szCs w:val="20"/>
                <w:color w:val="auto"/>
              </w:rPr>
            </w:pPr>
            <w:r>
              <w:rPr>
                <w:rFonts w:ascii="Arial" w:cs="Arial" w:eastAsia="Arial" w:hAnsi="Arial"/>
                <w:sz w:val="14"/>
                <w:szCs w:val="14"/>
                <w:b w:val="1"/>
                <w:bCs w:val="1"/>
                <w:color w:val="auto"/>
                <w:w w:val="97"/>
              </w:rPr>
              <w:t>Operating Income (Expense) for the</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80" w:type="dxa"/>
            <w:vAlign w:val="bottom"/>
            <w:gridSpan w:val="5"/>
            <w:vMerge w:val="restart"/>
          </w:tcPr>
          <w:p>
            <w:pPr>
              <w:jc w:val="right"/>
              <w:ind w:right="248"/>
              <w:spacing w:after="0"/>
              <w:rPr>
                <w:sz w:val="20"/>
                <w:szCs w:val="20"/>
                <w:color w:val="auto"/>
              </w:rPr>
            </w:pPr>
            <w:r>
              <w:rPr>
                <w:rFonts w:ascii="Arial" w:cs="Arial" w:eastAsia="Arial" w:hAnsi="Arial"/>
                <w:sz w:val="14"/>
                <w:szCs w:val="14"/>
                <w:b w:val="1"/>
                <w:bCs w:val="1"/>
                <w:color w:val="auto"/>
                <w:w w:val="99"/>
              </w:rPr>
              <w:t>Year-over-Year Change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7"/>
          </w:tcPr>
          <w:p>
            <w:pPr>
              <w:jc w:val="right"/>
              <w:ind w:right="193"/>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right"/>
              <w:ind w:right="173"/>
              <w:spacing w:after="0"/>
              <w:rPr>
                <w:sz w:val="20"/>
                <w:szCs w:val="20"/>
                <w:color w:val="auto"/>
              </w:rPr>
            </w:pPr>
            <w:r>
              <w:rPr>
                <w:rFonts w:ascii="Arial" w:cs="Arial" w:eastAsia="Arial" w:hAnsi="Arial"/>
                <w:sz w:val="14"/>
                <w:szCs w:val="14"/>
                <w:b w:val="1"/>
                <w:bCs w:val="1"/>
                <w:color w:val="auto"/>
                <w:w w:val="97"/>
              </w:rPr>
              <w:t>Six Months Ended June 30,</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Increase</w:t>
            </w:r>
          </w:p>
        </w:tc>
        <w:tc>
          <w:tcPr>
            <w:tcW w:w="96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Increase</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(Decrease)</w:t>
            </w:r>
          </w:p>
        </w:tc>
        <w:tc>
          <w:tcPr>
            <w:tcW w:w="200" w:type="dxa"/>
            <w:vAlign w:val="bottom"/>
          </w:tcPr>
          <w:p>
            <w:pPr>
              <w:spacing w:after="0"/>
              <w:rPr>
                <w:sz w:val="12"/>
                <w:szCs w:val="12"/>
                <w:color w:val="auto"/>
              </w:rPr>
            </w:pPr>
          </w:p>
        </w:tc>
        <w:tc>
          <w:tcPr>
            <w:tcW w:w="9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gridSpan w:val="2"/>
          </w:tcPr>
          <w:p>
            <w:pPr>
              <w:spacing w:after="0"/>
              <w:rPr>
                <w:sz w:val="16"/>
                <w:szCs w:val="16"/>
                <w:color w:val="auto"/>
              </w:rPr>
            </w:pPr>
          </w:p>
        </w:tc>
        <w:tc>
          <w:tcPr>
            <w:tcW w:w="8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Percent</w:t>
            </w:r>
          </w:p>
        </w:tc>
        <w:tc>
          <w:tcPr>
            <w:tcW w:w="120" w:type="dxa"/>
            <w:vAlign w:val="bottom"/>
            <w:tcBorders>
              <w:bottom w:val="single" w:sz="8" w:color="CCEEFF"/>
            </w:tcBorders>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52,922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39,331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87"/>
              </w:rPr>
              <w:t>13,591</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64,469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50,293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14,176</w:t>
            </w: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6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16,329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14,789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ind w:right="35"/>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33,224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28,711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4,513</w:t>
            </w:r>
          </w:p>
        </w:tc>
        <w:tc>
          <w:tcPr>
            <w:tcW w:w="4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32,612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24,904</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7,708</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59,066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50,999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8,067</w:t>
            </w:r>
          </w:p>
        </w:tc>
        <w:tc>
          <w:tcPr>
            <w:tcW w:w="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1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101,863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79,024</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w w:val="87"/>
              </w:rPr>
              <w:t>22,839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156,759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2"/>
              </w:rPr>
              <w:t>130,003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26,756</w:t>
            </w:r>
          </w:p>
        </w:tc>
        <w:tc>
          <w:tcPr>
            <w:tcW w:w="4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eliminations and other</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(12,333)</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(20,918)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(22,026)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1,108</w:t>
            </w:r>
          </w:p>
        </w:tc>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90,369</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66,691</w:t>
            </w:r>
          </w:p>
        </w:tc>
        <w:tc>
          <w:tcPr>
            <w:tcW w:w="1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87"/>
              </w:rPr>
              <w:t>23,678</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36 %</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135,841</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2"/>
              </w:rPr>
              <w:t>107,977</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27,864</w:t>
            </w:r>
          </w:p>
        </w:tc>
        <w:tc>
          <w:tcPr>
            <w:tcW w:w="40" w:type="dxa"/>
            <w:vAlign w:val="bottom"/>
          </w:tcPr>
          <w:p>
            <w:pPr>
              <w:spacing w:after="0"/>
              <w:rPr>
                <w:sz w:val="22"/>
                <w:szCs w:val="22"/>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26 %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26</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25" w:right="3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revenues and local expenses are recorded in the functional currencies of our operating entities and translated into U.S. dollars for financial reporting purposes; therefore, amounts we earn outside the U.S. are negatively impacted by a stronger U.S. dollar and positively impacted by a weaker U.S. dollar. Considering the results by country and the associated functional currency, we estimate that our reported consolidated operating income for the second quarter and first half of 2018 was 6% and 7% more, respectively, due to the changes in foreign currency exchange rates when compared to the same periods of 2017.</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Average Translation Rate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Increase</w:t>
            </w:r>
          </w:p>
        </w:tc>
        <w:tc>
          <w:tcPr>
            <w:tcW w:w="340" w:type="dxa"/>
            <w:vAlign w:val="bottom"/>
          </w:tcPr>
          <w:p>
            <w:pPr>
              <w:spacing w:after="0"/>
              <w:rPr>
                <w:sz w:val="14"/>
                <w:szCs w:val="14"/>
                <w:color w:val="auto"/>
              </w:rPr>
            </w:pPr>
          </w:p>
        </w:tc>
        <w:tc>
          <w:tcPr>
            <w:tcW w:w="258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Average Translation Rate</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gridSpan w:val="4"/>
          </w:tcPr>
          <w:p>
            <w:pPr>
              <w:jc w:val="right"/>
              <w:ind w:right="352"/>
              <w:spacing w:after="0" w:line="145" w:lineRule="exact"/>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2580" w:type="dxa"/>
            <w:vAlign w:val="bottom"/>
            <w:gridSpan w:val="4"/>
          </w:tcPr>
          <w:p>
            <w:pPr>
              <w:jc w:val="right"/>
              <w:ind w:right="512"/>
              <w:spacing w:after="0" w:line="145" w:lineRule="exact"/>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240" w:type="dxa"/>
            <w:vAlign w:val="bottom"/>
            <w:gridSpan w:val="2"/>
            <w:vMerge w:val="restart"/>
          </w:tcPr>
          <w:p>
            <w:pPr>
              <w:jc w:val="center"/>
              <w:ind w:right="200"/>
              <w:spacing w:after="0" w:line="139" w:lineRule="exact"/>
              <w:rPr>
                <w:sz w:val="20"/>
                <w:szCs w:val="20"/>
                <w:color w:val="auto"/>
              </w:rPr>
            </w:pPr>
            <w:r>
              <w:rPr>
                <w:rFonts w:ascii="Arial" w:cs="Arial" w:eastAsia="Arial" w:hAnsi="Arial"/>
                <w:sz w:val="14"/>
                <w:szCs w:val="14"/>
                <w:b w:val="1"/>
                <w:bCs w:val="1"/>
                <w:color w:val="auto"/>
                <w:w w:val="89"/>
              </w:rPr>
              <w:t>(Decrease)</w:t>
            </w: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restart"/>
          </w:tcPr>
          <w:p>
            <w:pPr>
              <w:jc w:val="right"/>
              <w:ind w:right="142"/>
              <w:spacing w:after="0" w:line="13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5"/>
        </w:trPr>
        <w:tc>
          <w:tcPr>
            <w:tcW w:w="2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Currency (dollars per foreign currency)</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0.7567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0.7507</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0.7713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0.7544</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British pound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1.3602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1.2788</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6 %</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1.3760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1.2589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1.1001</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1.0827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Hungarian forint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0.0038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0.0036</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6 %</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0.0039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0.0035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0.0149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0.0155</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0.0152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0.0152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Malaysian ringgit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0.2534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0.2309</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10 %</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0.2542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0.2280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0.7042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0.7047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0.7156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0.7080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Polish zloty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0.2799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0.2610</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7 %</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0.2870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0.2539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594"/>
        </w:trPr>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gridSpan w:val="3"/>
          </w:tcPr>
          <w:p>
            <w:pPr>
              <w:jc w:val="right"/>
              <w:ind w:right="924"/>
              <w:spacing w:after="0"/>
              <w:rPr>
                <w:sz w:val="20"/>
                <w:szCs w:val="20"/>
                <w:color w:val="auto"/>
              </w:rPr>
            </w:pPr>
            <w:r>
              <w:rPr>
                <w:rFonts w:ascii="Arial" w:cs="Arial" w:eastAsia="Arial" w:hAnsi="Arial"/>
                <w:sz w:val="18"/>
                <w:szCs w:val="18"/>
                <w:color w:val="auto"/>
                <w:w w:val="89"/>
              </w:rPr>
              <w:t>27</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25" w:right="3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AND SIX MONTHS ENDED JUNE 30, 2018 AND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 and six months ended June 30, 2018 and 2017 for our EFT Processing Segment: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80" w:type="dxa"/>
            <w:vAlign w:val="bottom"/>
            <w:gridSpan w:val="3"/>
            <w:vMerge w:val="restart"/>
          </w:tcPr>
          <w:p>
            <w:pPr>
              <w:jc w:val="right"/>
              <w:ind w:right="182"/>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880" w:type="dxa"/>
            <w:vAlign w:val="bottom"/>
            <w:gridSpan w:val="3"/>
            <w:vMerge w:val="restart"/>
          </w:tcPr>
          <w:p>
            <w:pPr>
              <w:jc w:val="right"/>
              <w:ind w:right="18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3"/>
                <w:szCs w:val="13"/>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15"/>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98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(Decrease)</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194,893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155,957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38,936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330,597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5"/>
              </w:rPr>
              <w:t>261,709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68,888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96,326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18,670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178,163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5"/>
              </w:rPr>
              <w:t>139,729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38,434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19,046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15,562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3,484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36,051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29,308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6,743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2,320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19,331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15,082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4,249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Acquired intangible assets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340"/>
              <w:spacing w:after="0"/>
              <w:rPr>
                <w:sz w:val="20"/>
                <w:szCs w:val="20"/>
                <w:color w:val="auto"/>
              </w:rPr>
            </w:pPr>
            <w:r>
              <w:rPr>
                <w:rFonts w:ascii="Arial" w:cs="Arial" w:eastAsia="Arial" w:hAnsi="Arial"/>
                <w:sz w:val="18"/>
                <w:szCs w:val="18"/>
                <w:color w:val="auto"/>
              </w:rPr>
              <w:t>impairment</w:t>
            </w:r>
          </w:p>
        </w:tc>
        <w:tc>
          <w:tcPr>
            <w:tcW w:w="2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20"/>
                <w:szCs w:val="20"/>
                <w:color w:val="auto"/>
              </w:rPr>
            </w:pP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20"/>
                <w:szCs w:val="20"/>
                <w:color w:val="auto"/>
              </w:rPr>
            </w:pPr>
          </w:p>
        </w:tc>
        <w:tc>
          <w:tcPr>
            <w:tcW w:w="980" w:type="dxa"/>
            <w:vAlign w:val="bottom"/>
          </w:tcPr>
          <w:p>
            <w:pPr>
              <w:jc w:val="right"/>
              <w:ind w:right="10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13,226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3,157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32,583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7,572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266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141,971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116,626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25,345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266,128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5"/>
              </w:rPr>
              <w:t>211,416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54,712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52,922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39,331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13,591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64,469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50,293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14,176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660" w:type="dxa"/>
            <w:vAlign w:val="bottom"/>
            <w:gridSpan w:val="2"/>
            <w:vMerge w:val="restart"/>
          </w:tcPr>
          <w:p>
            <w:pPr>
              <w:ind w:left="180"/>
              <w:spacing w:after="0"/>
              <w:rPr>
                <w:sz w:val="20"/>
                <w:szCs w:val="20"/>
                <w:color w:val="auto"/>
              </w:rPr>
            </w:pPr>
            <w:r>
              <w:rPr>
                <w:rFonts w:ascii="Arial" w:cs="Arial" w:eastAsia="Arial" w:hAnsi="Arial"/>
                <w:sz w:val="18"/>
                <w:szCs w:val="18"/>
                <w:color w:val="auto"/>
              </w:rPr>
              <w:t>Transactions processed</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340"/>
              <w:spacing w:after="0"/>
              <w:rPr>
                <w:sz w:val="20"/>
                <w:szCs w:val="20"/>
                <w:color w:val="auto"/>
              </w:rPr>
            </w:pPr>
            <w:r>
              <w:rPr>
                <w:rFonts w:ascii="Arial" w:cs="Arial" w:eastAsia="Arial" w:hAnsi="Arial"/>
                <w:sz w:val="18"/>
                <w:szCs w:val="18"/>
                <w:color w:val="auto"/>
              </w:rPr>
              <w:t>(millions)</w:t>
            </w:r>
          </w:p>
        </w:tc>
        <w:tc>
          <w:tcPr>
            <w:tcW w:w="24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102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187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ATMs as of March 31,</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41,205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3,822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3,822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Average ATMs</w:t>
            </w: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40,513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36,872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3,641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39,082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35,725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3,357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EFT Processing Segment total revenues for the three and six months ended June 30, 2018 were $194.9 million and $330.6 million, respectively, an increase of $38.9 million or 25% and $68.9 million or 26% as compared to the same periods in 2017. The increase in total revenues for the three and six months ended June 30, 2018 were primarily due to an increase in the number of ATMs under management in Europe and the impact of the U.S. dollar weakening against key foreign currencies. Specifically, the increase in the number of ATMs contributed to increases in the number of transactions processed, including dynamic currency conversion ("DCC") transactions and direct access fees. The increases for the three and six months ended June 30, 2018 were also impacted by the recovery from a cash shortage in India due to the demonetization initiated in the fourth quarter of 2016, which carried over into the first half of 2017. In the second half of 2017, the India cash supply returned to near pre-demonetization levels. Foreign currency movements increased total revenues by approximately $10.7 million and $25.1 million for the three and six months ended June 30, 2018, respectively, as compared to the same periods in 2017. These increases were partly offset by a price reduction granted in December 2017 on a POS processing contract in exchange for a contract extension.</w:t>
      </w:r>
    </w:p>
    <w:p>
      <w:pPr>
        <w:spacing w:after="0" w:line="5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Average monthly revenues per ATM were $1,604 and $1,410 for the three and six months ended June 30, 2018, respectively, compared to $1,410 and $1,221 for the three and six months ended June 30, 2017, respectively. Revenues per transaction were $0.29 for the second quarter and $0.25 for the first half of 2018, respectively, compared to $0.27 for the second quarter and and $0.24 for the first half of 2017, respectively. The increases in average monthly revenues per ATM and revenue per transaction were primarily the result of the impact of the weakening of the U.S. dollar against key foreign currencies.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EFT Processing Segment direct operating costs were $96.3 million and $178.2 million for the three and six months ended June 30, 2018, respectively, an increase of $18.7 million or 24% and $38.4 million or 28% as compared to the same periods in 2017. Direct operating costs in the EFT Processing Segment consist primarily of site rental fees, cash delivery costs, cash supply costs, maintenance, insurance, telecommunications, data center operations-related personnel, as well as the processing centers’ facility-related costs and other processing center-related expenses and commissions paid to retail merchants, banks and card processors involved with POS DCC transactions. The increases in direct operating costs for the three and six months ended June 30, 2018 were primarily due to an increase in the number of ATMs under management, particularly our independent ATM</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80"/>
        <w:spacing w:after="0" w:line="375" w:lineRule="auto"/>
        <w:rPr>
          <w:sz w:val="20"/>
          <w:szCs w:val="20"/>
          <w:color w:val="auto"/>
        </w:rPr>
      </w:pPr>
      <w:r>
        <w:rPr>
          <w:rFonts w:ascii="Arial" w:cs="Arial" w:eastAsia="Arial" w:hAnsi="Arial"/>
          <w:sz w:val="18"/>
          <w:szCs w:val="18"/>
          <w:color w:val="auto"/>
        </w:rPr>
        <w:t xml:space="preserve">network which has more seasonal revenue generation and the impact of the U.S. dollar weakening against key foreign currencies. </w:t>
      </w:r>
      <w:r>
        <w:rPr>
          <w:rFonts w:ascii="Arial" w:cs="Arial" w:eastAsia="Arial" w:hAnsi="Arial"/>
          <w:sz w:val="18"/>
          <w:szCs w:val="18"/>
          <w:i w:val="1"/>
          <w:iCs w:val="1"/>
          <w:color w:val="auto"/>
        </w:rPr>
        <w:t>Gross profit</w:t>
      </w:r>
    </w:p>
    <w:p>
      <w:pPr>
        <w:spacing w:after="0" w:line="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Gross profit, which is calculated as revenues less direct operating costs, was $98.6 million and $152.4 million for the three and six months ended June 30, 2018, respectively, compared to $78.3 million and $122.0 million for the three and six months ended June 30, 2017, respectively . The increases in gross profit were primarily due to the growth in revenues from the increases in ATMs under management, DCC transactions processed and the net impact of the U.S. dollar weakening against key foreign currencies. Gross profit as a percentage of revenues (“gross margin”) was 50.6% and 46.1% for the three and six months ended June 30, 2018, respectively, as compared to 50.2% and 46.6% for the three and six months ended June 30, 2017. The gross margins were relatively consistent when compared to the same periods in 2017.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Salaries and benefits expense increased $3.5 million or 22% and $6.7 million or 23% for the three and six months ended June 30, 2018, respectively, compared to the same periods in 2017. The increases in salaries and benefits were primarily attributable to additional headcount to support an increase in the number of ATMs and POS devices under management and the impact of the U.S. dollar weakening against key foreign currencies. As a percentage of revenues, these costs decreased to 9.8% and 10.9% for the second quarter and first half of 2018, respectively, compared to 10.0% and 11.2% for the second quarter and first half of 2017, respectively. The decreases were primarily due to the growth in revenues earned from DCC and other value added service transactions on our ATMs under management, which require minimal incremental support costs.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Selling, general and administrative expenses for the three and six months ended June 30, 2018 were $10.2 million and $19.3 million, respectively, an increase of $2.3 million or 29% and $4.2 million or 28% as compared to the same periods in 2017. The increases in selling, general and administrative expenses were primarily due to an increase in costs to support the growth in the business and the impact of the U.S. dollar weakening against key foreign currencies. As a percentage of revenues, selling, general and administrative expenses were 5.2% and 5.8% for the three and six months ended June 30, 2018, respectively, compared to 5.1% and 5.8% for the three and six months ended June 30, 2017,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Depreciation and amortization expense increased $3.2 million and $7.6 million for the three and six months ended June 30, 2018, respectively, compared to the same periods in 2017. The increases were primarily attributable to the deployment of additional ATMs under management and software assets as well as the impact of the U.S. dollar weakening against key foreign currencies. As a percentage of revenues, depreciation and amortization expense was 8.4% and 9.9% for the second quarter and first half of 2018, respectively, as compared to 8.5% and 9.6% for the same periods of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EFT Processing Segment operating income for the three and six months ended June 30, 2018 was $52.9 million and $64.5 million, respectively, an increase of $13.6 million or 35% and $14.2 million or 28% as compared to the same periods in 2017. EFT Processing Segment operating income for the three and six months ended June 30, 2018 increased primarily due to the increases in DCC transactions and direct access fees.</w:t>
      </w:r>
    </w:p>
    <w:p>
      <w:pPr>
        <w:spacing w:after="0" w:line="5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Operating income as a percentage of revenues (“operating margin”) was 27.2% for the second quarter and 19.5% for the first half of 2018 compared to 25.2% for the second quarter and 19.2% for the first half of 2017. The increases in operating margins were primarily due to higher operating revenues partially offset by expenses incurred to support the increased revenues and additional ATMs under management. Operating income per transaction was $0.08 for the second quarter and $0.05 for the first half of 2018 as compared to $0.07 and $0.05 for the same periods of 2017.</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and six months ended June 30, 2018 and 2017 for our epay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8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18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2340" w:type="dxa"/>
            <w:vAlign w:val="bottom"/>
            <w:gridSpan w:val="3"/>
            <w:vMerge w:val="restart"/>
          </w:tcPr>
          <w:p>
            <w:pPr>
              <w:jc w:val="right"/>
              <w:ind w:right="4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1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87"/>
              </w:rPr>
              <w:t>Increase</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12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(Decrease)</w:t>
            </w:r>
          </w:p>
        </w:tc>
        <w:tc>
          <w:tcPr>
            <w:tcW w:w="200" w:type="dxa"/>
            <w:vAlign w:val="bottom"/>
          </w:tcPr>
          <w:p>
            <w:pPr>
              <w:spacing w:after="0"/>
              <w:rPr>
                <w:sz w:val="12"/>
                <w:szCs w:val="12"/>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(Decrease)Percent</w:t>
            </w:r>
          </w:p>
        </w:tc>
        <w:tc>
          <w:tcPr>
            <w:tcW w:w="0" w:type="dxa"/>
            <w:vAlign w:val="bottom"/>
          </w:tcPr>
          <w:p>
            <w:pPr>
              <w:spacing w:after="0"/>
              <w:rPr>
                <w:sz w:val="1"/>
                <w:szCs w:val="1"/>
                <w:color w:val="auto"/>
              </w:rPr>
            </w:pPr>
          </w:p>
        </w:tc>
      </w:tr>
      <w:tr>
        <w:trPr>
          <w:trHeight w:val="27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166,463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164,127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2,336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343,308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328,297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15,011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7"/>
        </w:trPr>
        <w:tc>
          <w:tcPr>
            <w:tcW w:w="24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125,423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124,086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260,345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250,246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10,099</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1,271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28,744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25,651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3,093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17,223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18,483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Depreciation and</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gridSpan w:val="2"/>
          </w:tcPr>
          <w:p>
            <w:pPr>
              <w:ind w:left="34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3,772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5,206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8"/>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150,134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149,338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310,084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299,586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10,498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97"/>
        </w:trPr>
        <w:tc>
          <w:tcPr>
            <w:tcW w:w="240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16,329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1,540</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10 %</w:t>
            </w:r>
          </w:p>
        </w:tc>
        <w:tc>
          <w:tcPr>
            <w:tcW w:w="18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33,224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28,711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4,513</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189"/>
        </w:trPr>
        <w:tc>
          <w:tcPr>
            <w:tcW w:w="240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epay Segment total revenues for the three and six months ended June 30, 2018 were $166.5 million and $343.3 million, respectively, an increase of $2.3 million or 1% and $15.0 million or 5% as compared to the same periods in 2017. The increases in total revenues were primarily due to the impact of the U.S. dollar weakening against key foreign currencies. Foreign currency movements increased total revenues by approximately $7.0 million and $15.0 million for the three and six months ended June 30, 2018, respectively, compared to the same periods in 2017. Revenues also increased due to an increase in gifts fulfilled by our cadooz subsidiary and an increase in the number of non-mobile transactions processed in Germany. The increase in total revenues was partially offset by the ASC 606 adjustment and a decrease in prepaid mobile transactions processed in the U.S., the U.K. and Australia due to competitive pressures on prepaid mobile carriers.</w:t>
      </w:r>
    </w:p>
    <w:p>
      <w:pPr>
        <w:spacing w:after="0" w:line="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Revenues per transaction were $0.63 for the second quarter and $0.66 for the first half of 2018 compared to $0.55 and $0.54 for the same periods in 2017. The increases in revenues per transaction were primarily due to the loss of a high-volume, low-margin customer in the Middle East and net impact of the U.S. dollar weakening against key foreign currencies and revenue growth from non-mobile transactions processed, for which we generally earn higher revenues per transaction than mobile transactions.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epay Segment direct operating costs were $125.4 million and $260.3 million for the three and six months ended June 30, 2018, respectively, an increase of</w:t>
      </w:r>
    </w:p>
    <w:p>
      <w:pPr>
        <w:spacing w:after="0" w:line="4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$1.3 million and $10.1 million as compared to the same periods in 2017. Direct operating costs in our epay Segment include the commissions we pay to retail merchants for the distribution and sale of prepaid mobile airtime and other prepaid products, expenses incurred to operate POS terminals and the cost of vouchers sold and physical gifts fulfilled. The increases in direct operating costs were primarily due to the ASC 606 adjustment and net impact of the U.S. dollar weakening against key foreign currencies. Direct operating costs also increased as a result of an increase in non-mobile transactions processed in Germany.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Gross profit was $41.0 million and $83.0 million for the three and six months ended June 30, 2018, respectively, as compared to $40.0 million and $78.1 million for the three and six months ended June 30, 2017, respectively. The increases were primarily due to the net impact of the U.S. dollar weakening against key foreign currencies, growth in non-mobile transactions processed in Germany and an increase in vouchers distributed by our cadooz subsidiary, partly offset by a decrease in prepaid mobile transactions processed in certain markets.</w:t>
      </w:r>
    </w:p>
    <w:p>
      <w:pPr>
        <w:spacing w:after="0" w:line="6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During the three and six months ended June 30, 2018, the gross margin was essentially flat compared to the same periods in the prior year. Gross margin was 24.7% and 24.2% for the three and six months ended June 30, 2018, respectively as compared to 24.4% and 23.8% for the same periods in 2017.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Salaries and benefits expense increased $1.3 million or 10% and $3.1 million or 12% for the three and six months ended June 30, 2018, respectively, compared to the same periods in 2017. The increases were mainly driven by the impact of the U.S. dollar weakening against key foreign currencies and higher headcount in an effort to grow the segment. As a percentage of revenues, salaries and benefits were 8.6% and 8.4% for the three and six months ended June 30, 2018, respectively, as compared to 8.0% and 7.8% for the same periods in 2017.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general and administrative expenses were $8.5 million and $17.2 million for the three and six months ended June 30, 2018, a decrease of 11% and 7% as compared to the same periods in 2017. The decreases in selling, general and administrative expenses were mainly due to cost control efforts. As a percentage of revenues, selling, general and administrative expenses were 5.1% and 5.0% for the three and six months ended June 30, 2018 compared to 5.8% and 5.6% for the same periods in 2017.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Depreciation and amortization expense primarily represents depreciation of POS terminals we place in retail stores and the amortization of acquired intangible assets. Depreciation and amortization expense was $1.9 million and $3.8 million for the three and six months ended June 30, 2018, respectively, a decrease of 29% and 28% as compared to the same periods in 2017. The decreases were largely due to certain intangible assets becoming fully amortized in the third quarter of 2017, partly offset by the impact of the U.S. dollar weakening against key foreign currencies. As a percentage of revenues, depreciation and amortization expense was 1.1% for both the three and six months ended June 30, 2018, and 1.6% for both the three and six months ended June 30, 2017.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epay Segment operating income for the three and six months ended June 30, 2018 was $16.3 million and $33.2 million, respectively, an increase of $1.5 million and $4.5 million as compared to the same periods in 2017. Operating income for the three and six months ended June 30, 2018 improved as a result of the net impact of the U.S. dollar weakening against key foreign currencies and increased gross profit from the distribution of more non-mobile products and vouchers in Germany, along with operating cost controls.</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Operating margin increased to 9.8% and 9.7% for the three and six months ended June 30, 2018, from 9.0% and 8.7% for the same periods in 2017. The increases were mainly due to an increase in the percentage of revenues from non-mobile products which earn a higher margin than mobile transactions. Operating income per transaction increased to $0.06 for the three and six months ended June 30, 2018 from $0.05 for the same periods in 2017. The increases were primarily due to the loss of a high-volume, low-margin customer in the Middle East and the net impact of the U.S. dollar weakening against key foreign currencies.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 and six months ended June 30, 2018 and 2017 for the Money Transfer Segment: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15"/>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20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13"/>
                <w:szCs w:val="13"/>
                <w:color w:val="auto"/>
              </w:rPr>
            </w:pPr>
          </w:p>
        </w:tc>
        <w:tc>
          <w:tcPr>
            <w:tcW w:w="98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261,816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217,127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44,689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500,652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421,100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79,552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140,707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116,251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24,456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268,138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225,136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43,002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49,118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42,274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6,844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96,475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81,163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15,312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31,426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26,451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4,975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61,125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49,264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11,861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7,953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7,247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706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15,848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14,538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1,310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229,204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192,223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36,981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441,586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370,101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71,485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97"/>
        </w:trPr>
        <w:tc>
          <w:tcPr>
            <w:tcW w:w="26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32,612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24,904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7,708</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59,066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50,999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8,067</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9"/>
        </w:trPr>
        <w:tc>
          <w:tcPr>
            <w:tcW w:w="26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Money Transfer Segment total revenues for the three and six months ended June 30, 2018 were $261.8 million and $500.7 million, respectively, an increase of $44.7 million or 21% and $79.6 million or 19% as compared to the same periods in 2017. The increases in total revenues for the three and six months ended June 30, 2018 were primarily due to increases in the number of money transfers processed, driven by growth in the U.S. and foreign agent and correspondent payout networks, and the net impact of the U.S. dollar weakening against key foreign currencies.</w:t>
      </w:r>
    </w:p>
    <w:p>
      <w:pPr>
        <w:spacing w:after="0" w:line="6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Revenues per transaction increased to $9.70 and $9.82 for the second quarter and first half of 2018 from $9.52 and $9.68 for the same periods in 2017. The increases were primarily due to the net impact of the U.S. dollar weakening against key foreign currencies.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Money Transfer Segment direct operating costs were $140.7 million and $268.1 million for the three and six months ended June 30, 2018, respectively, an increase of $24.5 million or 21% and $43.0 million or 19% as compared to the same periods in 2017. Direct operating costs in the Money Transfer Segment primarily consist of commissions paid to agents who originate money transfers on our behalf and correspondent agents who disburse funds to the customers’ destination beneficiaries, together with less significant costs, such as bank depository fees. The increases in direct operating costs for the three and six months of 2018 were primarily due to growth in the number of money transfer transactions processed in both the U.S. and foreign markets.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Gross profit was $121.1 million and $232.5 million for the three and six months ended June 30, 2018, respectively, as compared to $100.9 million and $196.0 million for the three and six months ended June 30, 2017, respectively. The increases in gross profit were primarily due to growth in the number of money transfer transactions processed in both the U.S. and foreign markets and the impact of the U.S. dollar weakening against key foreign currencies.</w:t>
      </w:r>
    </w:p>
    <w:p>
      <w:pPr>
        <w:spacing w:after="0" w:line="3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three and six months ended June 30, 2018, gross margin remained flat at 46.3% and 46.4%, respectively, as compared to the same periods in the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Salaries and benefits expense increased $6.8 million or 16% and $15.3 million or 19% for the three and six months ended June 30, 2018, respectively, as compared to the same periods in 2017. The increases in salaries and benefits were primarily due to the expansion of our operations in the U.S. and foreign markets and the net impact of the U.S. dollar weakening against key foreign currencies. As a percentage of revenues, salaries and benefits were 18.8% and 19.3% for the three and six months ended June 30, 2018, respectively, as compared to 19.5% and 19.3% for the same periods in 2017.</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Selling, general and administrative expenses for the three and six months ended June 30, 2018 were $31.4 million and $61.1 million, respectively, an increase of $5.0 million or 19%, and $11.9 million or 24% as compared to the same periods in 2017. The increases were primarily due to expenses incurred to support the growth of our money transfer services in both the U.S. and foreign markets along with the net impact of the U.S. dollar weakening against key foreign currencies.</w:t>
      </w:r>
    </w:p>
    <w:p>
      <w:pPr>
        <w:spacing w:after="0" w:line="7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a percentage of revenues, selling, general and administrative expenses were 12.0% and 12.2% for the three and six months ended June 30, 2018, respectively, as compared to 12.2% and 11.7% for the same periods in 2017. For the second quarter of 2018, this was primarily due to increases in the number of money transfers processed, which did not require similar increases in support costs. For the first half of 2018, the increase in selling, general and administrative expenses as a percentage of revenues was primarily attributable to the increased support costs to expand the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Depreciation and amortization primarily represents amortization of acquired intangible assets and depreciation of money transfer terminals, computers and software, leasehold improvements and office equipment. Depreciation and amortization expense increased $0.7 million or 10% and $1.3 million or 9%, for the three and six months ended June 30, 2018, respectively, as compared to the same periods in 2017, largely due to the impact of the U.S. dollar weakening against key foreign currencies.</w:t>
      </w:r>
    </w:p>
    <w:p>
      <w:pPr>
        <w:spacing w:after="0" w:line="7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As a percentage of revenues, depreciation and amortization expense was 3.0% for the second quarter and 3.2% for the first half of 2018 as compared to 3.3% and 3.5% for the same periods of 2017. The decreases were primarily due to certain intangible assets becoming fully amortized.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Money Transfer Segment operating income for the three and six months ended June 30, 2018 was $32.6 million and $59.1 million, respectively, an increase of $7.7 million or 31% and $8.1 million or 16% as compared to the same periods of 2017. Operating income for the three months ended June 30, 2018 increased primarily due to the growth in the number of money transfers processed and the net impact of the U.S. dollar weakening against key foreign currencies, partly offset by the additional salaries and benefits and other costs incurred and the reduced rates for Walmart-2-Walmart transfer services.</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percentage of revenues, operating margin was 12.5% and 11.8% for the three and six months ended June 30, 2018, respectively, as compared to 11.5% and 12.1% for the same periods in 2017. Operating income per transaction increased to $1.21 for the second quarter and decreased to $1.16 for the first half of 2018 from $1.09 and $1.17 for the same periods in 2017. Operating margin and operating income per transaction increased in the second quarter of 2018 when compared to the same period of 2017 primarily due to the growth in the number of money transfers processed. For the first half of 2018, operating margin and operating income per transaction decreased when compared to the same period of 2017 mainly due to the additional salaries and benefits and other costs incurred.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expenses for the three and six months ended June 30, 2018 and 2017 for Corporate Services: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9"/>
              <w:spacing w:after="0" w:line="153" w:lineRule="exact"/>
              <w:rPr>
                <w:sz w:val="20"/>
                <w:szCs w:val="20"/>
                <w:color w:val="auto"/>
              </w:rPr>
            </w:pPr>
            <w:r>
              <w:rPr>
                <w:rFonts w:ascii="Arial" w:cs="Arial" w:eastAsia="Arial" w:hAnsi="Arial"/>
                <w:sz w:val="14"/>
                <w:szCs w:val="14"/>
                <w:b w:val="1"/>
                <w:bCs w:val="1"/>
                <w:color w:val="auto"/>
                <w:w w:val="87"/>
              </w:rPr>
              <w:t>Increase</w:t>
            </w:r>
          </w:p>
        </w:tc>
        <w:tc>
          <w:tcPr>
            <w:tcW w:w="100" w:type="dxa"/>
            <w:vAlign w:val="bottom"/>
          </w:tcPr>
          <w:p>
            <w:pPr>
              <w:spacing w:after="0"/>
              <w:rPr>
                <w:sz w:val="13"/>
                <w:szCs w:val="13"/>
                <w:color w:val="auto"/>
              </w:rPr>
            </w:pPr>
          </w:p>
        </w:tc>
        <w:tc>
          <w:tcPr>
            <w:tcW w:w="126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87"/>
              </w:rPr>
              <w:t>Increase</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59"/>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(Decrease)</w:t>
            </w: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(Decrease)</w:t>
            </w:r>
          </w:p>
        </w:tc>
        <w:tc>
          <w:tcPr>
            <w:tcW w:w="240" w:type="dxa"/>
            <w:vAlign w:val="bottom"/>
          </w:tcPr>
          <w:p>
            <w:pPr>
              <w:spacing w:after="0"/>
              <w:rPr>
                <w:sz w:val="12"/>
                <w:szCs w:val="12"/>
                <w:color w:val="auto"/>
              </w:rPr>
            </w:pPr>
          </w:p>
        </w:tc>
        <w:tc>
          <w:tcPr>
            <w:tcW w:w="78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9,232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1,504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16,159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1,798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Selling, general and</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200"/>
              <w:spacing w:after="0"/>
              <w:rPr>
                <w:sz w:val="20"/>
                <w:szCs w:val="20"/>
                <w:color w:val="auto"/>
              </w:rPr>
            </w:pPr>
            <w:r>
              <w:rPr>
                <w:rFonts w:ascii="Arial" w:cs="Arial" w:eastAsia="Arial" w:hAnsi="Arial"/>
                <w:sz w:val="18"/>
                <w:szCs w:val="18"/>
                <w:color w:val="auto"/>
              </w:rPr>
              <w:t>administrative</w:t>
            </w:r>
          </w:p>
        </w:tc>
        <w:tc>
          <w:tcPr>
            <w:tcW w:w="240" w:type="dxa"/>
            <w:vAlign w:val="bottom"/>
          </w:tcPr>
          <w:p>
            <w:pPr>
              <w:spacing w:after="0"/>
              <w:rPr>
                <w:sz w:val="20"/>
                <w:szCs w:val="20"/>
                <w:color w:val="auto"/>
              </w:rPr>
            </w:pP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2,229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4,573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4,697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7,605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57"/>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11,494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12,333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20,918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22,026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Overall, operating expenses for Corporate Services were $11.5 million and $20.9 million for the three and six months ended June 30, 2018, a decrease of 7% and 5% as compared to the same periods in 2017. The decreases were primarily attributable to a decrease in professional services and other costs incurred in connection with the proposed acquisition of MoneyGram International, Inc. that occurred in the prior year but not in the current period. Partly offsetting this decrease in the second quarter of 2018 was an increase in bonus expenses due to our improved operating results compared to targets.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20" w:type="dxa"/>
            <w:vAlign w:val="bottom"/>
            <w:gridSpan w:val="3"/>
            <w:vMerge w:val="restart"/>
          </w:tcPr>
          <w:p>
            <w:pPr>
              <w:jc w:val="right"/>
              <w:ind w:right="21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1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7"/>
              <w:spacing w:after="0" w:line="153" w:lineRule="exact"/>
              <w:rPr>
                <w:sz w:val="20"/>
                <w:szCs w:val="20"/>
                <w:color w:val="auto"/>
              </w:rPr>
            </w:pPr>
            <w:r>
              <w:rPr>
                <w:rFonts w:ascii="Arial" w:cs="Arial" w:eastAsia="Arial" w:hAnsi="Arial"/>
                <w:sz w:val="14"/>
                <w:szCs w:val="14"/>
                <w:b w:val="1"/>
                <w:bCs w:val="1"/>
                <w:color w:val="auto"/>
                <w:w w:val="87"/>
              </w:rPr>
              <w:t>Increase</w:t>
            </w:r>
          </w:p>
        </w:tc>
        <w:tc>
          <w:tcPr>
            <w:tcW w:w="100" w:type="dxa"/>
            <w:vAlign w:val="bottom"/>
          </w:tcPr>
          <w:p>
            <w:pPr>
              <w:spacing w:after="0"/>
              <w:rPr>
                <w:sz w:val="13"/>
                <w:szCs w:val="13"/>
                <w:color w:val="auto"/>
              </w:rPr>
            </w:pPr>
          </w:p>
        </w:tc>
        <w:tc>
          <w:tcPr>
            <w:tcW w:w="1260" w:type="dxa"/>
            <w:vAlign w:val="bottom"/>
            <w:gridSpan w:val="2"/>
          </w:tcPr>
          <w:p>
            <w:pPr>
              <w:jc w:val="right"/>
              <w:ind w:right="460"/>
              <w:spacing w:after="0" w:line="153" w:lineRule="exact"/>
              <w:rPr>
                <w:sz w:val="20"/>
                <w:szCs w:val="20"/>
                <w:color w:val="auto"/>
              </w:rPr>
            </w:pPr>
            <w:r>
              <w:rPr>
                <w:rFonts w:ascii="Arial" w:cs="Arial" w:eastAsia="Arial" w:hAnsi="Arial"/>
                <w:sz w:val="14"/>
                <w:szCs w:val="14"/>
                <w:b w:val="1"/>
                <w:bCs w:val="1"/>
                <w:color w:val="auto"/>
              </w:rPr>
              <w:t>Increase</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40" w:type="dxa"/>
            <w:vAlign w:val="bottom"/>
          </w:tcPr>
          <w:p>
            <w:pPr>
              <w:jc w:val="right"/>
              <w:ind w:right="15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2"/>
              </w:rPr>
              <w:t>(Decrease)</w:t>
            </w:r>
          </w:p>
        </w:tc>
        <w:tc>
          <w:tcPr>
            <w:tcW w:w="100" w:type="dxa"/>
            <w:vAlign w:val="bottom"/>
          </w:tcPr>
          <w:p>
            <w:pPr>
              <w:spacing w:after="0"/>
              <w:rPr>
                <w:sz w:val="12"/>
                <w:szCs w:val="12"/>
                <w:color w:val="auto"/>
              </w:rPr>
            </w:pPr>
          </w:p>
        </w:tc>
        <w:tc>
          <w:tcPr>
            <w:tcW w:w="12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2"/>
                <w:szCs w:val="12"/>
                <w:color w:val="auto"/>
              </w:rPr>
            </w:pPr>
          </w:p>
        </w:tc>
        <w:tc>
          <w:tcPr>
            <w:tcW w:w="78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40" w:type="dxa"/>
            <w:vAlign w:val="bottom"/>
          </w:tcPr>
          <w:p>
            <w:pPr>
              <w:jc w:val="right"/>
              <w:ind w:right="118"/>
              <w:spacing w:after="0" w:line="149"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Loss from unconsolidated</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affiliates</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2620" w:type="dxa"/>
            <w:vAlign w:val="bottom"/>
            <w:gridSpan w:val="2"/>
          </w:tcPr>
          <w:p>
            <w:pPr>
              <w:ind w:left="40"/>
              <w:spacing w:after="0"/>
              <w:rPr>
                <w:sz w:val="20"/>
                <w:szCs w:val="20"/>
                <w:color w:val="auto"/>
              </w:rPr>
            </w:pPr>
            <w:r>
              <w:rPr>
                <w:rFonts w:ascii="Arial" w:cs="Arial" w:eastAsia="Arial" w:hAnsi="Arial"/>
                <w:sz w:val="18"/>
                <w:szCs w:val="18"/>
                <w:color w:val="auto"/>
                <w:w w:val="95"/>
              </w:rPr>
              <w:t>Foreign currency exchange (loss)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200"/>
              <w:spacing w:after="0"/>
              <w:rPr>
                <w:sz w:val="20"/>
                <w:szCs w:val="20"/>
                <w:color w:val="auto"/>
              </w:rPr>
            </w:pPr>
            <w:r>
              <w:rPr>
                <w:rFonts w:ascii="Arial" w:cs="Arial" w:eastAsia="Arial" w:hAnsi="Arial"/>
                <w:sz w:val="18"/>
                <w:szCs w:val="18"/>
                <w:color w:val="auto"/>
              </w:rPr>
              <w:t>gain, net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11,141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(31,831)</w:t>
            </w:r>
          </w:p>
        </w:tc>
        <w:tc>
          <w:tcPr>
            <w:tcW w:w="10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12,856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(31,611)</w:t>
            </w:r>
          </w:p>
        </w:tc>
        <w:tc>
          <w:tcPr>
            <w:tcW w:w="100" w:type="dxa"/>
            <w:vAlign w:val="bottom"/>
          </w:tcPr>
          <w:p>
            <w:pPr>
              <w:spacing w:after="0"/>
              <w:rPr>
                <w:sz w:val="20"/>
                <w:szCs w:val="20"/>
                <w:color w:val="auto"/>
              </w:rPr>
            </w:pPr>
          </w:p>
        </w:tc>
        <w:tc>
          <w:tcPr>
            <w:tcW w:w="1040" w:type="dxa"/>
            <w:vAlign w:val="bottom"/>
          </w:tcPr>
          <w:p>
            <w:pPr>
              <w:jc w:val="right"/>
              <w:ind w:right="15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gains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2620" w:type="dxa"/>
            <w:vAlign w:val="bottom"/>
            <w:gridSpan w:val="2"/>
          </w:tcPr>
          <w:p>
            <w:pPr>
              <w:ind w:left="340"/>
              <w:spacing w:after="0"/>
              <w:rPr>
                <w:sz w:val="20"/>
                <w:szCs w:val="20"/>
                <w:color w:val="auto"/>
              </w:rPr>
            </w:pPr>
            <w:r>
              <w:rPr>
                <w:rFonts w:ascii="Arial" w:cs="Arial" w:eastAsia="Arial" w:hAnsi="Arial"/>
                <w:sz w:val="18"/>
                <w:szCs w:val="18"/>
                <w:color w:val="auto"/>
                <w:w w:val="99"/>
              </w:rPr>
              <w:t>Other (expense) income,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(30,306)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3,242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(33,548)</w:t>
            </w:r>
          </w:p>
        </w:tc>
        <w:tc>
          <w:tcPr>
            <w:tcW w:w="100" w:type="dxa"/>
            <w:vAlign w:val="bottom"/>
          </w:tcPr>
          <w:p>
            <w:pPr>
              <w:spacing w:after="0"/>
              <w:rPr>
                <w:sz w:val="22"/>
                <w:szCs w:val="22"/>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n/m</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(35,767)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(34,763)</w:t>
            </w:r>
          </w:p>
        </w:tc>
        <w:tc>
          <w:tcPr>
            <w:tcW w:w="100" w:type="dxa"/>
            <w:vAlign w:val="bottom"/>
          </w:tcPr>
          <w:p>
            <w:pPr>
              <w:spacing w:after="0"/>
              <w:rPr>
                <w:sz w:val="22"/>
                <w:szCs w:val="22"/>
                <w:color w:val="auto"/>
              </w:rPr>
            </w:pPr>
          </w:p>
        </w:tc>
        <w:tc>
          <w:tcPr>
            <w:tcW w:w="1040" w:type="dxa"/>
            <w:vAlign w:val="bottom"/>
          </w:tcPr>
          <w:p>
            <w:pPr>
              <w:jc w:val="right"/>
              <w:ind w:right="15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decrease in interest income for the first half of June 30, 2018 compared to the same period in 2017 was primarily due to the interest earned on a tax refund received in India in the first quarter of 2017 which did not occur in the current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increases in interest expense for the three and six months ended June 30, 2018 compared to the same periods in 2017 were primarily related to additional borrowings throughout the second quarter of 2018 to fund the operating cash for our Independent ATM Deployed (“IAD”) networks and higher interest rates as compared to the same periods in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(loss) gain, net</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composed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recorded net foreign currency exchange losses of $20.7 million and $18.8 million for the three and six months ended June 30, 2018, respectively, as compared to net foreign currency exchange gains of $11.1 million and $12.9 million for the same periods in 2017. These realized and unrealized foreign currency exchange losses and gains reflect the fluctuation in the value of the U.S. dollar against the currencies of the countries in which we operated during the respective periods.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The Company's effective income tax rate was 27.3% and 30.1% for the three and six months ended </w:t>
      </w:r>
      <w:r>
        <w:rPr>
          <w:rFonts w:ascii="Arial" w:cs="Arial" w:eastAsia="Arial" w:hAnsi="Arial"/>
          <w:sz w:val="16"/>
          <w:szCs w:val="16"/>
          <w:color w:val="252525"/>
        </w:rPr>
        <w:t>June 30, 2018</w:t>
      </w:r>
      <w:r>
        <w:rPr>
          <w:rFonts w:ascii="Arial" w:cs="Arial" w:eastAsia="Arial" w:hAnsi="Arial"/>
          <w:sz w:val="16"/>
          <w:szCs w:val="16"/>
          <w:color w:val="auto"/>
        </w:rPr>
        <w:t>, respectively, as compared to 26.6% and 25.8% for the same periods in 2017. The Company's effective income tax rate for the three and six months ended June 30, 2017 was less than the applicable statutory income tax rate of 35% primarily as a result of the Company's U.S. income tax position. The Company had significant U.S. federal tax net operating loss carryforwards with no recent history of significant U.S. taxable income; therefore, the Company had recorded a valuation allowance against its net U.S. deferred tax assets. Accordingly, in instances when the Company generated pre-tax U.S. GAAP income, no income tax expense was recognized to the extent there were net operating loss carryforwards to offset the income. The Company's effective income tax rate for the three and six months ended June 30, 2018 was higher than the applicable statutory income tax rate of 21% as a result of the enactment of the Tax Cuts and Jobs Act of 2017 (the "Act") and its impact on the Company's U.S. income tax positions at the end of 2017. The most significant provisions of the Act are the transition tax on previously undistributed foreign earnings of foreign subsidiaries, the reduction in the U.S. corporate statutory income tax rate from 35% to 21% beginning on January 1, 2018, and new taxes on certain foreign sourced earnings. As stated above, the Company had recorded a valuation allowance against its net U.S. deferred tax assets. After enactment of the Act, the Company expected to utilize its U.S. federal net operating losses to partially offset the transition tax and released the associated valuation allowance in the prior year. This change has created additional U.S. tax expense as the Company will now recognize income tax expense on its pre-tax U.S. GAAP income. In addition, the Act's GILTI provision has created additional U.S. tax expense on foreign earnings. The increase in the effective tax rate for the first half of 2018 compared to the same period in 2017 is largely due to the Act's impact on the Company's U.S. income tax positions. See Note 10 to the financial statements included in Part I, Item 1 of this report for additional information related to income taxes.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NONCONTROLLING INTERESTS</w:t>
      </w:r>
    </w:p>
    <w:p>
      <w:pPr>
        <w:spacing w:after="0" w:line="28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Noncontrolling interests represents the elimination of net income or loss attributable to the minority shareholders’ portion of the following consolidated subsidiaries that are not wholly owned: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240" w:type="dxa"/>
            <w:vAlign w:val="bottom"/>
            <w:vMerge w:val="restart"/>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Percent</w:t>
            </w: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Segment - Country</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Owned</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900" w:type="dxa"/>
            <w:vAlign w:val="bottom"/>
            <w:tcBorders>
              <w:bottom w:val="single" w:sz="8" w:color="CCEEFF"/>
            </w:tcBorders>
            <w:shd w:val="clear" w:color="auto" w:fill="CCEEFF"/>
          </w:tcPr>
          <w:p>
            <w:pPr>
              <w:jc w:val="center"/>
              <w:ind w:right="176"/>
              <w:spacing w:after="0"/>
              <w:rPr>
                <w:sz w:val="20"/>
                <w:szCs w:val="20"/>
                <w:color w:val="auto"/>
              </w:rPr>
            </w:pPr>
            <w:r>
              <w:rPr>
                <w:rFonts w:ascii="Arial" w:cs="Arial" w:eastAsia="Arial" w:hAnsi="Arial"/>
                <w:sz w:val="18"/>
                <w:szCs w:val="18"/>
                <w:color w:val="auto"/>
                <w:w w:val="88"/>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epay - Spain</w:t>
            </w:r>
          </w:p>
        </w:tc>
        <w:tc>
          <w:tcPr>
            <w:tcW w:w="0" w:type="dxa"/>
            <w:vAlign w:val="bottom"/>
          </w:tcPr>
          <w:p>
            <w:pPr>
              <w:spacing w:after="0"/>
              <w:rPr>
                <w:sz w:val="1"/>
                <w:szCs w:val="1"/>
                <w:color w:val="auto"/>
              </w:rPr>
            </w:pPr>
          </w:p>
        </w:tc>
      </w:tr>
      <w:tr>
        <w:trPr>
          <w:trHeight w:val="243"/>
        </w:trPr>
        <w:tc>
          <w:tcPr>
            <w:tcW w:w="8260" w:type="dxa"/>
            <w:vAlign w:val="bottom"/>
            <w:gridSpan w:val="3"/>
          </w:tcPr>
          <w:p>
            <w:pPr>
              <w:ind w:left="40"/>
              <w:spacing w:after="0"/>
              <w:rPr>
                <w:sz w:val="20"/>
                <w:szCs w:val="20"/>
                <w:color w:val="auto"/>
              </w:rPr>
            </w:pPr>
            <w:r>
              <w:rPr>
                <w:rFonts w:ascii="Arial" w:cs="Arial" w:eastAsia="Arial" w:hAnsi="Arial"/>
                <w:sz w:val="18"/>
                <w:szCs w:val="18"/>
                <w:color w:val="auto"/>
              </w:rPr>
              <w:t>Euronet China</w:t>
            </w:r>
          </w:p>
        </w:tc>
        <w:tc>
          <w:tcPr>
            <w:tcW w:w="900" w:type="dxa"/>
            <w:vAlign w:val="bottom"/>
          </w:tcPr>
          <w:p>
            <w:pPr>
              <w:jc w:val="center"/>
              <w:ind w:right="176"/>
              <w:spacing w:after="0"/>
              <w:rPr>
                <w:sz w:val="20"/>
                <w:szCs w:val="20"/>
                <w:color w:val="auto"/>
              </w:rPr>
            </w:pPr>
            <w:r>
              <w:rPr>
                <w:rFonts w:ascii="Arial" w:cs="Arial" w:eastAsia="Arial" w:hAnsi="Arial"/>
                <w:sz w:val="18"/>
                <w:szCs w:val="18"/>
                <w:color w:val="auto"/>
                <w:w w:val="88"/>
              </w:rPr>
              <w:t>85%</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EFT - China</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900" w:type="dxa"/>
            <w:vAlign w:val="bottom"/>
            <w:tcBorders>
              <w:bottom w:val="single" w:sz="8" w:color="CCEEFF"/>
            </w:tcBorders>
            <w:shd w:val="clear" w:color="auto" w:fill="CCEEFF"/>
          </w:tcPr>
          <w:p>
            <w:pPr>
              <w:jc w:val="center"/>
              <w:ind w:right="176"/>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EFT - Pakistan</w:t>
            </w:r>
          </w:p>
        </w:tc>
        <w:tc>
          <w:tcPr>
            <w:tcW w:w="0" w:type="dxa"/>
            <w:vAlign w:val="bottom"/>
          </w:tcPr>
          <w:p>
            <w:pPr>
              <w:spacing w:after="0"/>
              <w:rPr>
                <w:sz w:val="1"/>
                <w:szCs w:val="1"/>
                <w:color w:val="auto"/>
              </w:rPr>
            </w:pPr>
          </w:p>
        </w:tc>
      </w:tr>
      <w:tr>
        <w:trPr>
          <w:trHeight w:val="243"/>
        </w:trPr>
        <w:tc>
          <w:tcPr>
            <w:tcW w:w="8260" w:type="dxa"/>
            <w:vAlign w:val="bottom"/>
            <w:gridSpan w:val="3"/>
          </w:tcPr>
          <w:p>
            <w:pPr>
              <w:ind w:left="40"/>
              <w:spacing w:after="0"/>
              <w:rPr>
                <w:sz w:val="20"/>
                <w:szCs w:val="20"/>
                <w:color w:val="auto"/>
              </w:rPr>
            </w:pPr>
            <w:r>
              <w:rPr>
                <w:rFonts w:ascii="Arial" w:cs="Arial" w:eastAsia="Arial" w:hAnsi="Arial"/>
                <w:sz w:val="18"/>
                <w:szCs w:val="18"/>
                <w:color w:val="auto"/>
              </w:rPr>
              <w:t>Universal Solution Providers (1)</w:t>
            </w:r>
          </w:p>
        </w:tc>
        <w:tc>
          <w:tcPr>
            <w:tcW w:w="900" w:type="dxa"/>
            <w:vAlign w:val="bottom"/>
          </w:tcPr>
          <w:p>
            <w:pPr>
              <w:jc w:val="center"/>
              <w:ind w:right="156"/>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6"/>
              </w:rPr>
              <w:t>EFT - UAE</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______________</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3"/>
          </w:tcPr>
          <w:p>
            <w:pPr>
              <w:spacing w:after="0"/>
              <w:rPr>
                <w:sz w:val="20"/>
                <w:szCs w:val="20"/>
                <w:color w:val="auto"/>
              </w:rPr>
            </w:pPr>
            <w:r>
              <w:rPr>
                <w:rFonts w:ascii="Arial" w:cs="Arial" w:eastAsia="Arial" w:hAnsi="Arial"/>
                <w:sz w:val="18"/>
                <w:szCs w:val="18"/>
                <w:color w:val="auto"/>
                <w:w w:val="91"/>
              </w:rPr>
              <w:t>(1) The Company purchased the 49% noncontrolling interest during the three months ended September 30, 2017.</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Net income attributable to Euronet was $43.7 million and $70.1 million for the three and six months ended June 30, 2018, respectively, a decrease of $7.6 million and $9.4 million as compared to the same periods in 2017. The decrease in net income for the first half of 2018 was primarily due to a $31.6 million increase in net foreign currency exchange loss, a $2.5 million increase in income tax expense, a decrease in interest income of $0.9 million and an increase in interest expense of $2.1 million, partly offset by an increase in operating income of $27.9 million.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As of June 30, 2018 and December 31, 2017, we had working capital, which is calculated as the difference between total current assets and total current liabilities, of $326.7 million and $482.5 million, respectively. Our ratio of current assets to current liabilities at June 30, 2018 and December 31, 2017 was 1.18 and 1.34, respectively. The decrease in the current ratio is due to the credit facility being recorded as current liability as of June 30, 2018.</w:t>
      </w:r>
    </w:p>
    <w:p>
      <w:pPr>
        <w:spacing w:after="0" w:line="3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require substantial working capital to finance operations. In the Money Transfer Segment, we fund the payout of the majority of our consumer-to-consumer money transfer services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reporting period ends. The epay Segment produces positive working capital, but much of it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our revolving credit facilities and cash flows from operations. As of June 30, 2018, we had approximately $725 million of our own cash in use or designated for use in our ATM network, which is recorded in cash and cash equivalents and trade accounts receivable, for ATM withdrawals pending settlement, on the Consolidated Balance Sheet.</w:t>
      </w:r>
    </w:p>
    <w:p>
      <w:pPr>
        <w:spacing w:after="0" w:line="5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We had cash and cash equivalents of $1,163.4 million at June 30, 2018, of which $969.8 million was held outside of the United States and is expected to be indefinitely reinvested for continued use in foreign operations. Repatriation of these assets to the U.S. could have negative tax consequences.</w:t>
      </w:r>
    </w:p>
    <w:p>
      <w:pPr>
        <w:spacing w:after="0" w:line="1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identifies cash and cash equivalents provided by/(used in) our operating, investing and financing activities for the six month periods ended June 30, 2018 and 2017 (in thousands):</w:t>
      </w:r>
    </w:p>
    <w:p>
      <w:pPr>
        <w:spacing w:after="0" w:line="225"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Liquidity</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69,304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103,241</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(50,628)</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360,922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253,575</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 changes on cash and cash equivalents and restricted cash</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41,421</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Increase in cash and cash equivalents and restricted cash</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335,765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347,609</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activity cash flow</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Cash flows provided by operating activities were $69.3 million for the first half of 2018 compared to $103.2 million for the first half of 2017. The decrease is primarily due to fluctuations in working capital mainly associated with the timing of the settlement processes with content providers in the epay Segment and with correspondents in the Money Transfer Segment, partly offset by improved operating results.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Cash flows used in investing activities were $69.0 million for the first half of 2018 compared to $50.6 million for the first half of 2017. The increase is primarily due to acquisitions and increased capital expenditures mainly related to our ATM network expansion. During the first half of 2018, we used $12.9 million for business acquisitions. During the first half of 2018, we used $53.4 million for purchases of property and equipment compared to $47.9 million during the first half of 2017. Cash used for software development and other investing activities totaled $2.8 million and $2.7 million for the first half of 2018 and 2017, respectively.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Cash flows provided by financing activities were $360.9 million for the first half of 2018 compared to $253.6 million for the first half of 2017. Our financing activities for the first half of 2018 consisted of net borrowings of $536.7 million compared to net borrowings of $253.3 million for the first half of 2017. The increase in net borrowings for the first three months of 2018 compared to the same period of 2017 was the result of additional borrowings under the credit facilities to fund the operating cash of our IAD networks. Additionally, we used $3.3 million and $2.4 million during the first half of 2018 and 2017, respectively, for capital lease repayments. We repurchased $176.7 million and $2.3 million of our stock during the first half of 2018 and 2017, respectively. During the first half of 2018, we repurchased $175.0 million of our shares and paid $1.7 million for the amount of payroll taxes represented by the common stock withheld on restricted stock vestings and stock option exercises compared to $2.3 million for the same period of 2017. We received proceeds from stock option exercises of $4.1 million and $4.6 million for the first half of 2018 and 2017,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As of June 30, 2018, we had a $675 million senior secured credit facility that matures on April 9, 2019 (the "Credit Facility") consisting of a $590 million revolving credit facility, a $10 million India revolving credit facility and a $75 million term loan ("Term Loan A"), which has been reduced to $45.0 million through principal amortization payments.</w:t>
      </w:r>
    </w:p>
    <w:p>
      <w:pPr>
        <w:spacing w:after="0" w:line="18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revolving credit facility allows for borrowings in U.S. dollars, euros, British pounds, Australian dollars and/or Indian rupees and contains a $200 million sublimit for the issuance of letters of credit and a $25 million sublimit for swingline loans. We use the revolving credit facility primarily to fund working capital requirements which are expected to increase as we expand the Money Transfer business and our independent ATM network. Based on our current projected working capital requirements, we anticipate that our revolving credit facility will be sufficient to fund our short-term working capital needs.</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Credit Facility expires in April 2019 and we are in the process of evaluating replacement arrangements. While we cannot provide assurances that we will be able to obtain a favorable replacement for the Credit Facility, based on consultations to date, we believe that we will be able to obtain a replacement arrangement with greater borrowing capacity on terms similar to the current Credit Facility. We currently expect to complete the transaction before September 30, 2018.</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2018, fees and interest on borrowings varied based upon the Company's consolidated total leverage ratio (as defined in the Credit Facility) and are based, in the case of letter of credit fees, on a margin, and in the case of interest, on a margin over LIBOR or a margin over the base rate, as selected by us, with the applicable margin ranging from 1.375% to 2.375% for LIBOR loans and 0.375% to 1.375% for base rate loans.</w:t>
      </w:r>
    </w:p>
    <w:p>
      <w:pPr>
        <w:spacing w:after="0" w:line="16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of June 30, 2018, we had borrowings of $45.0 million outstanding under the term loan. We had $242.8 million of borrowings and $49.0 million of stand-by letters of credit outstanding under the revolving credit facility as of June 30, 2018. The remaining $308.2 million under the revolving credit facility was available for borrowing based upon the borrowing base and financial covenants in our Credit Facility. As of June 30, 2018, the weighted average interest rates under the revolving credit facility and Term Loan A were 3.01% and 3.47%, respectively, excluding amortization of deferred financing costs.</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Convertible debt</w:t>
      </w:r>
      <w:r>
        <w:rPr>
          <w:rFonts w:ascii="Arial" w:cs="Arial" w:eastAsia="Arial" w:hAnsi="Arial"/>
          <w:sz w:val="18"/>
          <w:szCs w:val="18"/>
          <w:color w:val="auto"/>
        </w:rPr>
        <w:t xml:space="preserve"> - We have $402.5 million in principal amount of Convertible Senior Notes due 2044 (“Convertible Notes”). The Convertible Notes have an interest rate of 1.5% per annum payable semi-annually in April and October, and are convertible into shares of Euronet Common Stock at a conversion price of approximately $72.18 per share if certain conditions are met (relating to the closing prices of Euronet Common Stock exceeding certain thresholds for specified periods). No conversion conditions are currently in effect.</w:t>
      </w:r>
    </w:p>
    <w:p>
      <w:pPr>
        <w:spacing w:after="0" w:line="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Convertible Notes were convertible during the fourth quarter of 2017, but no holders exercised their conversion rights. We believe this was primarily due to the fair value of the Convertible Notes exceeding their conversion value. Should any conversion condition become effective and should any holders exercise their conversion rights, we believe our capital resources are sufficient to satisfy any conversion.</w:t>
      </w:r>
    </w:p>
    <w:p>
      <w:pPr>
        <w:spacing w:after="0" w:line="73"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Additionally, holders of the Convertible Notes have the option to require us to purchase their notes at par on October 1, 2020, and have additional options to require us to purchase their notes at par on October 1, 2024, 2029, 2034, and 2039, or upon a change in control of the Company. In connection with the issuance of the Convertible Notes, we recorded $10.7 million in debt issuance costs, which are being amortized through October 1, 2020.</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ATM Facility</w:t>
      </w:r>
      <w:r>
        <w:rPr>
          <w:rFonts w:ascii="Arial" w:cs="Arial" w:eastAsia="Arial" w:hAnsi="Arial"/>
          <w:sz w:val="17"/>
          <w:szCs w:val="17"/>
          <w:color w:val="auto"/>
        </w:rPr>
        <w:t xml:space="preserve"> - On May 11, 2018, we entered into a short-term credit facility in the amount of $300.0 million for the sole purpose of providing cash for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ATM network. Interest is charged on this financing on an annual basis at the Overnight LIBOR rate plus 1.75%. The facility expires on November 30, 2018.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interest rate for borrowings under the ATM credit facility was 3.5% for the second quarter of 2018.</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u w:val="single" w:color="auto"/>
          <w:color w:val="auto"/>
        </w:rPr>
        <w:t>Other debt obligations</w:t>
      </w:r>
      <w:r>
        <w:rPr>
          <w:rFonts w:ascii="Arial" w:cs="Arial" w:eastAsia="Arial" w:hAnsi="Arial"/>
          <w:sz w:val="16"/>
          <w:szCs w:val="16"/>
          <w:color w:val="auto"/>
        </w:rPr>
        <w:t xml:space="preserve"> - Certain of our subsidiaries also have available credit lines and overdraft facilities to generally supplement short-term working capital requirements. As of June 30, 2018, there was $32.5 million outstanding under these other obligation arrangements. Short-term debt obligations, as of June 30, 2018 were primarily comprised of $300.0 million in principal outstanding under the ATM facility, $242.8 million in principal outstanding under the revolving credit facility, the $45.0 million Term Loan A and $31.0 million of other obligation arrangements payments due in the next twelve months.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including capital lease expenditures, for the first half of 2018 were $57.4 million. These capital expenditures were made primarily for the purchase of ATMs to expand our independent ATM network in Europe, the purchase and installation of ATMs in key under-penetrated markets, the purchase of POS terminals for the epay and Money Transfer Segments, and office, data center and company store computer equipment and software. Total capital expenditures for 2018 are currently estimated to range from approximately $110 million to $135 million.</w:t>
      </w:r>
    </w:p>
    <w:p>
      <w:pPr>
        <w:spacing w:after="0" w:line="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sources,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June 30, 2018, there were no material changes from the disclosure in our Annual Report on Form 10-K for the year ended December 31, 2017. To date, we are not aware of any significant claims made by the indemnified parties or parties to whom we have provided guarantees on behalf of our subsidiaries and, accordingly, no liabilities have been recorded as of June 30, 2018. See also Note 11, Commitments, to the unaudited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As of June 30, 2018, there have been no material changes outside the ordinary course of business in our future contractual obligations from the amounts reported within our Annual Report on Form 10-K for the year ended December 31, 2017, other than those resulting from changes in the amount of outstanding debt discussed in the Liquidity and Capital Resources section.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22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ind w:right="40"/>
        <w:spacing w:after="0" w:line="271" w:lineRule="auto"/>
        <w:rPr>
          <w:sz w:val="20"/>
          <w:szCs w:val="20"/>
          <w:color w:val="auto"/>
        </w:rPr>
      </w:pPr>
      <w:r>
        <w:rPr>
          <w:rFonts w:ascii="Arial" w:cs="Arial" w:eastAsia="Arial" w:hAnsi="Arial"/>
          <w:sz w:val="17"/>
          <w:szCs w:val="17"/>
          <w:color w:val="auto"/>
        </w:rPr>
        <w:t>As of June 30, 2018, our total debt outstanding was $995.3 million. Of this amount, $375.0 million, net of debt discounts, or 38% of our total debt obligations, relates to our Convertible Notes that have a fixed coupon rate. Our $402.5 million principal amount of Convertible Notes, issued in October 2014, accrue cash interest at a rate of 1.5% of the principal amount per annum. Based on quoted market prices, as of June 30, 2018, the fair value of our fixed rate Convertible Notes was $514.3 million, compared to a carrying value of $375.0 million. Interest expense for these notes, including accretion and amortization of deferred debt issuance costs, has a weighted average interest rate of 4.7% annually. Additionally, $587.8 million, or 59% of our total debt obligations, relates to debt borrowings under our Credit Facility and ATM facility. If we were to maximize the potential borrowings available under the revolving credit facility and maintain these borrowings for one year, a 1% (100 basis points) increase in the applicable interest rate would result in additional annual interest expense to the Company of approximately $6.0 million.</w:t>
      </w:r>
    </w:p>
    <w:p>
      <w:pPr>
        <w:spacing w:after="0" w:line="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remaining $32.5 million, or 3%, of our total debt obligations, is related to borrowings by certain subsidiaries to fund, from time to time, working capital requirements. These arrangements generally are due within one year and accrue interest at variable rates.</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Additionally, as of June 30, 2018, we had approximately $14.4 million of capitalized leases with fixed payment and interest terms that expire between 2018 and 2022.</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first half of 2018, approximately 70% of our revenues were generated in non-U.S. dollar countries and we expect to continue generating a significant portion of our revenues in countries with currencies other than the U.S. dollar.</w:t>
      </w:r>
    </w:p>
    <w:p>
      <w:pPr>
        <w:spacing w:after="0" w:line="62"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June 30, 2018, we estimate that a 10% fluctuation in these foreign currency exchange rates would have the combined annualized effect on reported net income and working capital of approximately $125 million to $130 million. This effect is estimated by applying a 10% adjustment factor to our non-U.S. dollar results from operations, intercompany loans that generate foreign currency exchange gains or losses and working capital balances that require translation from the respective functional currency to the U.S. dollar reporting currency.</w:t>
      </w:r>
    </w:p>
    <w:p>
      <w:pPr>
        <w:spacing w:after="0" w:line="7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$100 million to</w:t>
      </w:r>
    </w:p>
    <w:p>
      <w:pPr>
        <w:spacing w:after="0"/>
        <w:rPr>
          <w:sz w:val="20"/>
          <w:szCs w:val="20"/>
          <w:color w:val="auto"/>
        </w:rPr>
      </w:pPr>
      <w:r>
        <w:rPr>
          <w:rFonts w:ascii="Arial" w:cs="Arial" w:eastAsia="Arial" w:hAnsi="Arial"/>
          <w:sz w:val="16"/>
          <w:szCs w:val="16"/>
          <w:color w:val="auto"/>
        </w:rPr>
        <w:t>$105 million as a result of the change in value of these items during translation to the U.S. dollar. For the fluctuations described above, a strengthening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 produces a financial loss, while a weakening U.S. dollar produces a financial gain.</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is incurred in the functional currencies of our international operating entities, the profits we earn in foreign currencies are positively impacted by a weakening of the U.S. dollar and negatively impacted by a strengthening of the U.S. dollar. Additionally, our debt obligations are primarily in U.S. dollars; therefore, as foreign currency exchange rates fluctuate, the amount available for repayment of debt will also increase or decrease.</w:t>
      </w:r>
    </w:p>
    <w:p>
      <w:pPr>
        <w:spacing w:after="0" w:line="8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 majority of our consumer-to-consumer money transfer operations involves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Income. As of June 30, 2018, we had foreign currency derivative contracts outstanding with a notional value of $397 million, primarily in Australian dollars, British pounds, Canadian dollars, euros and Mexican pesos, that were not designated as hedges and mature within a few days.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For derivative instruments our HiFX operations write for customers, we aggregate the foreign currency exposure arising from customer contracts, and hedge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resulting net currency risks by entering into offsetting contracts with established financial institution counterparties as part of a broader foreign currency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portfolio. The changes in fair value related to the total portfolio of positions are recorded in Revenues on the Consolidated Statements of Income.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2018, we held foreign currency derivative contracts outstanding with a notional value of $1.2 billion, primarily in U.S. dollars, euros, British pounds,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Australian dollars and New Zealand dollars, that were not designated as hedges and for which the majority mature within the next twelve months.</w:t>
      </w:r>
    </w:p>
    <w:p>
      <w:pPr>
        <w:spacing w:after="0" w:line="114"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We use longer-term foreign currency forward contracts to mitigate risks associated with changes in foreign currency exchange rates on certain foreign currency denominated other asset and liability positions. As of June 30, 2018, the Company had foreign currency forward contracts outstanding with a notional value of $404 million, primarily in euros and Polish zloty.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Note 7, Derivative Instruments and Hedging Activities to our Consolidated Financial Statements for additional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June 30, 2018.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Internal Controls</w:t>
      </w:r>
    </w:p>
    <w:p>
      <w:pPr>
        <w:spacing w:after="0" w:line="11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There have not been any changes in internal control over financial reporting during the three months ended June 30, 2018 that have materially affected, or are reasonably likely to materially affect, our internal control over financial reporting.</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(unaudited), Note 12, Litigation and Contingencies, to the unaudited consolidated financial statements in this report is incorporated herein by reference.</w:t>
      </w:r>
    </w:p>
    <w:p>
      <w:pPr>
        <w:spacing w:after="0" w:line="62"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252525"/>
        </w:rPr>
        <w:t xml:space="preserve">There were no material changes to the risk factors previously disclosed in our Annual Report on Form 10-K for the year ended </w:t>
      </w:r>
      <w:r>
        <w:rPr>
          <w:rFonts w:ascii="Arial" w:cs="Arial" w:eastAsia="Arial" w:hAnsi="Arial"/>
          <w:sz w:val="18"/>
          <w:szCs w:val="18"/>
          <w:color w:val="000000"/>
        </w:rPr>
        <w:t>December 31, 2017 and and</w:t>
      </w:r>
      <w:r>
        <w:rPr>
          <w:rFonts w:ascii="Arial" w:cs="Arial" w:eastAsia="Arial" w:hAnsi="Arial"/>
          <w:sz w:val="18"/>
          <w:szCs w:val="18"/>
          <w:color w:val="252525"/>
        </w:rPr>
        <w:t xml:space="preserve"> </w:t>
      </w:r>
      <w:r>
        <w:rPr>
          <w:rFonts w:ascii="Arial" w:cs="Arial" w:eastAsia="Arial" w:hAnsi="Arial"/>
          <w:sz w:val="18"/>
          <w:szCs w:val="18"/>
          <w:color w:val="000000"/>
        </w:rPr>
        <w:t>Quarterly Report on Form 10Q for the quarter ended March 31, 2018 filed with the SEC.</w:t>
      </w:r>
    </w:p>
    <w:p>
      <w:pPr>
        <w:spacing w:after="0" w:line="200" w:lineRule="exact"/>
        <w:rPr>
          <w:sz w:val="20"/>
          <w:szCs w:val="20"/>
          <w:color w:val="auto"/>
        </w:rPr>
      </w:pPr>
    </w:p>
    <w:p>
      <w:pPr>
        <w:spacing w:after="0" w:line="23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33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provides information with respect to shares of the Company's Common Stock that were purchased by the Company during the three months ended June 30, 2018.</w:t>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92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rPr>
              <w:t>Maximum Dollar Value of</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7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8"/>
              </w:rPr>
              <w:t>Total Number of Shares</w:t>
            </w:r>
          </w:p>
        </w:tc>
        <w:tc>
          <w:tcPr>
            <w:tcW w:w="240" w:type="dxa"/>
            <w:vAlign w:val="bottom"/>
          </w:tcPr>
          <w:p>
            <w:pPr>
              <w:spacing w:after="0"/>
              <w:rPr>
                <w:sz w:val="12"/>
                <w:szCs w:val="12"/>
                <w:color w:val="auto"/>
              </w:rPr>
            </w:pPr>
          </w:p>
        </w:tc>
        <w:tc>
          <w:tcPr>
            <w:tcW w:w="168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1"/>
              </w:rPr>
              <w:t>Average Price Paid per</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260" w:type="dxa"/>
            <w:vAlign w:val="bottom"/>
          </w:tcPr>
          <w:p>
            <w:pPr>
              <w:spacing w:after="0"/>
              <w:rPr>
                <w:sz w:val="12"/>
                <w:szCs w:val="12"/>
                <w:color w:val="auto"/>
              </w:rPr>
            </w:pPr>
          </w:p>
        </w:tc>
        <w:tc>
          <w:tcPr>
            <w:tcW w:w="16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4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260" w:type="dxa"/>
            <w:vAlign w:val="bottom"/>
          </w:tcPr>
          <w:p>
            <w:pPr>
              <w:spacing w:after="0"/>
              <w:rPr>
                <w:sz w:val="12"/>
                <w:szCs w:val="12"/>
                <w:color w:val="auto"/>
              </w:rPr>
            </w:pPr>
          </w:p>
        </w:tc>
        <w:tc>
          <w:tcPr>
            <w:tcW w:w="16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100" w:type="dxa"/>
            <w:vAlign w:val="bottom"/>
            <w:vMerge w:val="continue"/>
          </w:tcPr>
          <w:p>
            <w:pPr>
              <w:spacing w:after="0"/>
              <w:rPr>
                <w:sz w:val="16"/>
                <w:szCs w:val="16"/>
                <w:color w:val="auto"/>
              </w:rPr>
            </w:pPr>
          </w:p>
        </w:tc>
        <w:tc>
          <w:tcPr>
            <w:tcW w:w="1700" w:type="dxa"/>
            <w:vAlign w:val="bottom"/>
          </w:tcPr>
          <w:p>
            <w:pPr>
              <w:jc w:val="right"/>
              <w:ind w:right="456"/>
              <w:spacing w:after="0"/>
              <w:rPr>
                <w:sz w:val="20"/>
                <w:szCs w:val="20"/>
                <w:color w:val="auto"/>
              </w:rPr>
            </w:pPr>
            <w:r>
              <w:rPr>
                <w:rFonts w:ascii="Arial" w:cs="Arial" w:eastAsia="Arial" w:hAnsi="Arial"/>
                <w:sz w:val="14"/>
                <w:szCs w:val="14"/>
                <w:b w:val="1"/>
                <w:bCs w:val="1"/>
                <w:color w:val="auto"/>
              </w:rPr>
              <w:t>Purchased</w:t>
            </w:r>
          </w:p>
        </w:tc>
        <w:tc>
          <w:tcPr>
            <w:tcW w:w="240" w:type="dxa"/>
            <w:vAlign w:val="bottom"/>
          </w:tcPr>
          <w:p>
            <w:pPr>
              <w:spacing w:after="0"/>
              <w:rPr>
                <w:sz w:val="16"/>
                <w:szCs w:val="16"/>
                <w:color w:val="auto"/>
              </w:rPr>
            </w:pPr>
          </w:p>
        </w:tc>
        <w:tc>
          <w:tcPr>
            <w:tcW w:w="1680" w:type="dxa"/>
            <w:vAlign w:val="bottom"/>
          </w:tcPr>
          <w:p>
            <w:pPr>
              <w:jc w:val="right"/>
              <w:ind w:right="696"/>
              <w:spacing w:after="0"/>
              <w:rPr>
                <w:sz w:val="20"/>
                <w:szCs w:val="20"/>
                <w:color w:val="auto"/>
              </w:rPr>
            </w:pPr>
            <w:r>
              <w:rPr>
                <w:rFonts w:ascii="Arial" w:cs="Arial" w:eastAsia="Arial" w:hAnsi="Arial"/>
                <w:sz w:val="14"/>
                <w:szCs w:val="14"/>
                <w:b w:val="1"/>
                <w:bCs w:val="1"/>
                <w:color w:val="auto"/>
              </w:rPr>
              <w:t>Share</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92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w w:val="92"/>
              </w:rPr>
              <w:t>Programs (in thousands) (1)</w:t>
            </w:r>
          </w:p>
        </w:tc>
        <w:tc>
          <w:tcPr>
            <w:tcW w:w="0" w:type="dxa"/>
            <w:vAlign w:val="bottom"/>
          </w:tcPr>
          <w:p>
            <w:pPr>
              <w:spacing w:after="0"/>
              <w:rPr>
                <w:sz w:val="1"/>
                <w:szCs w:val="1"/>
                <w:color w:val="auto"/>
              </w:rPr>
            </w:pPr>
          </w:p>
        </w:tc>
      </w:tr>
      <w:tr>
        <w:trPr>
          <w:trHeight w:val="256"/>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 April 30, 2018</w:t>
            </w:r>
          </w:p>
        </w:tc>
        <w:tc>
          <w:tcPr>
            <w:tcW w:w="1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78.81</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50,000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246,059</w:t>
            </w:r>
          </w:p>
        </w:tc>
        <w:tc>
          <w:tcPr>
            <w:tcW w:w="0" w:type="dxa"/>
            <w:vAlign w:val="bottom"/>
          </w:tcPr>
          <w:p>
            <w:pPr>
              <w:spacing w:after="0"/>
              <w:rPr>
                <w:sz w:val="1"/>
                <w:szCs w:val="1"/>
                <w:color w:val="auto"/>
              </w:rPr>
            </w:pPr>
          </w:p>
        </w:tc>
      </w:tr>
      <w:tr>
        <w:trPr>
          <w:trHeight w:val="243"/>
        </w:trPr>
        <w:tc>
          <w:tcPr>
            <w:tcW w:w="4100" w:type="dxa"/>
            <w:vAlign w:val="bottom"/>
          </w:tcPr>
          <w:p>
            <w:pPr>
              <w:ind w:left="160"/>
              <w:spacing w:after="0"/>
              <w:rPr>
                <w:sz w:val="20"/>
                <w:szCs w:val="20"/>
                <w:color w:val="auto"/>
              </w:rPr>
            </w:pPr>
            <w:r>
              <w:rPr>
                <w:rFonts w:ascii="Arial" w:cs="Arial" w:eastAsia="Arial" w:hAnsi="Arial"/>
                <w:sz w:val="18"/>
                <w:szCs w:val="18"/>
                <w:color w:val="auto"/>
              </w:rPr>
              <w:t>May 1 - May 31, 2018</w:t>
            </w:r>
          </w:p>
        </w:tc>
        <w:tc>
          <w:tcPr>
            <w:tcW w:w="1700" w:type="dxa"/>
            <w:vAlign w:val="bottom"/>
          </w:tcPr>
          <w:p>
            <w:pPr>
              <w:jc w:val="right"/>
              <w:ind w:right="36"/>
              <w:spacing w:after="0"/>
              <w:rPr>
                <w:sz w:val="20"/>
                <w:szCs w:val="20"/>
                <w:color w:val="auto"/>
              </w:rPr>
            </w:pPr>
            <w:r>
              <w:rPr>
                <w:rFonts w:ascii="Arial" w:cs="Arial" w:eastAsia="Arial" w:hAnsi="Arial"/>
                <w:sz w:val="18"/>
                <w:szCs w:val="18"/>
                <w:color w:val="auto"/>
              </w:rPr>
              <w:t>550,000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6"/>
              <w:spacing w:after="0"/>
              <w:rPr>
                <w:sz w:val="20"/>
                <w:szCs w:val="20"/>
                <w:color w:val="auto"/>
              </w:rPr>
            </w:pPr>
            <w:r>
              <w:rPr>
                <w:rFonts w:ascii="Arial" w:cs="Arial" w:eastAsia="Arial" w:hAnsi="Arial"/>
                <w:sz w:val="18"/>
                <w:szCs w:val="18"/>
                <w:color w:val="auto"/>
              </w:rPr>
              <w:t>81.64</w:t>
            </w:r>
          </w:p>
        </w:tc>
        <w:tc>
          <w:tcPr>
            <w:tcW w:w="1680" w:type="dxa"/>
            <w:vAlign w:val="bottom"/>
          </w:tcPr>
          <w:p>
            <w:pPr>
              <w:jc w:val="right"/>
              <w:ind w:right="39"/>
              <w:spacing w:after="0"/>
              <w:rPr>
                <w:sz w:val="20"/>
                <w:szCs w:val="20"/>
                <w:color w:val="auto"/>
              </w:rPr>
            </w:pPr>
            <w:r>
              <w:rPr>
                <w:rFonts w:ascii="Arial" w:cs="Arial" w:eastAsia="Arial" w:hAnsi="Arial"/>
                <w:sz w:val="18"/>
                <w:szCs w:val="18"/>
                <w:color w:val="auto"/>
              </w:rPr>
              <w:t>550,000</w:t>
            </w:r>
          </w:p>
        </w:tc>
        <w:tc>
          <w:tcPr>
            <w:tcW w:w="260" w:type="dxa"/>
            <w:vAlign w:val="bottom"/>
          </w:tcPr>
          <w:p>
            <w:pPr>
              <w:spacing w:after="0"/>
              <w:rPr>
                <w:sz w:val="21"/>
                <w:szCs w:val="21"/>
                <w:color w:val="auto"/>
              </w:rPr>
            </w:pPr>
          </w:p>
        </w:tc>
        <w:tc>
          <w:tcPr>
            <w:tcW w:w="1660" w:type="dxa"/>
            <w:vAlign w:val="bottom"/>
          </w:tcPr>
          <w:p>
            <w:pPr>
              <w:jc w:val="right"/>
              <w:ind w:right="37"/>
              <w:spacing w:after="0"/>
              <w:rPr>
                <w:sz w:val="20"/>
                <w:szCs w:val="20"/>
                <w:color w:val="auto"/>
              </w:rPr>
            </w:pPr>
            <w:r>
              <w:rPr>
                <w:rFonts w:ascii="Arial" w:cs="Arial" w:eastAsia="Arial" w:hAnsi="Arial"/>
                <w:sz w:val="18"/>
                <w:szCs w:val="18"/>
                <w:color w:val="auto"/>
              </w:rPr>
              <w:t>201,157</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June 1 - June 30, 2018</w:t>
            </w:r>
          </w:p>
        </w:tc>
        <w:tc>
          <w:tcPr>
            <w:tcW w:w="1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13,704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84.39</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13,704</w:t>
            </w: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57"/>
        </w:trPr>
        <w:tc>
          <w:tcPr>
            <w:tcW w:w="4100" w:type="dxa"/>
            <w:vAlign w:val="bottom"/>
          </w:tcPr>
          <w:p>
            <w:pPr>
              <w:ind w:left="16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613,704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6"/>
              <w:spacing w:after="0"/>
              <w:rPr>
                <w:sz w:val="20"/>
                <w:szCs w:val="20"/>
                <w:color w:val="auto"/>
              </w:rPr>
            </w:pPr>
            <w:r>
              <w:rPr>
                <w:rFonts w:ascii="Arial" w:cs="Arial" w:eastAsia="Arial" w:hAnsi="Arial"/>
                <w:sz w:val="18"/>
                <w:szCs w:val="18"/>
                <w:color w:val="auto"/>
              </w:rPr>
              <w:t>81.47</w:t>
            </w: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613,704</w:t>
            </w:r>
          </w:p>
        </w:tc>
        <w:tc>
          <w:tcPr>
            <w:tcW w:w="2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8"/>
        <w:spacing w:after="0" w:line="272" w:lineRule="auto"/>
        <w:tabs>
          <w:tab w:leader="none" w:pos="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Amount remaining to be repurchased at the end of the period. In June 2016, the Board of Directors authorized a stock repurchase program ("Repurchase Program") allowing Euronet to repurchase up to $125 million in value or 3.0 million shares of its common stock through June 14, 2018. In December 2017, the Board of Directors amended the Repurchase Program, allowing Euronet to repurchase up to $250 million in value or 6.0 million shares of its common stock through December 31, 2019. On February 27, 2018, the Repurchase Program was further amended to increase the amount of common stock that may be purchase to an aggregate of $375 million in value or 10.0 million shares of stock and extending the expiration date of the Repurchase Program to March 31, 2020. Repurchases under the Repurchase Program may take place in the open market or in privately negotiated transactions, including derivative transactions, and may be made under a Rule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40" w:type="dxa"/>
            <w:vAlign w:val="bottom"/>
            <w:gridSpan w:val="4"/>
          </w:tcPr>
          <w:p>
            <w:pPr>
              <w:ind w:left="760"/>
              <w:spacing w:after="0"/>
              <w:rPr>
                <w:sz w:val="20"/>
                <w:szCs w:val="20"/>
                <w:color w:val="auto"/>
              </w:rPr>
            </w:pPr>
            <w:r>
              <w:rPr>
                <w:rFonts w:ascii="Arial" w:cs="Arial" w:eastAsia="Arial" w:hAnsi="Arial"/>
                <w:sz w:val="14"/>
                <w:szCs w:val="14"/>
                <w:b w:val="1"/>
                <w:bCs w:val="1"/>
                <w:color w:val="auto"/>
              </w:rPr>
              <w:t>Description</w:t>
            </w:r>
          </w:p>
        </w:tc>
      </w:tr>
      <w:tr>
        <w:trPr>
          <w:trHeight w:val="432"/>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40" w:type="dxa"/>
            <w:vAlign w:val="bottom"/>
            <w:tcBorders>
              <w:top w:val="single" w:sz="8" w:color="auto"/>
            </w:tcBorders>
            <w:gridSpan w:val="8"/>
          </w:tcPr>
          <w:p>
            <w:pPr>
              <w:spacing w:after="0"/>
              <w:rPr>
                <w:rFonts w:ascii="Arial" w:cs="Arial" w:eastAsia="Arial" w:hAnsi="Arial"/>
                <w:sz w:val="18"/>
                <w:szCs w:val="18"/>
                <w:color w:val="0000FF"/>
                <w:w w:val="93"/>
              </w:rPr>
            </w:pPr>
            <w:hyperlink r:id="rId15">
              <w:r>
                <w:rPr>
                  <w:rFonts w:ascii="Arial" w:cs="Arial" w:eastAsia="Arial" w:hAnsi="Arial"/>
                  <w:sz w:val="18"/>
                  <w:szCs w:val="18"/>
                  <w:color w:val="0000FF"/>
                  <w:w w:val="93"/>
                </w:rPr>
                <w:t>Employment Agreement dated May 21, 2018 between Euronet Worldwide, Inc. and Nikos Fountas (filed as Exhibit 10.1 to the Company's</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15">
              <w:r>
                <w:rPr>
                  <w:rFonts w:ascii="Arial" w:cs="Arial" w:eastAsia="Arial" w:hAnsi="Arial"/>
                  <w:sz w:val="18"/>
                  <w:szCs w:val="18"/>
                  <w:color w:val="0000FF"/>
                  <w:w w:val="91"/>
                </w:rPr>
                <w:t>Current Report on Form 8-K filed on May 23, 2018 (File No. 001-31648) and incorporated by reference herein)</w:t>
              </w:r>
            </w:hyperlink>
          </w:p>
        </w:tc>
        <w:tc>
          <w:tcPr>
            <w:tcW w:w="1920" w:type="dxa"/>
            <w:vAlign w:val="bottom"/>
            <w:tcBorders>
              <w:top w:val="single" w:sz="8" w:color="0000FF"/>
            </w:tcBorders>
            <w:gridSpan w:val="2"/>
          </w:tcPr>
          <w:p>
            <w:pPr>
              <w:spacing w:after="0"/>
              <w:rPr>
                <w:sz w:val="17"/>
                <w:szCs w:val="17"/>
                <w:color w:val="auto"/>
              </w:rPr>
            </w:pPr>
          </w:p>
        </w:tc>
        <w:tc>
          <w:tcPr>
            <w:tcW w:w="260" w:type="dxa"/>
            <w:vAlign w:val="bottom"/>
          </w:tcPr>
          <w:p>
            <w:pPr>
              <w:spacing w:after="0"/>
              <w:rPr>
                <w:sz w:val="17"/>
                <w:szCs w:val="17"/>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74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Deed of Amendment to the Service Agreement dated May 21, 2018 between Euronet Worldwide, Inc. and Nikos Fountas</w:t>
              </w:r>
            </w:hyperlink>
          </w:p>
        </w:tc>
        <w:tc>
          <w:tcPr>
            <w:tcW w:w="1500" w:type="dxa"/>
            <w:vAlign w:val="bottom"/>
            <w:gridSpan w:val="2"/>
          </w:tcPr>
          <w:p>
            <w:pPr>
              <w:spacing w:after="0"/>
              <w:rPr>
                <w:sz w:val="21"/>
                <w:szCs w:val="2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40" w:type="dxa"/>
            <w:vAlign w:val="bottom"/>
            <w:gridSpan w:val="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Computation of Ratio of Earnings to Fixed Charges</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40" w:type="dxa"/>
            <w:vAlign w:val="bottom"/>
            <w:gridSpan w:val="4"/>
          </w:tcPr>
          <w:p>
            <w:pPr>
              <w:spacing w:after="0" w:line="20" w:lineRule="exact"/>
              <w:rPr>
                <w:sz w:val="1"/>
                <w:szCs w:val="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Section 302</w:t>
              </w:r>
            </w:hyperlink>
          </w:p>
        </w:tc>
        <w:tc>
          <w:tcPr>
            <w:tcW w:w="9360" w:type="dxa"/>
            <w:vAlign w:val="bottom"/>
            <w:gridSpan w:val="7"/>
          </w:tcPr>
          <w:p>
            <w:pPr>
              <w:ind w:left="20"/>
              <w:spacing w:after="0"/>
              <w:rPr>
                <w:rFonts w:ascii="Arial" w:cs="Arial" w:eastAsia="Arial" w:hAnsi="Arial"/>
                <w:sz w:val="18"/>
                <w:szCs w:val="18"/>
                <w:color w:val="0000FF"/>
              </w:rPr>
            </w:pPr>
            <w:hyperlink w:anchor="page48">
              <w:r>
                <w:rPr>
                  <w:rFonts w:ascii="Arial" w:cs="Arial" w:eastAsia="Arial" w:hAnsi="Arial"/>
                  <w:sz w:val="18"/>
                  <w:szCs w:val="18"/>
                  <w:color w:val="0000FF"/>
                </w:rPr>
                <w:t>— Certification of Chief Executive Officer</w:t>
              </w:r>
            </w:hyperlink>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49">
              <w:r>
                <w:rPr>
                  <w:rFonts w:ascii="Arial" w:cs="Arial" w:eastAsia="Arial" w:hAnsi="Arial"/>
                  <w:sz w:val="18"/>
                  <w:szCs w:val="18"/>
                  <w:color w:val="0000FF"/>
                  <w:w w:val="90"/>
                </w:rPr>
                <w:t>Section 302</w:t>
              </w:r>
            </w:hyperlink>
          </w:p>
        </w:tc>
        <w:tc>
          <w:tcPr>
            <w:tcW w:w="3080" w:type="dxa"/>
            <w:vAlign w:val="bottom"/>
            <w:tcBorders>
              <w:top w:val="single" w:sz="8" w:color="0000FF"/>
              <w:bottom w:val="single" w:sz="8" w:color="0000FF"/>
            </w:tcBorders>
            <w:gridSpan w:val="2"/>
          </w:tcPr>
          <w:p>
            <w:pPr>
              <w:ind w:left="20"/>
              <w:spacing w:after="0"/>
              <w:rPr>
                <w:rFonts w:ascii="Arial" w:cs="Arial" w:eastAsia="Arial" w:hAnsi="Arial"/>
                <w:sz w:val="18"/>
                <w:szCs w:val="18"/>
                <w:color w:val="0000FF"/>
                <w:w w:val="94"/>
              </w:rPr>
            </w:pPr>
            <w:hyperlink w:anchor="page49">
              <w:r>
                <w:rPr>
                  <w:rFonts w:ascii="Arial" w:cs="Arial" w:eastAsia="Arial" w:hAnsi="Arial"/>
                  <w:sz w:val="18"/>
                  <w:szCs w:val="18"/>
                  <w:color w:val="0000FF"/>
                  <w:w w:val="94"/>
                </w:rPr>
                <w:t>— Certification of Chief Financial Officer</w:t>
              </w:r>
            </w:hyperlink>
          </w:p>
        </w:tc>
        <w:tc>
          <w:tcPr>
            <w:tcW w:w="40" w:type="dxa"/>
            <w:vAlign w:val="bottom"/>
            <w:tcBorders>
              <w:top w:val="single" w:sz="8" w:color="0000FF"/>
            </w:tcBorders>
          </w:tcPr>
          <w:p>
            <w:pPr>
              <w:spacing w:after="0"/>
              <w:rPr>
                <w:sz w:val="21"/>
                <w:szCs w:val="21"/>
                <w:color w:val="auto"/>
              </w:rPr>
            </w:pPr>
          </w:p>
        </w:tc>
        <w:tc>
          <w:tcPr>
            <w:tcW w:w="6240" w:type="dxa"/>
            <w:vAlign w:val="bottom"/>
            <w:gridSpan w:val="4"/>
          </w:tcPr>
          <w:p>
            <w:pPr>
              <w:spacing w:after="0"/>
              <w:rPr>
                <w:sz w:val="21"/>
                <w:szCs w:val="21"/>
                <w:color w:val="auto"/>
              </w:rPr>
            </w:pPr>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rFonts w:ascii="Arial" w:cs="Arial" w:eastAsia="Arial" w:hAnsi="Arial"/>
                <w:sz w:val="18"/>
                <w:szCs w:val="18"/>
                <w:color w:val="0000FF"/>
                <w:w w:val="90"/>
              </w:rPr>
            </w:pPr>
            <w:hyperlink w:anchor="page50">
              <w:r>
                <w:rPr>
                  <w:rFonts w:ascii="Arial" w:cs="Arial" w:eastAsia="Arial" w:hAnsi="Arial"/>
                  <w:sz w:val="18"/>
                  <w:szCs w:val="18"/>
                  <w:color w:val="0000FF"/>
                  <w:w w:val="90"/>
                </w:rPr>
                <w:t>Section 906</w:t>
              </w:r>
            </w:hyperlink>
          </w:p>
        </w:tc>
        <w:tc>
          <w:tcPr>
            <w:tcW w:w="9360" w:type="dxa"/>
            <w:vAlign w:val="bottom"/>
            <w:gridSpan w:val="7"/>
          </w:tcPr>
          <w:p>
            <w:pPr>
              <w:ind w:left="20"/>
              <w:spacing w:after="0"/>
              <w:rPr>
                <w:rFonts w:ascii="Arial" w:cs="Arial" w:eastAsia="Arial" w:hAnsi="Arial"/>
                <w:sz w:val="18"/>
                <w:szCs w:val="18"/>
                <w:color w:val="0000FF"/>
              </w:rPr>
            </w:pPr>
            <w:hyperlink w:anchor="page50">
              <w:r>
                <w:rPr>
                  <w:rFonts w:ascii="Arial" w:cs="Arial" w:eastAsia="Arial" w:hAnsi="Arial"/>
                  <w:sz w:val="18"/>
                  <w:szCs w:val="18"/>
                  <w:color w:val="0000FF"/>
                </w:rPr>
                <w:t>— Certification of Chief Executive Officer</w:t>
              </w:r>
            </w:hyperlink>
          </w:p>
        </w:tc>
      </w:tr>
      <w:tr>
        <w:trPr>
          <w:trHeight w:val="250"/>
        </w:trPr>
        <w:tc>
          <w:tcPr>
            <w:tcW w:w="104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51">
              <w:r>
                <w:rPr>
                  <w:rFonts w:ascii="Arial" w:cs="Arial" w:eastAsia="Arial" w:hAnsi="Arial"/>
                  <w:sz w:val="18"/>
                  <w:szCs w:val="18"/>
                  <w:color w:val="0000FF"/>
                  <w:w w:val="90"/>
                </w:rPr>
                <w:t>Section 906</w:t>
              </w:r>
            </w:hyperlink>
          </w:p>
        </w:tc>
        <w:tc>
          <w:tcPr>
            <w:tcW w:w="3080" w:type="dxa"/>
            <w:vAlign w:val="bottom"/>
            <w:tcBorders>
              <w:top w:val="single" w:sz="8" w:color="0000FF"/>
              <w:bottom w:val="single" w:sz="8" w:color="0000FF"/>
            </w:tcBorders>
            <w:gridSpan w:val="2"/>
          </w:tcPr>
          <w:p>
            <w:pPr>
              <w:ind w:left="20"/>
              <w:spacing w:after="0"/>
              <w:rPr>
                <w:rFonts w:ascii="Arial" w:cs="Arial" w:eastAsia="Arial" w:hAnsi="Arial"/>
                <w:sz w:val="18"/>
                <w:szCs w:val="18"/>
                <w:color w:val="0000FF"/>
                <w:w w:val="94"/>
              </w:rPr>
            </w:pPr>
            <w:hyperlink w:anchor="page51">
              <w:r>
                <w:rPr>
                  <w:rFonts w:ascii="Arial" w:cs="Arial" w:eastAsia="Arial" w:hAnsi="Arial"/>
                  <w:sz w:val="18"/>
                  <w:szCs w:val="18"/>
                  <w:color w:val="0000FF"/>
                  <w:w w:val="94"/>
                </w:rPr>
                <w:t>— Certification of Chief Financial Officer</w:t>
              </w:r>
            </w:hyperlink>
          </w:p>
        </w:tc>
        <w:tc>
          <w:tcPr>
            <w:tcW w:w="40" w:type="dxa"/>
            <w:vAlign w:val="bottom"/>
            <w:tcBorders>
              <w:top w:val="single" w:sz="8" w:color="0000FF"/>
            </w:tcBorders>
          </w:tcPr>
          <w:p>
            <w:pPr>
              <w:spacing w:after="0"/>
              <w:rPr>
                <w:sz w:val="21"/>
                <w:szCs w:val="21"/>
                <w:color w:val="auto"/>
              </w:rPr>
            </w:pPr>
          </w:p>
        </w:tc>
        <w:tc>
          <w:tcPr>
            <w:tcW w:w="6240" w:type="dxa"/>
            <w:vAlign w:val="bottom"/>
            <w:gridSpan w:val="4"/>
          </w:tcPr>
          <w:p>
            <w:pPr>
              <w:spacing w:after="0"/>
              <w:rPr>
                <w:sz w:val="21"/>
                <w:szCs w:val="21"/>
                <w:color w:val="auto"/>
              </w:rPr>
            </w:pPr>
          </w:p>
        </w:tc>
      </w:tr>
      <w:tr>
        <w:trPr>
          <w:trHeight w:val="276"/>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8"/>
          </w:tcPr>
          <w:p>
            <w:pPr>
              <w:spacing w:after="0"/>
              <w:rPr>
                <w:sz w:val="20"/>
                <w:szCs w:val="20"/>
                <w:color w:val="auto"/>
              </w:rPr>
            </w:pPr>
            <w:r>
              <w:rPr>
                <w:rFonts w:ascii="Arial" w:cs="Arial" w:eastAsia="Arial" w:hAnsi="Arial"/>
                <w:sz w:val="18"/>
                <w:szCs w:val="18"/>
                <w:color w:val="auto"/>
                <w:w w:val="94"/>
              </w:rPr>
              <w:t>The following materials from Euronet Worldwide, Inc.’s Quarterly Report on Form 10-Q for the quarter ended June 30, 2018, formatted in</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40" w:type="dxa"/>
            <w:vAlign w:val="bottom"/>
            <w:gridSpan w:val="8"/>
          </w:tcPr>
          <w:p>
            <w:pPr>
              <w:spacing w:after="0"/>
              <w:rPr>
                <w:sz w:val="20"/>
                <w:szCs w:val="20"/>
                <w:color w:val="auto"/>
              </w:rPr>
            </w:pPr>
            <w:r>
              <w:rPr>
                <w:rFonts w:ascii="Arial" w:cs="Arial" w:eastAsia="Arial" w:hAnsi="Arial"/>
                <w:sz w:val="18"/>
                <w:szCs w:val="18"/>
                <w:color w:val="auto"/>
                <w:w w:val="92"/>
              </w:rPr>
              <w:t>XBRL (eXtensible Business Reporting Language): (i) Consolidated Balance Sheets at June 30, 2018 (unaudited) and December 31, 2017,</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40" w:type="dxa"/>
            <w:vAlign w:val="bottom"/>
            <w:gridSpan w:val="8"/>
          </w:tcPr>
          <w:p>
            <w:pPr>
              <w:spacing w:after="0"/>
              <w:rPr>
                <w:sz w:val="20"/>
                <w:szCs w:val="20"/>
                <w:color w:val="auto"/>
              </w:rPr>
            </w:pPr>
            <w:r>
              <w:rPr>
                <w:rFonts w:ascii="Arial" w:cs="Arial" w:eastAsia="Arial" w:hAnsi="Arial"/>
                <w:sz w:val="18"/>
                <w:szCs w:val="18"/>
                <w:color w:val="auto"/>
                <w:w w:val="90"/>
              </w:rPr>
              <w:t>(ii) Consolidated Statements of Income (unaudited) for the three and six months ended June 30, 2018 and 2017, (iii) Consolidated Statements</w:t>
            </w:r>
          </w:p>
        </w:tc>
      </w:tr>
    </w:tbl>
    <w:p>
      <w:pPr>
        <w:ind w:left="1180" w:right="20"/>
        <w:spacing w:after="0" w:line="290" w:lineRule="auto"/>
        <w:rPr>
          <w:sz w:val="20"/>
          <w:szCs w:val="20"/>
          <w:color w:val="auto"/>
        </w:rPr>
      </w:pPr>
      <w:r>
        <w:rPr>
          <w:rFonts w:ascii="Arial" w:cs="Arial" w:eastAsia="Arial" w:hAnsi="Arial"/>
          <w:sz w:val="16"/>
          <w:szCs w:val="16"/>
          <w:color w:val="auto"/>
        </w:rPr>
        <w:t>of Comprehensive Income (Loss) (unaudited) for the three and six months ended June 30, 2018 and 2017, (iv) Consolidated Statements of Cash Flows (unaudited) for the six months ended June 30, 2018 and 2017, and (v) Notes to the Unaudited Consolidated Financial Statements.</w:t>
      </w: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Filed herewith.</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Pursuant to Item 601(b)(32) of Regulation S-K, this Exhibit is furnished rather than filed with this Form 10-Q.</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August 2,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jc w:val="center"/>
              <w:ind w:right="10"/>
              <w:spacing w:after="0"/>
              <w:rPr>
                <w:sz w:val="20"/>
                <w:szCs w:val="20"/>
                <w:color w:val="auto"/>
              </w:rPr>
            </w:pPr>
            <w:r>
              <w:rPr>
                <w:rFonts w:ascii="Arial" w:cs="Arial" w:eastAsia="Arial" w:hAnsi="Arial"/>
                <w:sz w:val="18"/>
                <w:szCs w:val="18"/>
                <w:color w:val="auto"/>
                <w:w w:val="96"/>
              </w:rPr>
              <w:t>/s/ MICHAEL J. BROWN</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81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jc w:val="center"/>
              <w:ind w:right="10"/>
              <w:spacing w:after="0"/>
              <w:rPr>
                <w:sz w:val="20"/>
                <w:szCs w:val="20"/>
                <w:color w:val="auto"/>
              </w:rPr>
            </w:pPr>
            <w:r>
              <w:rPr>
                <w:rFonts w:ascii="Arial" w:cs="Arial" w:eastAsia="Arial" w:hAnsi="Arial"/>
                <w:sz w:val="18"/>
                <w:szCs w:val="18"/>
                <w:color w:val="auto"/>
                <w:w w:val="97"/>
              </w:rPr>
              <w:t>/s/ RICK L. WELLER</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60"/>
          </w:cols>
          <w:pgMar w:left="240" w:top="125" w:right="399" w:bottom="1440" w:gutter="0" w:footer="0" w:header="0"/>
        </w:sectPr>
      </w:pPr>
    </w:p>
    <w:bookmarkStart w:id="43" w:name="page44"/>
    <w:bookmarkEnd w:id="43"/>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STRICTLY PRIVATE &amp;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4 JUNE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180" w:hanging="251"/>
        <w:spacing w:after="0"/>
        <w:tabs>
          <w:tab w:leader="none" w:pos="31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EURONET 360 FINANCE LIMITED</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4420" w:hanging="104"/>
        <w:spacing w:after="0"/>
        <w:tabs>
          <w:tab w:leader="none" w:pos="4420" w:val="left"/>
        </w:tabs>
        <w:numPr>
          <w:ilvl w:val="2"/>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and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57" w:lineRule="exact"/>
        <w:rPr>
          <w:rFonts w:ascii="Arial" w:cs="Arial" w:eastAsia="Arial" w:hAnsi="Arial"/>
          <w:sz w:val="18"/>
          <w:szCs w:val="18"/>
          <w:b w:val="1"/>
          <w:bCs w:val="1"/>
          <w:color w:val="auto"/>
        </w:rPr>
      </w:pPr>
    </w:p>
    <w:p>
      <w:pPr>
        <w:ind w:left="3720" w:hanging="264"/>
        <w:spacing w:after="0"/>
        <w:tabs>
          <w:tab w:leader="none" w:pos="3720"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NIKOLAOS FOUNTAS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DEED OF AMENDMENT TO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SERVICE AGREEMENT DATED 21 MAY 2018</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Euronet 360 Finance Limited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Registered in England No.; 6928422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Registered Office 5th Floor North Block, 55 Baker Street London WIU 7EU United Kingdom</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Euronet 36(1 Finance Limited is authorized by the Financial Conduct Authority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under the Electronic Money Regulations 2011 (register reference 900009)</w:t>
      </w:r>
    </w:p>
    <w:p>
      <w:pPr>
        <w:sectPr>
          <w:pgSz w:w="11900" w:h="16838" w:orient="portrait"/>
          <w:cols w:equalWidth="0" w:num="1">
            <w:col w:w="9019"/>
          </w:cols>
          <w:pgMar w:left="1440" w:top="1440" w:right="1440" w:bottom="1440" w:gutter="0" w:footer="0" w:header="0"/>
          <w:type w:val="continuous"/>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0" w:right="1580"/>
        <w:spacing w:after="0" w:line="266" w:lineRule="auto"/>
        <w:rPr>
          <w:sz w:val="20"/>
          <w:szCs w:val="20"/>
          <w:color w:val="auto"/>
        </w:rPr>
      </w:pPr>
      <w:r>
        <w:rPr>
          <w:rFonts w:ascii="Arial" w:cs="Arial" w:eastAsia="Arial" w:hAnsi="Arial"/>
          <w:sz w:val="18"/>
          <w:szCs w:val="18"/>
          <w:color w:val="auto"/>
        </w:rPr>
        <w:t xml:space="preserve">This Deed of Amendment </w:t>
      </w:r>
      <w:r>
        <w:rPr>
          <w:rFonts w:ascii="Arial" w:cs="Arial" w:eastAsia="Arial" w:hAnsi="Arial"/>
          <w:sz w:val="18"/>
          <w:szCs w:val="18"/>
          <w:b w:val="1"/>
          <w:bCs w:val="1"/>
          <w:color w:val="auto"/>
        </w:rPr>
        <w:t>("Deed")</w:t>
      </w:r>
      <w:r>
        <w:rPr>
          <w:rFonts w:ascii="Arial" w:cs="Arial" w:eastAsia="Arial" w:hAnsi="Arial"/>
          <w:sz w:val="18"/>
          <w:szCs w:val="18"/>
          <w:color w:val="auto"/>
        </w:rPr>
        <w:t xml:space="preserve"> to the Service Agreement dated 21 May 2018 </w:t>
      </w:r>
      <w:r>
        <w:rPr>
          <w:rFonts w:ascii="Arial" w:cs="Arial" w:eastAsia="Arial" w:hAnsi="Arial"/>
          <w:sz w:val="18"/>
          <w:szCs w:val="18"/>
          <w:b w:val="1"/>
          <w:bCs w:val="1"/>
          <w:color w:val="auto"/>
        </w:rPr>
        <w:t>("Service Agreement")</w:t>
      </w:r>
      <w:r>
        <w:rPr>
          <w:rFonts w:ascii="Arial" w:cs="Arial" w:eastAsia="Arial" w:hAnsi="Arial"/>
          <w:sz w:val="18"/>
          <w:szCs w:val="18"/>
          <w:color w:val="auto"/>
        </w:rPr>
        <w:t xml:space="preserve"> is entered in to on 5 June 2018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EURONET</w:t>
      </w:r>
      <w:r>
        <w:rPr>
          <w:rFonts w:ascii="Arial" w:cs="Arial" w:eastAsia="Arial" w:hAnsi="Arial"/>
          <w:sz w:val="18"/>
          <w:szCs w:val="18"/>
          <w:color w:val="auto"/>
        </w:rPr>
        <w:t xml:space="preserve"> 360 </w:t>
      </w:r>
      <w:r>
        <w:rPr>
          <w:rFonts w:ascii="Arial" w:cs="Arial" w:eastAsia="Arial" w:hAnsi="Arial"/>
          <w:sz w:val="18"/>
          <w:szCs w:val="18"/>
          <w:b w:val="1"/>
          <w:bCs w:val="1"/>
          <w:color w:val="auto"/>
        </w:rPr>
        <w:t>FINANCE LIMITED,</w:t>
      </w:r>
      <w:r>
        <w:rPr>
          <w:rFonts w:ascii="Arial" w:cs="Arial" w:eastAsia="Arial" w:hAnsi="Arial"/>
          <w:sz w:val="18"/>
          <w:szCs w:val="18"/>
          <w:color w:val="auto"/>
        </w:rPr>
        <w:t xml:space="preserve"> a private limited company incorporated under the laws of England &amp;</w:t>
      </w:r>
    </w:p>
    <w:p>
      <w:pPr>
        <w:spacing w:after="0" w:line="16" w:lineRule="exact"/>
        <w:rPr>
          <w:sz w:val="20"/>
          <w:szCs w:val="20"/>
          <w:color w:val="auto"/>
        </w:rPr>
      </w:pPr>
    </w:p>
    <w:p>
      <w:pPr>
        <w:ind w:left="380" w:right="320"/>
        <w:spacing w:after="0" w:line="274" w:lineRule="auto"/>
        <w:rPr>
          <w:sz w:val="20"/>
          <w:szCs w:val="20"/>
          <w:color w:val="auto"/>
        </w:rPr>
      </w:pPr>
      <w:r>
        <w:rPr>
          <w:rFonts w:ascii="Arial" w:cs="Arial" w:eastAsia="Arial" w:hAnsi="Arial"/>
          <w:sz w:val="18"/>
          <w:szCs w:val="18"/>
          <w:color w:val="auto"/>
        </w:rPr>
        <w:t xml:space="preserve">Wales with company number 6928422 and whose principal office is at S'*" Floor North Block, 55 Baker Street, London WIU 7EU, United Kingdom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NIKOLAOS FOUNTAS,</w:t>
      </w:r>
      <w:r>
        <w:rPr>
          <w:rFonts w:ascii="Arial" w:cs="Arial" w:eastAsia="Arial" w:hAnsi="Arial"/>
          <w:sz w:val="18"/>
          <w:szCs w:val="18"/>
          <w:color w:val="auto"/>
        </w:rPr>
        <w:t xml:space="preserve"> of 56, Kolokotroni Street, Athens, Greece </w:t>
      </w:r>
      <w:r>
        <w:rPr>
          <w:rFonts w:ascii="Arial" w:cs="Arial" w:eastAsia="Arial" w:hAnsi="Arial"/>
          <w:sz w:val="18"/>
          <w:szCs w:val="18"/>
          <w:b w:val="1"/>
          <w:bCs w:val="1"/>
          <w:color w:val="auto"/>
        </w:rPr>
        <w:t>("Executive").</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Each of the Company and the Executive are referred to herein as a </w:t>
      </w:r>
      <w:r>
        <w:rPr>
          <w:rFonts w:ascii="Arial" w:cs="Arial" w:eastAsia="Arial" w:hAnsi="Arial"/>
          <w:sz w:val="18"/>
          <w:szCs w:val="18"/>
          <w:b w:val="1"/>
          <w:bCs w:val="1"/>
          <w:color w:val="auto"/>
        </w:rPr>
        <w:t>"Party"</w:t>
      </w:r>
      <w:r>
        <w:rPr>
          <w:rFonts w:ascii="Arial" w:cs="Arial" w:eastAsia="Arial" w:hAnsi="Arial"/>
          <w:sz w:val="18"/>
          <w:szCs w:val="18"/>
          <w:color w:val="auto"/>
        </w:rPr>
        <w:t xml:space="preserve"> and collectively as the </w:t>
      </w:r>
      <w:r>
        <w:rPr>
          <w:rFonts w:ascii="Arial" w:cs="Arial" w:eastAsia="Arial" w:hAnsi="Arial"/>
          <w:sz w:val="18"/>
          <w:szCs w:val="18"/>
          <w:b w:val="1"/>
          <w:bCs w:val="1"/>
          <w:color w:val="auto"/>
        </w:rPr>
        <w:t>"Parties".</w:t>
      </w:r>
    </w:p>
    <w:p>
      <w:pPr>
        <w:spacing w:after="0" w:line="306"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RECITALS</w:t>
      </w:r>
    </w:p>
    <w:p>
      <w:pPr>
        <w:spacing w:after="0" w:line="200" w:lineRule="exact"/>
        <w:rPr>
          <w:sz w:val="20"/>
          <w:szCs w:val="20"/>
          <w:color w:val="auto"/>
        </w:rPr>
      </w:pPr>
    </w:p>
    <w:p>
      <w:pPr>
        <w:spacing w:after="0" w:line="268" w:lineRule="exact"/>
        <w:rPr>
          <w:sz w:val="20"/>
          <w:szCs w:val="20"/>
          <w:color w:val="auto"/>
        </w:rPr>
      </w:pPr>
    </w:p>
    <w:p>
      <w:pPr>
        <w:ind w:left="100" w:right="60"/>
        <w:spacing w:after="0" w:line="230"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entered in to the Service Agreement on 21 May 2018 in respect of the Executive's employment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corresponding service as Chief Executive Officer, EFT EMEA for the Company, EWI and/or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Group.</w:t>
      </w:r>
    </w:p>
    <w:p>
      <w:pPr>
        <w:spacing w:after="0" w:line="27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wish to amend the Service Agreement.</w:t>
      </w:r>
    </w:p>
    <w:p>
      <w:pPr>
        <w:spacing w:after="0" w:line="266" w:lineRule="exact"/>
        <w:rPr>
          <w:sz w:val="20"/>
          <w:szCs w:val="20"/>
          <w:color w:val="auto"/>
        </w:rPr>
      </w:pPr>
    </w:p>
    <w:p>
      <w:pPr>
        <w:ind w:left="100" w:right="1840"/>
        <w:spacing w:after="0" w:line="266"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have agreed to enter in to this Deed to amend and/or clarify certain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Agreement as stated herein.</w:t>
      </w:r>
    </w:p>
    <w:p>
      <w:pPr>
        <w:spacing w:after="0" w:line="200" w:lineRule="exact"/>
        <w:rPr>
          <w:sz w:val="20"/>
          <w:szCs w:val="20"/>
          <w:color w:val="auto"/>
        </w:rPr>
      </w:pPr>
    </w:p>
    <w:p>
      <w:pPr>
        <w:spacing w:after="0" w:line="246"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TERMS OF AMENDMENT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0" w:right="2200" w:hanging="431"/>
        <w:spacing w:after="0" w:line="324" w:lineRule="auto"/>
        <w:rPr>
          <w:sz w:val="20"/>
          <w:szCs w:val="20"/>
          <w:color w:val="auto"/>
        </w:rPr>
      </w:pPr>
      <w:r>
        <w:rPr>
          <w:rFonts w:ascii="Arial" w:cs="Arial" w:eastAsia="Arial" w:hAnsi="Arial"/>
          <w:sz w:val="16"/>
          <w:szCs w:val="16"/>
          <w:color w:val="auto"/>
        </w:rPr>
        <w:t>1.1 Any capitalized terms, phrases and expressions as set out in the text of the Service Agreement shall apply throughout this Deed unless the context requires otherwise, or it is expressly stated to the contrary.</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xml:space="preserve">1.2 The Commencement Date as originally stated in the Service Agreement is hereby modified to read as stated below in </w:t>
      </w:r>
      <w:r>
        <w:rPr>
          <w:rFonts w:ascii="Arial" w:cs="Arial" w:eastAsia="Arial" w:hAnsi="Arial"/>
          <w:sz w:val="17"/>
          <w:szCs w:val="17"/>
          <w:i w:val="1"/>
          <w:iCs w:val="1"/>
          <w:color w:val="auto"/>
        </w:rPr>
        <w:t>italics:</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Commencement Date means 21 May 2018</w:t>
      </w:r>
    </w:p>
    <w:p>
      <w:pPr>
        <w:spacing w:after="0" w:line="1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1.3 The definition of DP A, shall from the Effective Date, be taken to include Regulation (EU) 2016/679 of the</w:t>
      </w:r>
    </w:p>
    <w:p>
      <w:pPr>
        <w:ind w:left="500" w:hanging="404"/>
        <w:spacing w:after="0" w:line="242" w:lineRule="auto"/>
        <w:rPr>
          <w:sz w:val="20"/>
          <w:szCs w:val="20"/>
          <w:color w:val="auto"/>
        </w:rPr>
      </w:pPr>
      <w:r>
        <w:rPr>
          <w:rFonts w:ascii="Arial" w:cs="Arial" w:eastAsia="Arial" w:hAnsi="Arial"/>
          <w:sz w:val="16"/>
          <w:szCs w:val="16"/>
          <w:color w:val="auto"/>
        </w:rPr>
        <w:t>European Parliament and of the Council of 27 April 2016 on the protection of natural persons with regard to the processing of personal data and on the free movement of such data ("GDPR") as updated from time to time together with any applicable legislation implementing or supplementing or replacing the same from time to time or otherwise relating to the processing of personal data of natural persons, together with binding guidance and codes of practice issued from time to time by relevant supervisory authorities.</w:t>
      </w:r>
    </w:p>
    <w:p>
      <w:pPr>
        <w:spacing w:after="0" w:line="214" w:lineRule="exact"/>
        <w:rPr>
          <w:sz w:val="20"/>
          <w:szCs w:val="20"/>
          <w:color w:val="auto"/>
        </w:rPr>
      </w:pPr>
    </w:p>
    <w:p>
      <w:pPr>
        <w:ind w:left="500" w:right="1980" w:hanging="404"/>
        <w:spacing w:after="0" w:line="262" w:lineRule="auto"/>
        <w:rPr>
          <w:sz w:val="20"/>
          <w:szCs w:val="20"/>
          <w:color w:val="auto"/>
        </w:rPr>
      </w:pPr>
      <w:r>
        <w:rPr>
          <w:rFonts w:ascii="Arial" w:cs="Arial" w:eastAsia="Arial" w:hAnsi="Arial"/>
          <w:sz w:val="18"/>
          <w:szCs w:val="18"/>
          <w:color w:val="auto"/>
        </w:rPr>
        <w:t>1.4 The provisions of Clause 17 of the Service Agreement shall be deemed amended according to the provisions of GDPR as and where applicable.</w:t>
      </w:r>
    </w:p>
    <w:p>
      <w:pPr>
        <w:spacing w:after="0" w:line="223" w:lineRule="exact"/>
        <w:rPr>
          <w:sz w:val="20"/>
          <w:szCs w:val="20"/>
          <w:color w:val="auto"/>
        </w:rPr>
      </w:pPr>
    </w:p>
    <w:p>
      <w:pPr>
        <w:ind w:left="100" w:right="2080"/>
        <w:spacing w:after="0" w:line="235" w:lineRule="auto"/>
        <w:rPr>
          <w:sz w:val="20"/>
          <w:szCs w:val="20"/>
          <w:color w:val="auto"/>
        </w:rPr>
      </w:pPr>
      <w:r>
        <w:rPr>
          <w:rFonts w:ascii="Arial" w:cs="Arial" w:eastAsia="Arial" w:hAnsi="Arial"/>
          <w:sz w:val="18"/>
          <w:szCs w:val="18"/>
          <w:color w:val="auto"/>
        </w:rPr>
        <w:t>1.5 All other terms and conditions as stated in the Service Agreement shall remain unchanged and in full effect irrespective of the terms of this Deed.</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1.6 This Deed shall be subject to and construed in accordance with the laws of England &amp; Wales.</w:t>
      </w:r>
    </w:p>
    <w:p>
      <w:pPr>
        <w:spacing w:after="0" w:line="209"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180"/>
          </w:cols>
          <w:pgMar w:left="1440" w:top="1440" w:right="279" w:bottom="1440" w:gutter="0" w:footer="0" w:header="0"/>
        </w:sectPr>
      </w:pPr>
    </w:p>
    <w:bookmarkStart w:id="45" w:name="page46"/>
    <w:bookmarkEnd w:id="45"/>
    <w:p>
      <w:pPr>
        <w:spacing w:after="0" w:line="10" w:lineRule="exact"/>
        <w:rPr>
          <w:sz w:val="20"/>
          <w:szCs w:val="20"/>
          <w:color w:val="auto"/>
        </w:rPr>
      </w:pPr>
    </w:p>
    <w:p>
      <w:pPr>
        <w:ind w:left="20" w:right="1239"/>
        <w:spacing w:after="0" w:line="474" w:lineRule="auto"/>
        <w:rPr>
          <w:sz w:val="20"/>
          <w:szCs w:val="20"/>
          <w:color w:val="auto"/>
        </w:rPr>
      </w:pPr>
      <w:r>
        <w:rPr>
          <w:rFonts w:ascii="Arial" w:cs="Arial" w:eastAsia="Arial" w:hAnsi="Arial"/>
          <w:sz w:val="16"/>
          <w:szCs w:val="16"/>
          <w:b w:val="1"/>
          <w:bCs w:val="1"/>
          <w:color w:val="auto"/>
        </w:rPr>
        <w:t xml:space="preserve">THIS DOCUMENT HAS BEEN DULY EXECUTED AS A DEED </w:t>
      </w:r>
      <w:r>
        <w:rPr>
          <w:rFonts w:ascii="Arial" w:cs="Arial" w:eastAsia="Arial" w:hAnsi="Arial"/>
          <w:sz w:val="16"/>
          <w:szCs w:val="16"/>
          <w:color w:val="auto"/>
        </w:rPr>
        <w:t>and is delivered and takes effect on the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Date.</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EXECUTED AS A DEED BY </w:t>
      </w:r>
      <w:r>
        <w:rPr>
          <w:rFonts w:ascii="Arial" w:cs="Arial" w:eastAsia="Arial" w:hAnsi="Arial"/>
          <w:sz w:val="16"/>
          <w:szCs w:val="16"/>
          <w:color w:val="auto"/>
        </w:rPr>
        <w:t>Desmond Acosta</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acting as a director or Euronet 360 Finance Limited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auto"/>
        </w:rPr>
        <w:t>/s/ Desmond Acosta</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IN THE PRESENCE OF:</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WITNESS NAME:</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WITNESS OCCUPATION:</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WITNESS ADDRESS:</w:t>
      </w: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SIGNED AS A DEED BY NIKOLAOS FOUNTAS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auto"/>
        </w:rPr>
        <w:t>/s/ Nikolaos Fountas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780" w:type="dxa"/>
            <w:vAlign w:val="bottom"/>
          </w:tcPr>
          <w:p>
            <w:pPr>
              <w:spacing w:after="0"/>
              <w:rPr>
                <w:sz w:val="20"/>
                <w:szCs w:val="20"/>
                <w:color w:val="auto"/>
              </w:rPr>
            </w:pPr>
            <w:r>
              <w:rPr>
                <w:rFonts w:ascii="Arial" w:cs="Arial" w:eastAsia="Arial" w:hAnsi="Arial"/>
                <w:sz w:val="16"/>
                <w:szCs w:val="16"/>
                <w:b w:val="1"/>
                <w:bCs w:val="1"/>
                <w:i w:val="1"/>
                <w:iCs w:val="1"/>
                <w:color w:val="auto"/>
                <w:w w:val="99"/>
              </w:rPr>
              <w:t>IN THE PRESENCE OF:</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w w:val="90"/>
              </w:rPr>
              <w:t>/s/ Natalia Tsoukaraki</w:t>
            </w:r>
          </w:p>
        </w:tc>
      </w:tr>
      <w:tr>
        <w:trPr>
          <w:trHeight w:val="318"/>
        </w:trPr>
        <w:tc>
          <w:tcPr>
            <w:tcW w:w="1780" w:type="dxa"/>
            <w:vAlign w:val="bottom"/>
          </w:tcPr>
          <w:p>
            <w:pPr>
              <w:spacing w:after="0"/>
              <w:rPr>
                <w:sz w:val="20"/>
                <w:szCs w:val="20"/>
                <w:color w:val="auto"/>
              </w:rPr>
            </w:pPr>
            <w:r>
              <w:rPr>
                <w:rFonts w:ascii="Arial" w:cs="Arial" w:eastAsia="Arial" w:hAnsi="Arial"/>
                <w:sz w:val="16"/>
                <w:szCs w:val="16"/>
                <w:b w:val="1"/>
                <w:bCs w:val="1"/>
                <w:i w:val="1"/>
                <w:iCs w:val="1"/>
                <w:color w:val="auto"/>
              </w:rPr>
              <w:t>WITNESS NAME:</w:t>
            </w:r>
          </w:p>
        </w:tc>
        <w:tc>
          <w:tcPr>
            <w:tcW w:w="122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w w:val="90"/>
              </w:rPr>
              <w:t>Natalia Tsoukaraki</w:t>
            </w:r>
          </w:p>
        </w:tc>
        <w:tc>
          <w:tcPr>
            <w:tcW w:w="500" w:type="dxa"/>
            <w:vAlign w:val="bottom"/>
            <w:gridSpan w:val="2"/>
          </w:tcPr>
          <w:p>
            <w:pPr>
              <w:spacing w:after="0"/>
              <w:rPr>
                <w:sz w:val="24"/>
                <w:szCs w:val="24"/>
                <w:color w:val="auto"/>
              </w:rPr>
            </w:pPr>
          </w:p>
        </w:tc>
      </w:tr>
      <w:tr>
        <w:trPr>
          <w:trHeight w:val="318"/>
        </w:trPr>
        <w:tc>
          <w:tcPr>
            <w:tcW w:w="20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WITNESS OCCUPATION:</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4"/>
          </w:tcPr>
          <w:p>
            <w:pPr>
              <w:spacing w:after="0"/>
              <w:rPr>
                <w:sz w:val="20"/>
                <w:szCs w:val="20"/>
                <w:color w:val="auto"/>
              </w:rPr>
            </w:pPr>
            <w:r>
              <w:rPr>
                <w:rFonts w:ascii="Arial" w:cs="Arial" w:eastAsia="Arial" w:hAnsi="Arial"/>
                <w:sz w:val="16"/>
                <w:szCs w:val="16"/>
                <w:color w:val="auto"/>
              </w:rPr>
              <w:t>Executive Support</w:t>
            </w:r>
          </w:p>
        </w:tc>
      </w:tr>
      <w:tr>
        <w:trPr>
          <w:trHeight w:val="20"/>
        </w:trPr>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8"/>
        </w:trPr>
        <w:tc>
          <w:tcPr>
            <w:tcW w:w="1780" w:type="dxa"/>
            <w:vAlign w:val="bottom"/>
          </w:tcPr>
          <w:p>
            <w:pPr>
              <w:spacing w:after="0"/>
              <w:rPr>
                <w:sz w:val="20"/>
                <w:szCs w:val="20"/>
                <w:color w:val="auto"/>
              </w:rPr>
            </w:pPr>
            <w:r>
              <w:rPr>
                <w:rFonts w:ascii="Arial" w:cs="Arial" w:eastAsia="Arial" w:hAnsi="Arial"/>
                <w:sz w:val="16"/>
                <w:szCs w:val="16"/>
                <w:b w:val="1"/>
                <w:bCs w:val="1"/>
                <w:i w:val="1"/>
                <w:iCs w:val="1"/>
                <w:color w:val="auto"/>
              </w:rPr>
              <w:t>WITNESS ADDRESS:</w:t>
            </w:r>
          </w:p>
        </w:tc>
        <w:tc>
          <w:tcPr>
            <w:tcW w:w="220" w:type="dxa"/>
            <w:vAlign w:val="bottom"/>
          </w:tcPr>
          <w:p>
            <w:pPr>
              <w:spacing w:after="0"/>
              <w:rPr>
                <w:sz w:val="24"/>
                <w:szCs w:val="24"/>
                <w:color w:val="auto"/>
              </w:rPr>
            </w:pPr>
          </w:p>
        </w:tc>
        <w:tc>
          <w:tcPr>
            <w:tcW w:w="1500" w:type="dxa"/>
            <w:vAlign w:val="bottom"/>
            <w:gridSpan w:val="6"/>
          </w:tcPr>
          <w:p>
            <w:pPr>
              <w:spacing w:after="0"/>
              <w:rPr>
                <w:sz w:val="20"/>
                <w:szCs w:val="20"/>
                <w:color w:val="auto"/>
              </w:rPr>
            </w:pPr>
            <w:r>
              <w:rPr>
                <w:rFonts w:ascii="Arial" w:cs="Arial" w:eastAsia="Arial" w:hAnsi="Arial"/>
                <w:sz w:val="16"/>
                <w:szCs w:val="16"/>
                <w:color w:val="auto"/>
              </w:rPr>
              <w:t>Piraeus Greece</w:t>
            </w:r>
          </w:p>
        </w:tc>
      </w:tr>
      <w:tr>
        <w:trPr>
          <w:trHeight w:val="20"/>
        </w:trPr>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019"/>
          </w:cols>
          <w:pgMar w:left="1440" w:top="1440" w:right="1440"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12.1</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EURONET WORLDWIDE,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56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June 30,</w:t>
            </w:r>
          </w:p>
        </w:tc>
      </w:tr>
      <w:tr>
        <w:trPr>
          <w:trHeight w:val="264"/>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2017</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r>
      <w:tr>
        <w:trPr>
          <w:trHeight w:val="228"/>
        </w:trPr>
        <w:tc>
          <w:tcPr>
            <w:tcW w:w="5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Pretax income before adjustment for income from unconsolidated</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7"/>
        </w:trPr>
        <w:tc>
          <w:tcPr>
            <w:tcW w:w="5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69,933</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100,191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106,973</w:t>
            </w: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Add:</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5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Fixed charges</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11,147</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20,234</w:t>
            </w:r>
          </w:p>
        </w:tc>
      </w:tr>
      <w:tr>
        <w:trPr>
          <w:trHeight w:val="297"/>
        </w:trPr>
        <w:tc>
          <w:tcPr>
            <w:tcW w:w="5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Adjusted pretax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73,472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81,080</w:t>
            </w:r>
          </w:p>
        </w:tc>
        <w:tc>
          <w:tcPr>
            <w:tcW w:w="1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123,995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127,207</w:t>
            </w:r>
          </w:p>
        </w:tc>
      </w:tr>
      <w:tr>
        <w:trPr>
          <w:trHeight w:val="237"/>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r>
      <w:tr>
        <w:trPr>
          <w:trHeight w:val="243"/>
        </w:trPr>
        <w:tc>
          <w:tcPr>
            <w:tcW w:w="54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10,061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8,376</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17,667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15,524</w:t>
            </w:r>
          </w:p>
        </w:tc>
      </w:tr>
      <w:tr>
        <w:trPr>
          <w:trHeight w:val="27"/>
        </w:trPr>
        <w:tc>
          <w:tcPr>
            <w:tcW w:w="5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5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Estimate of interest within rental expense</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4,710</w:t>
            </w:r>
          </w:p>
        </w:tc>
      </w:tr>
      <w:tr>
        <w:trPr>
          <w:trHeight w:val="297"/>
        </w:trPr>
        <w:tc>
          <w:tcPr>
            <w:tcW w:w="5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fixed charges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11,147</w:t>
            </w:r>
          </w:p>
        </w:tc>
        <w:tc>
          <w:tcPr>
            <w:tcW w:w="1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23,804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20,234</w:t>
            </w:r>
          </w:p>
        </w:tc>
      </w:tr>
      <w:tr>
        <w:trPr>
          <w:trHeight w:val="230"/>
        </w:trPr>
        <w:tc>
          <w:tcPr>
            <w:tcW w:w="5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5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ectPr>
          <w:pgSz w:w="11900" w:h="16838" w:orient="portrait"/>
          <w:cols w:equalWidth="0" w:num="1">
            <w:col w:w="10300"/>
          </w:cols>
          <w:pgMar w:left="136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2018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August 2, 2018</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2018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August 2,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5" Type="http://schemas.openxmlformats.org/officeDocument/2006/relationships/hyperlink" Target="http://www.sec.gov/Archives/edgar/data/1029199/000102919918000041/0001029199-18-000041-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2019-12-28T20:32:15Z</dcterms:created>
  <dcterms:modified xsi:type="dcterms:W3CDTF">2019-12-28T20:32:15Z</dcterms:modified>
</cp:coreProperties>
</file>