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10-K</w:t>
      </w:r>
    </w:p>
    <w:p>
      <w:pPr>
        <w:spacing w:after="0" w:line="6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252" w:lineRule="exact"/>
        <w:rPr>
          <w:sz w:val="24"/>
          <w:szCs w:val="24"/>
          <w:color w:val="auto"/>
        </w:rPr>
      </w:pPr>
    </w:p>
    <w:p>
      <w:pPr>
        <w:ind w:left="2460"/>
        <w:spacing w:after="0"/>
        <w:rPr>
          <w:sz w:val="20"/>
          <w:szCs w:val="20"/>
          <w:color w:val="auto"/>
        </w:rPr>
      </w:pPr>
      <w:r>
        <w:rPr>
          <w:rFonts w:ascii="Arial" w:cs="Arial" w:eastAsia="Arial" w:hAnsi="Arial"/>
          <w:sz w:val="18"/>
          <w:szCs w:val="18"/>
          <w:color w:val="auto"/>
        </w:rPr>
        <w:t>(Mark</w:t>
      </w:r>
    </w:p>
    <w:p>
      <w:pPr>
        <w:spacing w:after="0" w:line="23"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One)</w:t>
      </w:r>
    </w:p>
    <w:p>
      <w:pPr>
        <w:spacing w:after="0" w:line="45" w:lineRule="exact"/>
        <w:rPr>
          <w:sz w:val="24"/>
          <w:szCs w:val="24"/>
          <w:color w:val="auto"/>
        </w:rPr>
      </w:pPr>
    </w:p>
    <w:p>
      <w:pPr>
        <w:ind w:left="3200" w:hanging="593"/>
        <w:spacing w:after="0"/>
        <w:tabs>
          <w:tab w:leader="none" w:pos="32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w:t>
      </w:r>
    </w:p>
    <w:p>
      <w:pPr>
        <w:spacing w:after="0" w:line="40" w:lineRule="exact"/>
        <w:rPr>
          <w:rFonts w:ascii="MS PGothic" w:cs="MS PGothic" w:eastAsia="MS PGothic" w:hAnsi="MS PGothic"/>
          <w:sz w:val="17"/>
          <w:szCs w:val="17"/>
          <w:color w:val="auto"/>
        </w:rPr>
      </w:pPr>
    </w:p>
    <w:p>
      <w:pPr>
        <w:ind w:left="386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THE SECURITIES EXCHANGE ACT OF 1934</w:t>
      </w:r>
    </w:p>
    <w:p>
      <w:pPr>
        <w:spacing w:after="0" w:line="4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6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333" w:lineRule="exact"/>
        <w:rPr>
          <w:sz w:val="24"/>
          <w:szCs w:val="24"/>
          <w:color w:val="auto"/>
        </w:rPr>
      </w:pPr>
    </w:p>
    <w:p>
      <w:pPr>
        <w:ind w:left="3180" w:hanging="596"/>
        <w:spacing w:after="0"/>
        <w:tabs>
          <w:tab w:leader="none" w:pos="31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w:t>
      </w:r>
    </w:p>
    <w:p>
      <w:pPr>
        <w:spacing w:after="0" w:line="40" w:lineRule="exact"/>
        <w:rPr>
          <w:rFonts w:ascii="MS PGothic" w:cs="MS PGothic" w:eastAsia="MS PGothic" w:hAnsi="MS PGothic"/>
          <w:sz w:val="17"/>
          <w:szCs w:val="17"/>
          <w:color w:val="auto"/>
        </w:rPr>
      </w:pPr>
    </w:p>
    <w:p>
      <w:pPr>
        <w:ind w:left="370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OF THE SECURITIES EXCHANGE ACT OF 1934</w:t>
      </w:r>
    </w:p>
    <w:p>
      <w:pPr>
        <w:sectPr>
          <w:pgSz w:w="11900" w:h="16838" w:orient="portrait"/>
          <w:cols w:equalWidth="0" w:num="1">
            <w:col w:w="11260"/>
          </w:cols>
          <w:pgMar w:left="320" w:top="796" w:right="319" w:bottom="1440" w:gutter="0" w:footer="0" w:header="0"/>
        </w:sectPr>
      </w:pPr>
    </w:p>
    <w:p>
      <w:pPr>
        <w:spacing w:after="0" w:line="43" w:lineRule="exact"/>
        <w:rPr>
          <w:sz w:val="24"/>
          <w:szCs w:val="24"/>
          <w:color w:val="auto"/>
        </w:rPr>
      </w:pPr>
    </w:p>
    <w:p>
      <w:pPr>
        <w:ind w:left="41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6" w:lineRule="exact"/>
        <w:rPr>
          <w:sz w:val="24"/>
          <w:szCs w:val="24"/>
          <w:color w:val="auto"/>
        </w:rPr>
      </w:pPr>
    </w:p>
    <w:p>
      <w:pPr>
        <w:sectPr>
          <w:pgSz w:w="11900" w:h="16838" w:orient="portrait"/>
          <w:cols w:equalWidth="0" w:num="2">
            <w:col w:w="6460" w:space="720"/>
            <w:col w:w="4080"/>
          </w:cols>
          <w:pgMar w:left="320" w:top="796" w:right="31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w:t>
      </w:r>
    </w:p>
    <w:p>
      <w:pPr>
        <w:jc w:val="center"/>
        <w:spacing w:after="0"/>
        <w:rPr>
          <w:sz w:val="20"/>
          <w:szCs w:val="20"/>
          <w:color w:val="auto"/>
        </w:rPr>
      </w:pPr>
      <w:r>
        <w:rPr>
          <w:rFonts w:ascii="Arial" w:cs="Arial" w:eastAsia="Arial" w:hAnsi="Arial"/>
          <w:sz w:val="18"/>
          <w:szCs w:val="18"/>
          <w:b w:val="1"/>
          <w:bCs w:val="1"/>
          <w:color w:val="auto"/>
        </w:rPr>
        <w:t>001-31648</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________________________</w:t>
      </w:r>
    </w:p>
    <w:p>
      <w:pPr>
        <w:sectPr>
          <w:pgSz w:w="11900" w:h="16838" w:orient="portrait"/>
          <w:cols w:equalWidth="0" w:num="1">
            <w:col w:w="11260"/>
          </w:cols>
          <w:pgMar w:left="320" w:top="796" w:right="319" w:bottom="1440" w:gutter="0" w:footer="0" w:header="0"/>
          <w:type w:val="continuous"/>
        </w:sectPr>
      </w:pPr>
    </w:p>
    <w:p>
      <w:pPr>
        <w:spacing w:after="0" w:line="232"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74-2806888</w:t>
      </w:r>
    </w:p>
    <w:p>
      <w:pPr>
        <w:spacing w:after="0" w:line="86" w:lineRule="exact"/>
        <w:rPr>
          <w:sz w:val="24"/>
          <w:szCs w:val="24"/>
          <w:color w:val="auto"/>
        </w:rPr>
      </w:pPr>
    </w:p>
    <w:p>
      <w:pPr>
        <w:sectPr>
          <w:pgSz w:w="11900" w:h="16838" w:orient="portrait"/>
          <w:cols w:equalWidth="0" w:num="2">
            <w:col w:w="7280" w:space="720"/>
            <w:col w:w="3260"/>
          </w:cols>
          <w:pgMar w:left="320" w:top="796" w:right="319" w:bottom="1440" w:gutter="0" w:footer="0" w:header="0"/>
          <w:type w:val="continuous"/>
        </w:sectPr>
      </w:pPr>
    </w:p>
    <w:p>
      <w:pPr>
        <w:ind w:left="50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No.)</w:t>
      </w:r>
    </w:p>
    <w:p>
      <w:pPr>
        <w:spacing w:after="0" w:line="90" w:lineRule="exact"/>
        <w:rPr>
          <w:sz w:val="24"/>
          <w:szCs w:val="24"/>
          <w:color w:val="auto"/>
        </w:rPr>
      </w:pPr>
    </w:p>
    <w:p>
      <w:pPr>
        <w:sectPr>
          <w:pgSz w:w="11900" w:h="16838" w:orient="portrait"/>
          <w:cols w:equalWidth="0" w:num="2">
            <w:col w:w="6340" w:space="720"/>
            <w:col w:w="4200"/>
          </w:cols>
          <w:pgMar w:left="320" w:top="796" w:right="319" w:bottom="1440" w:gutter="0" w:footer="0" w:header="0"/>
          <w:type w:val="continuous"/>
        </w:sectPr>
      </w:pPr>
    </w:p>
    <w:p>
      <w:pPr>
        <w:ind w:left="1180"/>
        <w:spacing w:after="0"/>
        <w:rPr>
          <w:sz w:val="20"/>
          <w:szCs w:val="20"/>
          <w:color w:val="auto"/>
        </w:rPr>
      </w:pPr>
      <w:r>
        <w:rPr>
          <w:rFonts w:ascii="Arial" w:cs="Arial" w:eastAsia="Arial" w:hAnsi="Arial"/>
          <w:sz w:val="16"/>
          <w:szCs w:val="16"/>
          <w:color w:val="auto"/>
        </w:rPr>
        <w:t>11400 Tomahawk Creek Parkway, Suite 300</w:t>
      </w:r>
    </w:p>
    <w:p>
      <w:pPr>
        <w:sectPr>
          <w:pgSz w:w="11900" w:h="16838" w:orient="portrait"/>
          <w:cols w:equalWidth="0" w:num="1">
            <w:col w:w="11260"/>
          </w:cols>
          <w:pgMar w:left="320" w:top="796" w:right="319" w:bottom="1440" w:gutter="0" w:footer="0" w:header="0"/>
          <w:type w:val="continuous"/>
        </w:sectPr>
      </w:pPr>
    </w:p>
    <w:p>
      <w:pPr>
        <w:spacing w:after="0" w:line="82" w:lineRule="exact"/>
        <w:rPr>
          <w:sz w:val="24"/>
          <w:szCs w:val="24"/>
          <w:color w:val="auto"/>
        </w:rPr>
      </w:pPr>
    </w:p>
    <w:p>
      <w:pPr>
        <w:ind w:left="2140"/>
        <w:spacing w:after="0"/>
        <w:rPr>
          <w:sz w:val="20"/>
          <w:szCs w:val="20"/>
          <w:color w:val="auto"/>
        </w:rPr>
      </w:pPr>
      <w:r>
        <w:rPr>
          <w:rFonts w:ascii="Arial" w:cs="Arial" w:eastAsia="Arial" w:hAnsi="Arial"/>
          <w:sz w:val="16"/>
          <w:szCs w:val="16"/>
          <w:color w:val="auto"/>
        </w:rPr>
        <w:t>Leawood</w:t>
      </w:r>
      <w:r>
        <w:rPr>
          <w:rFonts w:ascii="Arial" w:cs="Arial" w:eastAsia="Arial" w:hAnsi="Arial"/>
          <w:sz w:val="16"/>
          <w:szCs w:val="16"/>
          <w:b w:val="1"/>
          <w:bCs w:val="1"/>
          <w:color w:val="auto"/>
        </w:rPr>
        <w:t>, Kansas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5"/>
          <w:szCs w:val="15"/>
          <w:color w:val="auto"/>
        </w:rPr>
        <w:t>66211</w:t>
      </w:r>
    </w:p>
    <w:p>
      <w:pPr>
        <w:spacing w:after="0" w:line="93" w:lineRule="exact"/>
        <w:rPr>
          <w:sz w:val="24"/>
          <w:szCs w:val="24"/>
          <w:color w:val="auto"/>
        </w:rPr>
      </w:pPr>
    </w:p>
    <w:p>
      <w:pPr>
        <w:sectPr>
          <w:pgSz w:w="11900" w:h="16838" w:orient="portrait"/>
          <w:cols w:equalWidth="0" w:num="2">
            <w:col w:w="7500" w:space="720"/>
            <w:col w:w="3040"/>
          </w:cols>
          <w:pgMar w:left="320" w:top="796" w:right="319" w:bottom="1440" w:gutter="0" w:footer="0" w:header="0"/>
          <w:type w:val="continuous"/>
        </w:sectPr>
      </w:pPr>
    </w:p>
    <w:p>
      <w:pPr>
        <w:ind w:left="132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00" w:space="720"/>
            <w:col w:w="3240"/>
          </w:cols>
          <w:pgMar w:left="320" w:top="796" w:right="319" w:bottom="1440" w:gutter="0" w:footer="0" w:header="0"/>
          <w:type w:val="continuous"/>
        </w:sectPr>
      </w:pPr>
    </w:p>
    <w:p>
      <w:pPr>
        <w:spacing w:after="0" w:line="7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28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1940" w:type="dxa"/>
            <w:vAlign w:val="bottom"/>
          </w:tcPr>
          <w:p>
            <w:pPr>
              <w:spacing w:after="0"/>
              <w:rPr>
                <w:sz w:val="17"/>
                <w:szCs w:val="17"/>
                <w:color w:val="auto"/>
              </w:rPr>
            </w:pPr>
          </w:p>
        </w:tc>
        <w:tc>
          <w:tcPr>
            <w:tcW w:w="3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Title of Each Class</w:t>
            </w:r>
          </w:p>
        </w:tc>
        <w:tc>
          <w:tcPr>
            <w:tcW w:w="140" w:type="dxa"/>
            <w:vAlign w:val="bottom"/>
          </w:tcPr>
          <w:p>
            <w:pPr>
              <w:spacing w:after="0"/>
              <w:rPr>
                <w:sz w:val="17"/>
                <w:szCs w:val="17"/>
                <w:color w:val="auto"/>
              </w:rPr>
            </w:pPr>
          </w:p>
        </w:tc>
        <w:tc>
          <w:tcPr>
            <w:tcW w:w="980" w:type="dxa"/>
            <w:vAlign w:val="bottom"/>
            <w:gridSpan w:val="4"/>
          </w:tcPr>
          <w:p>
            <w:pPr>
              <w:jc w:val="center"/>
              <w:ind w:right="200"/>
              <w:spacing w:after="0" w:line="196" w:lineRule="exact"/>
              <w:rPr>
                <w:sz w:val="20"/>
                <w:szCs w:val="20"/>
                <w:color w:val="auto"/>
              </w:rPr>
            </w:pPr>
            <w:r>
              <w:rPr>
                <w:rFonts w:ascii="Arial" w:cs="Arial" w:eastAsia="Arial" w:hAnsi="Arial"/>
                <w:sz w:val="18"/>
                <w:szCs w:val="18"/>
                <w:b w:val="1"/>
                <w:bCs w:val="1"/>
                <w:color w:val="auto"/>
                <w:w w:val="89"/>
              </w:rPr>
              <w:t>Symbol(s)</w:t>
            </w:r>
          </w:p>
        </w:tc>
        <w:tc>
          <w:tcPr>
            <w:tcW w:w="740" w:type="dxa"/>
            <w:vAlign w:val="bottom"/>
          </w:tcPr>
          <w:p>
            <w:pPr>
              <w:spacing w:after="0"/>
              <w:rPr>
                <w:sz w:val="17"/>
                <w:szCs w:val="17"/>
                <w:color w:val="auto"/>
              </w:rPr>
            </w:pPr>
          </w:p>
        </w:tc>
        <w:tc>
          <w:tcPr>
            <w:tcW w:w="4300" w:type="dxa"/>
            <w:vAlign w:val="bottom"/>
            <w:gridSpan w:val="2"/>
          </w:tcPr>
          <w:p>
            <w:pPr>
              <w:jc w:val="center"/>
              <w:ind w:right="780"/>
              <w:spacing w:after="0" w:line="196" w:lineRule="exact"/>
              <w:rPr>
                <w:sz w:val="20"/>
                <w:szCs w:val="20"/>
                <w:color w:val="auto"/>
              </w:rPr>
            </w:pPr>
            <w:r>
              <w:rPr>
                <w:rFonts w:ascii="Arial" w:cs="Arial" w:eastAsia="Arial" w:hAnsi="Arial"/>
                <w:sz w:val="18"/>
                <w:szCs w:val="18"/>
                <w:b w:val="1"/>
                <w:bCs w:val="1"/>
                <w:color w:val="auto"/>
                <w:w w:val="89"/>
              </w:rPr>
              <w:t>Name of Each Exchange on Which Registered</w:t>
            </w:r>
          </w:p>
        </w:tc>
      </w:tr>
      <w:tr>
        <w:trPr>
          <w:trHeight w:val="48"/>
        </w:trPr>
        <w:tc>
          <w:tcPr>
            <w:tcW w:w="1940" w:type="dxa"/>
            <w:vAlign w:val="bottom"/>
            <w:tcBorders>
              <w:bottom w:val="single" w:sz="8" w:color="auto"/>
            </w:tcBorders>
          </w:tcPr>
          <w:p>
            <w:pPr>
              <w:spacing w:after="0"/>
              <w:rPr>
                <w:sz w:val="4"/>
                <w:szCs w:val="4"/>
                <w:color w:val="auto"/>
              </w:rPr>
            </w:pPr>
          </w:p>
        </w:tc>
        <w:tc>
          <w:tcPr>
            <w:tcW w:w="1440" w:type="dxa"/>
            <w:vAlign w:val="bottom"/>
            <w:tcBorders>
              <w:top w:val="single" w:sz="8" w:color="auto"/>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520" w:type="dxa"/>
            <w:vAlign w:val="bottom"/>
            <w:tcBorders>
              <w:top w:val="single" w:sz="8" w:color="auto"/>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7"/>
        </w:trPr>
        <w:tc>
          <w:tcPr>
            <w:tcW w:w="5100" w:type="dxa"/>
            <w:vAlign w:val="bottom"/>
            <w:tcBorders>
              <w:left w:val="single" w:sz="8" w:color="auto"/>
              <w:right w:val="single" w:sz="8" w:color="auto"/>
            </w:tcBorders>
            <w:gridSpan w:val="3"/>
          </w:tcPr>
          <w:p>
            <w:pPr>
              <w:ind w:left="19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rPr>
              <w:t>EEFT</w:t>
            </w:r>
          </w:p>
        </w:tc>
        <w:tc>
          <w:tcPr>
            <w:tcW w:w="740" w:type="dxa"/>
            <w:vAlign w:val="bottom"/>
          </w:tcPr>
          <w:p>
            <w:pPr>
              <w:spacing w:after="0"/>
              <w:rPr>
                <w:sz w:val="20"/>
                <w:szCs w:val="20"/>
                <w:color w:val="auto"/>
              </w:rPr>
            </w:pPr>
          </w:p>
        </w:tc>
        <w:tc>
          <w:tcPr>
            <w:tcW w:w="430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0"/>
              </w:rPr>
              <w:t>Nasdaq Global Select Market</w:t>
            </w:r>
          </w:p>
        </w:tc>
      </w:tr>
      <w:tr>
        <w:trPr>
          <w:trHeight w:val="27"/>
        </w:trPr>
        <w:tc>
          <w:tcPr>
            <w:tcW w:w="19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5100" w:type="dxa"/>
            <w:vAlign w:val="bottom"/>
            <w:tcBorders>
              <w:left w:val="single" w:sz="8" w:color="auto"/>
              <w:right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1.375% Senior Notes due 2026</w:t>
            </w:r>
          </w:p>
        </w:tc>
        <w:tc>
          <w:tcPr>
            <w:tcW w:w="140" w:type="dxa"/>
            <w:vAlign w:val="bottom"/>
          </w:tcPr>
          <w:p>
            <w:pPr>
              <w:spacing w:after="0"/>
              <w:rPr>
                <w:sz w:val="20"/>
                <w:szCs w:val="20"/>
                <w:color w:val="auto"/>
              </w:rPr>
            </w:pPr>
          </w:p>
        </w:tc>
        <w:tc>
          <w:tcPr>
            <w:tcW w:w="98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EEFT26</w:t>
            </w:r>
          </w:p>
        </w:tc>
        <w:tc>
          <w:tcPr>
            <w:tcW w:w="740" w:type="dxa"/>
            <w:vAlign w:val="bottom"/>
          </w:tcPr>
          <w:p>
            <w:pPr>
              <w:spacing w:after="0"/>
              <w:rPr>
                <w:sz w:val="20"/>
                <w:szCs w:val="20"/>
                <w:color w:val="auto"/>
              </w:rPr>
            </w:pPr>
          </w:p>
        </w:tc>
        <w:tc>
          <w:tcPr>
            <w:tcW w:w="430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1"/>
              </w:rPr>
              <w:t>Nasdaq Global Market</w:t>
            </w:r>
          </w:p>
        </w:tc>
      </w:tr>
      <w:tr>
        <w:trPr>
          <w:trHeight w:val="27"/>
        </w:trPr>
        <w:tc>
          <w:tcPr>
            <w:tcW w:w="19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bl>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ind w:left="4500"/>
        <w:spacing w:after="0" w:line="229" w:lineRule="auto"/>
        <w:rPr>
          <w:sz w:val="20"/>
          <w:szCs w:val="20"/>
          <w:color w:val="auto"/>
        </w:rPr>
      </w:pPr>
      <w:r>
        <w:rPr>
          <w:rFonts w:ascii="Arial" w:cs="Arial" w:eastAsia="Arial" w:hAnsi="Arial"/>
          <w:sz w:val="18"/>
          <w:szCs w:val="18"/>
          <w:color w:val="auto"/>
        </w:rPr>
        <w:t>_________________________</w:t>
      </w:r>
    </w:p>
    <w:p>
      <w:pPr>
        <w:ind w:right="1660"/>
        <w:spacing w:after="0" w:line="31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right="20"/>
        <w:spacing w:after="0" w:line="20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type w:val="continuous"/>
        </w:sectPr>
      </w:pPr>
    </w:p>
    <w:bookmarkStart w:id="1" w:name="page2"/>
    <w:bookmarkEnd w:id="1"/>
    <w:p>
      <w:pPr>
        <w:jc w:val="both"/>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7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380" w:type="dxa"/>
            <w:vAlign w:val="bottom"/>
          </w:tcPr>
          <w:p>
            <w:pPr>
              <w:ind w:left="172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0"/>
          <w:szCs w:val="20"/>
          <w:color w:val="auto"/>
        </w:rPr>
      </w:pPr>
    </w:p>
    <w:p>
      <w:pPr>
        <w:ind w:left="40"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97"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of June 30, 2021, the aggregate market value of the voting and non-voting common equity held by non-affiliates of the registrant was approximately $6.8 billion. The aggregate market value was determined based on the closing price of the Common Stock on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22, 2022, the registrant had 51,158,186 shares of Common Stock outstanding.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Portions of the registrant's Proxy Statement for its 2022 Annual Meeting of Stockholders, which will be filed with the Securities and Exchange Commission no later than 120 days after December 31, 2021,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460" w:type="dxa"/>
            <w:vAlign w:val="bottom"/>
            <w:gridSpan w:val="28"/>
          </w:tcPr>
          <w:p>
            <w:pPr>
              <w:spacing w:after="0"/>
              <w:rPr>
                <w:sz w:val="20"/>
                <w:szCs w:val="20"/>
                <w:color w:val="auto"/>
              </w:rPr>
            </w:pPr>
            <w:r>
              <w:rPr>
                <w:rFonts w:ascii="Arial" w:cs="Arial" w:eastAsia="Arial" w:hAnsi="Arial"/>
                <w:sz w:val="18"/>
                <w:szCs w:val="18"/>
                <w:b w:val="1"/>
                <w:bCs w:val="1"/>
                <w:color w:val="auto"/>
              </w:rPr>
              <w:t>Table of Content</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40" w:type="dxa"/>
            <w:vAlign w:val="bottom"/>
            <w:gridSpan w:val="9"/>
          </w:tcPr>
          <w:p>
            <w:pPr>
              <w:ind w:left="460"/>
              <w:spacing w:after="0"/>
              <w:rPr>
                <w:sz w:val="20"/>
                <w:szCs w:val="20"/>
                <w:color w:val="auto"/>
              </w:rPr>
            </w:pPr>
            <w:r>
              <w:rPr>
                <w:rFonts w:ascii="Arial" w:cs="Arial" w:eastAsia="Arial" w:hAnsi="Arial"/>
                <w:sz w:val="18"/>
                <w:szCs w:val="18"/>
                <w:b w:val="1"/>
                <w:bCs w:val="1"/>
                <w:color w:val="auto"/>
              </w:rPr>
              <w:t>Table of Content</w:t>
            </w:r>
          </w:p>
        </w:tc>
        <w:tc>
          <w:tcPr>
            <w:tcW w:w="1780" w:type="dxa"/>
            <w:vAlign w:val="bottom"/>
          </w:tcPr>
          <w:p>
            <w:pPr>
              <w:ind w:left="54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gridSpan w:val="6"/>
          </w:tcPr>
          <w:p>
            <w:pPr>
              <w:spacing w:after="0" w:line="202" w:lineRule="exact"/>
              <w:rPr>
                <w:sz w:val="20"/>
                <w:szCs w:val="20"/>
                <w:color w:val="auto"/>
              </w:rPr>
            </w:pPr>
            <w:r>
              <w:rPr>
                <w:rFonts w:ascii="Arial" w:cs="Arial" w:eastAsia="Arial" w:hAnsi="Arial"/>
                <w:sz w:val="18"/>
                <w:szCs w:val="18"/>
                <w:color w:val="auto"/>
              </w:rPr>
              <w:t>Item</w:t>
            </w:r>
          </w:p>
        </w:tc>
        <w:tc>
          <w:tcPr>
            <w:tcW w:w="8460" w:type="dxa"/>
            <w:vAlign w:val="bottom"/>
            <w:gridSpan w:val="21"/>
            <w:vMerge w:val="restart"/>
          </w:tcPr>
          <w:p>
            <w:pPr>
              <w:spacing w:after="0"/>
              <w:rPr>
                <w:sz w:val="20"/>
                <w:szCs w:val="20"/>
                <w:color w:val="auto"/>
              </w:rPr>
            </w:pPr>
            <w:r>
              <w:rPr>
                <w:rFonts w:ascii="Arial" w:cs="Arial" w:eastAsia="Arial" w:hAnsi="Arial"/>
                <w:sz w:val="18"/>
                <w:szCs w:val="18"/>
                <w:color w:val="auto"/>
              </w:rPr>
              <w:t>Item Description</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60" w:type="dxa"/>
            <w:vAlign w:val="bottom"/>
            <w:gridSpan w:val="21"/>
            <w:vMerge w:val="continu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0" w:type="dxa"/>
            <w:vAlign w:val="bottom"/>
          </w:tcPr>
          <w:p>
            <w:pPr>
              <w:spacing w:after="0"/>
              <w:rPr>
                <w:sz w:val="7"/>
                <w:szCs w:val="7"/>
                <w:color w:val="auto"/>
              </w:rPr>
            </w:pPr>
          </w:p>
        </w:tc>
        <w:tc>
          <w:tcPr>
            <w:tcW w:w="960" w:type="dxa"/>
            <w:vAlign w:val="bottom"/>
            <w:gridSpan w:val="6"/>
            <w:vMerge w:val="restart"/>
          </w:tcPr>
          <w:p>
            <w:pPr>
              <w:spacing w:after="0" w:line="196" w:lineRule="exact"/>
              <w:rPr>
                <w:sz w:val="20"/>
                <w:szCs w:val="20"/>
                <w:color w:val="auto"/>
              </w:rPr>
            </w:pPr>
            <w:r>
              <w:rPr>
                <w:rFonts w:ascii="Arial" w:cs="Arial" w:eastAsia="Arial" w:hAnsi="Arial"/>
                <w:sz w:val="18"/>
                <w:szCs w:val="18"/>
                <w:color w:val="auto"/>
              </w:rPr>
              <w:t>Number</w:t>
            </w:r>
          </w:p>
        </w:tc>
        <w:tc>
          <w:tcPr>
            <w:tcW w:w="8460" w:type="dxa"/>
            <w:vAlign w:val="bottom"/>
            <w:gridSpan w:val="21"/>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960" w:type="dxa"/>
            <w:vAlign w:val="bottom"/>
            <w:gridSpan w:val="6"/>
            <w:vMerge w:val="continue"/>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400" w:type="dxa"/>
            <w:vAlign w:val="bottom"/>
            <w:tcBorders>
              <w:top w:val="single" w:sz="8" w:color="auto"/>
              <w:bottom w:val="single" w:sz="8" w:color="0000EE"/>
            </w:tcBorders>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Part I</w:t>
              </w:r>
            </w:hyperlink>
          </w:p>
        </w:tc>
        <w:tc>
          <w:tcPr>
            <w:tcW w:w="180" w:type="dxa"/>
            <w:vAlign w:val="bottom"/>
            <w:tcBorders>
              <w:top w:val="single" w:sz="8" w:color="auto"/>
            </w:tcBorders>
            <w:gridSpan w:val="3"/>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ind w:left="4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7820" w:type="dxa"/>
            <w:vAlign w:val="bottom"/>
            <w:gridSpan w:val="20"/>
          </w:tcPr>
          <w:p>
            <w:pPr>
              <w:spacing w:after="0"/>
              <w:rPr>
                <w:sz w:val="20"/>
                <w:szCs w:val="20"/>
                <w:color w:val="auto"/>
              </w:rPr>
            </w:pPr>
          </w:p>
        </w:tc>
        <w:tc>
          <w:tcPr>
            <w:tcW w:w="1780" w:type="dxa"/>
            <w:vAlign w:val="bottom"/>
          </w:tcPr>
          <w:p>
            <w:pPr>
              <w:ind w:left="4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Risk Factors</w:t>
              </w:r>
            </w:hyperlink>
          </w:p>
        </w:tc>
        <w:tc>
          <w:tcPr>
            <w:tcW w:w="7560" w:type="dxa"/>
            <w:vAlign w:val="bottom"/>
            <w:gridSpan w:val="17"/>
          </w:tcPr>
          <w:p>
            <w:pPr>
              <w:spacing w:after="0"/>
              <w:rPr>
                <w:sz w:val="20"/>
                <w:szCs w:val="20"/>
                <w:color w:val="auto"/>
              </w:rPr>
            </w:pPr>
          </w:p>
        </w:tc>
        <w:tc>
          <w:tcPr>
            <w:tcW w:w="1780" w:type="dxa"/>
            <w:vAlign w:val="bottom"/>
          </w:tcPr>
          <w:p>
            <w:pPr>
              <w:ind w:left="4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846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1780" w:type="dxa"/>
            <w:vAlign w:val="bottom"/>
          </w:tcPr>
          <w:p>
            <w:pPr>
              <w:ind w:left="4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6420" w:type="dxa"/>
            <w:vAlign w:val="bottom"/>
            <w:gridSpan w:val="12"/>
          </w:tcPr>
          <w:p>
            <w:pPr>
              <w:spacing w:after="0"/>
              <w:rPr>
                <w:sz w:val="20"/>
                <w:szCs w:val="20"/>
                <w:color w:val="auto"/>
              </w:rPr>
            </w:pPr>
          </w:p>
        </w:tc>
        <w:tc>
          <w:tcPr>
            <w:tcW w:w="1780" w:type="dxa"/>
            <w:vAlign w:val="bottom"/>
          </w:tcPr>
          <w:p>
            <w:pPr>
              <w:ind w:left="4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3.</w:t>
            </w:r>
          </w:p>
        </w:tc>
        <w:tc>
          <w:tcPr>
            <w:tcW w:w="846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1780" w:type="dxa"/>
            <w:vAlign w:val="bottom"/>
          </w:tcPr>
          <w:p>
            <w:pPr>
              <w:ind w:left="4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4.</w:t>
            </w:r>
          </w:p>
        </w:tc>
        <w:tc>
          <w:tcPr>
            <w:tcW w:w="846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1780" w:type="dxa"/>
            <w:vAlign w:val="bottom"/>
          </w:tcPr>
          <w:p>
            <w:pPr>
              <w:ind w:left="4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93"/>
        </w:trPr>
        <w:tc>
          <w:tcPr>
            <w:tcW w:w="40" w:type="dxa"/>
            <w:vAlign w:val="bottom"/>
          </w:tcPr>
          <w:p>
            <w:pPr>
              <w:spacing w:after="0"/>
              <w:rPr>
                <w:sz w:val="24"/>
                <w:szCs w:val="24"/>
                <w:color w:val="auto"/>
              </w:rPr>
            </w:pPr>
          </w:p>
        </w:tc>
        <w:tc>
          <w:tcPr>
            <w:tcW w:w="4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Part II</w:t>
              </w:r>
            </w:hyperlink>
          </w:p>
        </w:tc>
        <w:tc>
          <w:tcPr>
            <w:tcW w:w="50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ind w:left="4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93"/>
        </w:trPr>
        <w:tc>
          <w:tcPr>
            <w:tcW w:w="40" w:type="dxa"/>
            <w:vAlign w:val="bottom"/>
          </w:tcPr>
          <w:p>
            <w:pPr>
              <w:spacing w:after="0"/>
              <w:rPr>
                <w:sz w:val="24"/>
                <w:szCs w:val="24"/>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5.</w:t>
            </w:r>
          </w:p>
        </w:tc>
        <w:tc>
          <w:tcPr>
            <w:tcW w:w="80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Market for Registrant's Common Equity, Related Stockholder Matters and Issuer Purchases of Equity Securities</w:t>
              </w:r>
            </w:hyperlink>
          </w:p>
        </w:tc>
        <w:tc>
          <w:tcPr>
            <w:tcW w:w="400" w:type="dxa"/>
            <w:vAlign w:val="bottom"/>
          </w:tcPr>
          <w:p>
            <w:pPr>
              <w:spacing w:after="0"/>
              <w:rPr>
                <w:sz w:val="24"/>
                <w:szCs w:val="24"/>
                <w:color w:val="auto"/>
              </w:rPr>
            </w:pPr>
          </w:p>
        </w:tc>
        <w:tc>
          <w:tcPr>
            <w:tcW w:w="1780" w:type="dxa"/>
            <w:vAlign w:val="bottom"/>
          </w:tcPr>
          <w:p>
            <w:pPr>
              <w:ind w:left="4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6.</w:t>
            </w:r>
          </w:p>
        </w:tc>
        <w:tc>
          <w:tcPr>
            <w:tcW w:w="846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Reserved</w:t>
              </w:r>
            </w:hyperlink>
          </w:p>
        </w:tc>
        <w:tc>
          <w:tcPr>
            <w:tcW w:w="1780" w:type="dxa"/>
            <w:vAlign w:val="bottom"/>
          </w:tcPr>
          <w:p>
            <w:pPr>
              <w:ind w:left="4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2020" w:type="dxa"/>
            <w:vAlign w:val="bottom"/>
            <w:gridSpan w:val="4"/>
          </w:tcPr>
          <w:p>
            <w:pPr>
              <w:spacing w:after="0"/>
              <w:rPr>
                <w:sz w:val="20"/>
                <w:szCs w:val="20"/>
                <w:color w:val="auto"/>
              </w:rPr>
            </w:pPr>
          </w:p>
        </w:tc>
        <w:tc>
          <w:tcPr>
            <w:tcW w:w="1780" w:type="dxa"/>
            <w:vAlign w:val="bottom"/>
          </w:tcPr>
          <w:p>
            <w:pPr>
              <w:ind w:left="4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8460" w:type="dxa"/>
            <w:vAlign w:val="bottom"/>
            <w:gridSpan w:val="2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Quantitative and Qualitative Disclosures about Market Risk</w:t>
              </w:r>
            </w:hyperlink>
          </w:p>
        </w:tc>
        <w:tc>
          <w:tcPr>
            <w:tcW w:w="1780" w:type="dxa"/>
            <w:vAlign w:val="bottom"/>
          </w:tcPr>
          <w:p>
            <w:pPr>
              <w:ind w:left="4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Financial Statements and Supplementary Data</w:t>
              </w:r>
            </w:hyperlink>
          </w:p>
        </w:tc>
        <w:tc>
          <w:tcPr>
            <w:tcW w:w="4160" w:type="dxa"/>
            <w:vAlign w:val="bottom"/>
            <w:gridSpan w:val="7"/>
          </w:tcPr>
          <w:p>
            <w:pPr>
              <w:spacing w:after="0"/>
              <w:rPr>
                <w:sz w:val="20"/>
                <w:szCs w:val="20"/>
                <w:color w:val="auto"/>
              </w:rPr>
            </w:pPr>
          </w:p>
        </w:tc>
        <w:tc>
          <w:tcPr>
            <w:tcW w:w="1780" w:type="dxa"/>
            <w:vAlign w:val="bottom"/>
          </w:tcPr>
          <w:p>
            <w:pPr>
              <w:ind w:left="4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Changes in and Disagreements with Accountants on Accounting and Financial Disclosure</w:t>
              </w:r>
            </w:hyperlink>
          </w:p>
        </w:tc>
        <w:tc>
          <w:tcPr>
            <w:tcW w:w="1980" w:type="dxa"/>
            <w:vAlign w:val="bottom"/>
            <w:gridSpan w:val="3"/>
          </w:tcPr>
          <w:p>
            <w:pPr>
              <w:spacing w:after="0"/>
              <w:rPr>
                <w:sz w:val="20"/>
                <w:szCs w:val="20"/>
                <w:color w:val="auto"/>
              </w:rPr>
            </w:pPr>
          </w:p>
        </w:tc>
        <w:tc>
          <w:tcPr>
            <w:tcW w:w="1780" w:type="dxa"/>
            <w:vAlign w:val="bottom"/>
          </w:tcPr>
          <w:p>
            <w:pPr>
              <w:ind w:left="4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8460" w:type="dxa"/>
            <w:vAlign w:val="bottom"/>
            <w:gridSpan w:val="21"/>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Controls and Procedures</w:t>
              </w:r>
            </w:hyperlink>
          </w:p>
        </w:tc>
        <w:tc>
          <w:tcPr>
            <w:tcW w:w="1780" w:type="dxa"/>
            <w:vAlign w:val="bottom"/>
          </w:tcPr>
          <w:p>
            <w:pPr>
              <w:ind w:left="4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Other Information</w:t>
              </w:r>
            </w:hyperlink>
          </w:p>
        </w:tc>
        <w:tc>
          <w:tcPr>
            <w:tcW w:w="6700" w:type="dxa"/>
            <w:vAlign w:val="bottom"/>
            <w:gridSpan w:val="14"/>
          </w:tcPr>
          <w:p>
            <w:pPr>
              <w:spacing w:after="0"/>
              <w:rPr>
                <w:sz w:val="20"/>
                <w:szCs w:val="20"/>
                <w:color w:val="auto"/>
              </w:rPr>
            </w:pPr>
          </w:p>
        </w:tc>
        <w:tc>
          <w:tcPr>
            <w:tcW w:w="1780" w:type="dxa"/>
            <w:vAlign w:val="bottom"/>
          </w:tcPr>
          <w:p>
            <w:pPr>
              <w:ind w:left="4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9C.</w:t>
            </w:r>
          </w:p>
        </w:tc>
        <w:tc>
          <w:tcPr>
            <w:tcW w:w="8460" w:type="dxa"/>
            <w:vAlign w:val="bottom"/>
            <w:gridSpan w:val="21"/>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Disclosure Regarding Foreign Jurisdictions that Prevent Inspections</w:t>
              </w:r>
            </w:hyperlink>
          </w:p>
        </w:tc>
        <w:tc>
          <w:tcPr>
            <w:tcW w:w="1780" w:type="dxa"/>
            <w:vAlign w:val="bottom"/>
          </w:tcPr>
          <w:p>
            <w:pPr>
              <w:ind w:left="4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52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04">
              <w:r>
                <w:rPr>
                  <w:rFonts w:ascii="Arial" w:cs="Arial" w:eastAsia="Arial" w:hAnsi="Arial"/>
                  <w:sz w:val="18"/>
                  <w:szCs w:val="18"/>
                  <w:color w:val="0000EE"/>
                  <w:w w:val="94"/>
                </w:rPr>
                <w:t>Part III</w:t>
              </w:r>
            </w:hyperlink>
          </w:p>
        </w:tc>
        <w:tc>
          <w:tcPr>
            <w:tcW w:w="44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ind w:left="4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8460" w:type="dxa"/>
            <w:vAlign w:val="bottom"/>
            <w:gridSpan w:val="21"/>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Directors, Executive Officers and Corporate Governance</w:t>
              </w:r>
            </w:hyperlink>
          </w:p>
        </w:tc>
        <w:tc>
          <w:tcPr>
            <w:tcW w:w="1780" w:type="dxa"/>
            <w:vAlign w:val="bottom"/>
          </w:tcPr>
          <w:p>
            <w:pPr>
              <w:ind w:left="4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04">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0"/>
                <w:szCs w:val="20"/>
                <w:color w:val="auto"/>
              </w:rPr>
            </w:pPr>
          </w:p>
        </w:tc>
        <w:tc>
          <w:tcPr>
            <w:tcW w:w="4380" w:type="dxa"/>
            <w:vAlign w:val="bottom"/>
            <w:gridSpan w:val="8"/>
          </w:tcPr>
          <w:p>
            <w:pPr>
              <w:spacing w:after="0"/>
              <w:rPr>
                <w:sz w:val="20"/>
                <w:szCs w:val="20"/>
                <w:color w:val="auto"/>
              </w:rPr>
            </w:pPr>
          </w:p>
        </w:tc>
        <w:tc>
          <w:tcPr>
            <w:tcW w:w="1780" w:type="dxa"/>
            <w:vAlign w:val="bottom"/>
          </w:tcPr>
          <w:p>
            <w:pPr>
              <w:ind w:left="4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8460" w:type="dxa"/>
            <w:vAlign w:val="bottom"/>
            <w:gridSpan w:val="21"/>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Security Ownership of Certain Beneficial Owners and Management and Related Stockholder Matters</w:t>
              </w:r>
            </w:hyperlink>
          </w:p>
        </w:tc>
        <w:tc>
          <w:tcPr>
            <w:tcW w:w="1780" w:type="dxa"/>
            <w:vAlign w:val="bottom"/>
          </w:tcPr>
          <w:p>
            <w:pPr>
              <w:ind w:left="4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Certain Relationships and Related Transactions, and Director Independence</w:t>
              </w:r>
            </w:hyperlink>
          </w:p>
        </w:tc>
        <w:tc>
          <w:tcPr>
            <w:tcW w:w="1180" w:type="dxa"/>
            <w:vAlign w:val="bottom"/>
            <w:gridSpan w:val="2"/>
          </w:tcPr>
          <w:p>
            <w:pPr>
              <w:spacing w:after="0"/>
              <w:rPr>
                <w:sz w:val="20"/>
                <w:szCs w:val="20"/>
                <w:color w:val="auto"/>
              </w:rPr>
            </w:pPr>
          </w:p>
        </w:tc>
        <w:tc>
          <w:tcPr>
            <w:tcW w:w="1780" w:type="dxa"/>
            <w:vAlign w:val="bottom"/>
          </w:tcPr>
          <w:p>
            <w:pPr>
              <w:ind w:left="4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Principal Accounting Fees and Services</w:t>
              </w:r>
            </w:hyperlink>
          </w:p>
        </w:tc>
        <w:tc>
          <w:tcPr>
            <w:tcW w:w="3020" w:type="dxa"/>
            <w:vAlign w:val="bottom"/>
            <w:gridSpan w:val="5"/>
          </w:tcPr>
          <w:p>
            <w:pPr>
              <w:spacing w:after="0"/>
              <w:rPr>
                <w:sz w:val="20"/>
                <w:szCs w:val="20"/>
                <w:color w:val="auto"/>
              </w:rPr>
            </w:pPr>
          </w:p>
        </w:tc>
        <w:tc>
          <w:tcPr>
            <w:tcW w:w="1780" w:type="dxa"/>
            <w:vAlign w:val="bottom"/>
          </w:tcPr>
          <w:p>
            <w:pPr>
              <w:ind w:left="4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493"/>
        </w:trPr>
        <w:tc>
          <w:tcPr>
            <w:tcW w:w="40" w:type="dxa"/>
            <w:vAlign w:val="bottom"/>
          </w:tcPr>
          <w:p>
            <w:pPr>
              <w:spacing w:after="0"/>
              <w:rPr>
                <w:sz w:val="24"/>
                <w:szCs w:val="24"/>
                <w:color w:val="auto"/>
              </w:rPr>
            </w:pPr>
          </w:p>
        </w:tc>
        <w:tc>
          <w:tcPr>
            <w:tcW w:w="960" w:type="dxa"/>
            <w:vAlign w:val="bottom"/>
            <w:gridSpan w:val="6"/>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Part IV</w:t>
              </w:r>
            </w:hyperlink>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ind w:left="4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5300" w:type="dxa"/>
            <w:vAlign w:val="bottom"/>
            <w:gridSpan w:val="1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Exhibits and Financial Statement Schedules</w:t>
              </w:r>
            </w:hyperlink>
          </w:p>
        </w:tc>
        <w:tc>
          <w:tcPr>
            <w:tcW w:w="5300" w:type="dxa"/>
            <w:vAlign w:val="bottom"/>
            <w:gridSpan w:val="10"/>
          </w:tcPr>
          <w:p>
            <w:pPr>
              <w:spacing w:after="0"/>
              <w:rPr>
                <w:sz w:val="20"/>
                <w:szCs w:val="20"/>
                <w:color w:val="auto"/>
              </w:rPr>
            </w:pPr>
          </w:p>
        </w:tc>
        <w:tc>
          <w:tcPr>
            <w:tcW w:w="1780" w:type="dxa"/>
            <w:vAlign w:val="bottom"/>
          </w:tcPr>
          <w:p>
            <w:pPr>
              <w:ind w:left="4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493"/>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60" w:type="dxa"/>
            <w:vAlign w:val="bottom"/>
            <w:gridSpan w:val="21"/>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Signatures</w:t>
              </w:r>
            </w:hyperlink>
          </w:p>
        </w:tc>
        <w:tc>
          <w:tcPr>
            <w:tcW w:w="1780" w:type="dxa"/>
            <w:vAlign w:val="bottom"/>
          </w:tcPr>
          <w:p>
            <w:pPr>
              <w:ind w:left="4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810"/>
        </w:trPr>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References in this report to "we," "our," "us," the "Company" and "Euronet" refer to Euronet Worldwide, Inc. and its subsidiaries unless the context indicates otherwise.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Euronet is a leading electronic payments processing provider. We offer payment and transaction processing and distribution solutions to financial institutions, agents, retailers, merchants, content providers, and individual consumers. Our primary product offerings include comprehensive automated teller machine ("ATM"), point-of-sale ("POS"), card outsourcing, card issuing and merchant acquiring services; software solutions and cloud based payment solutions; electronic distribution of electronic payment products; foreign exchange services and international payment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Business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the following three segments as of December 31, 2021:</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Electronic Fund Transfer ("EFT") Processing Segment processes transactions for a network of 42,713 ATMs and approximately 438,000 POS terminals across Europe, Africa, the Middle East, Asia Pacific, and the United States. We provide comprehensive electronic payment solutions consisting of ATM cash withdrawal and deposit services, ATM network participation, outsourced ATM and POS management solutions, credit, debit and prepaid card outsourcing, and card issuing and merchant acquiring services. In addition to our core business, we offer a variety of value added services, including ATM and POS dynamic currency conversion ("DCC"), domestic and international ATM surcharge, advertising, delivery of non-cash products ("digital content") via ATMs, customer relationship management ("CRM"), mobile top-up, bill payment, fraud management, foreign remittance payout, cardless payout, banknote recycling solutions and tax-refund services. Through this segment, we also offer a suite of integrated electronic financial transaction software solutions for electronic payment and transaction delivery systems. In 2021, the EFT Processing Segment accounted for approximately 20% of Euronet's consolidated revenues.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epay Segment provides distribution and processing of prepaid mobile airtime and other electronic content and payment processing services for various prepaid products, cards and services throughout our worldwide distribution network. We operate a network that includes approximately 775,000 POS terminals that enable electronic processing of prepaid mobile airtime "top-up" services and other digital media content in Europe, the Middle East, Asia Pacific, the United States and South America. We also provide vouchers and physical gift fulfillment services in Europe, gift card distribution and processing services in most of our markets and digital code distribution in a growing number of markets. In 2021, the epay Segment accounted for approximately 34% of Euronet's consolidated revenues.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Money Transfer Segment provides global consumer-to-consumer money transfer services, primarily under the brand names Ria, AFEX, and IME, and global account-to-account money transfer services under the brand name xe. We offer services under the brand names Ria and IME through a network of sending agents, Company-owned stores (primarily in North America, Europe and Malaysia) and our websites (riamoneytransfer.com and online.imeremit.com), disbursing money transfers through a worldwide correspondent network that includes approximately 510,000 locations. xe is a provider of foreign currency exchange information on its currency data websites (www.xe.com and www.x-rates.com). We offer global account-to-account money transfer services through our websites (www.xe.com and https://transferxe.com) and xe customer service representatives. In addition to money transfers, we offer customers bill payment services (primarily in the U.S.), payment alternatives such as money orders, comprehensive check cashing services for a wide variety of issued checks, along with competitive foreign currency exchange services and mobile top-up. Through xe, we offer cash management solutions and foreign currency risk management services to small-and-medium sized businesses. We are one of the largest global money transfer companies measured by revenues and transaction volumes. In 2021, the Money Transfer Segment accounted for approximately 46% of Euronet's consolidated revenues.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Historical Perspective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1994 - </w:t>
      </w:r>
      <w:r>
        <w:rPr>
          <w:rFonts w:ascii="Arial" w:cs="Arial" w:eastAsia="Arial" w:hAnsi="Arial"/>
          <w:sz w:val="18"/>
          <w:szCs w:val="18"/>
          <w:color w:val="auto"/>
        </w:rPr>
        <w:t>Euronet was established as Euronet Bank Access Kft., a Hungarian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jc w:val="both"/>
        <w:ind w:left="540"/>
        <w:spacing w:after="0" w:line="250" w:lineRule="auto"/>
        <w:rPr>
          <w:sz w:val="20"/>
          <w:szCs w:val="20"/>
          <w:color w:val="auto"/>
        </w:rPr>
      </w:pPr>
      <w:r>
        <w:rPr>
          <w:rFonts w:ascii="Arial" w:cs="Arial" w:eastAsia="Arial" w:hAnsi="Arial"/>
          <w:sz w:val="18"/>
          <w:szCs w:val="18"/>
          <w:b w:val="1"/>
          <w:bCs w:val="1"/>
          <w:color w:val="auto"/>
        </w:rPr>
        <w:t xml:space="preserve">1997 - </w:t>
      </w:r>
      <w:r>
        <w:rPr>
          <w:rFonts w:ascii="Arial" w:cs="Arial" w:eastAsia="Arial" w:hAnsi="Arial"/>
          <w:sz w:val="18"/>
          <w:szCs w:val="18"/>
          <w:color w:val="auto"/>
        </w:rPr>
        <w:t>Euronet was reorganized in March 1997 in connection with its initial public offering, and at that time, our operating entities became wholly</w:t>
      </w:r>
      <w:r>
        <w:rPr>
          <w:rFonts w:ascii="Arial" w:cs="Arial" w:eastAsia="Arial" w:hAnsi="Arial"/>
          <w:sz w:val="18"/>
          <w:szCs w:val="18"/>
          <w:b w:val="1"/>
          <w:bCs w:val="1"/>
          <w:color w:val="auto"/>
        </w:rPr>
        <w:t xml:space="preserve"> </w:t>
      </w:r>
      <w:r>
        <w:rPr>
          <w:rFonts w:ascii="Arial" w:cs="Arial" w:eastAsia="Arial" w:hAnsi="Arial"/>
          <w:sz w:val="18"/>
          <w:szCs w:val="18"/>
          <w:color w:val="auto"/>
        </w:rPr>
        <w:t>owned subsidiaries of Euronet Services,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b w:val="1"/>
          <w:bCs w:val="1"/>
          <w:color w:val="auto"/>
        </w:rPr>
        <w:t xml:space="preserve">1998 - </w:t>
      </w:r>
      <w:r>
        <w:rPr>
          <w:rFonts w:ascii="Arial" w:cs="Arial" w:eastAsia="Arial" w:hAnsi="Arial"/>
          <w:sz w:val="18"/>
          <w:szCs w:val="18"/>
          <w:color w:val="auto"/>
        </w:rPr>
        <w:t>In December 1998, we acquired Arkansas Systems, Inc. (now known as "Euronet USA"), a U.S.-based company that produces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and transaction delivery systems software for retail banks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 xml:space="preserve">2001 - </w:t>
      </w:r>
      <w:r>
        <w:rPr>
          <w:rFonts w:ascii="Arial" w:cs="Arial" w:eastAsia="Arial" w:hAnsi="Arial"/>
          <w:sz w:val="18"/>
          <w:szCs w:val="18"/>
          <w:color w:val="auto"/>
        </w:rPr>
        <w:t>We changed our name from Euronet Services, Inc. to Euronet Worldwide, Inc. in August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7"/>
          <w:szCs w:val="17"/>
          <w:b w:val="1"/>
          <w:bCs w:val="1"/>
          <w:color w:val="auto"/>
        </w:rPr>
        <w:t xml:space="preserve">2003 </w:t>
      </w:r>
      <w:r>
        <w:rPr>
          <w:rFonts w:ascii="Arial" w:cs="Arial" w:eastAsia="Arial" w:hAnsi="Arial"/>
          <w:sz w:val="17"/>
          <w:szCs w:val="17"/>
          <w:color w:val="auto"/>
        </w:rPr>
        <w:t>- We added a complementary business line through the acquisition of epay Limited (“epay”), which had offices in the U.K. and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-84455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jc w:val="both"/>
        <w:ind w:left="540" w:right="20"/>
        <w:spacing w:after="0" w:line="250" w:lineRule="auto"/>
        <w:rPr>
          <w:sz w:val="20"/>
          <w:szCs w:val="20"/>
          <w:color w:val="auto"/>
        </w:rPr>
      </w:pPr>
      <w:r>
        <w:rPr>
          <w:rFonts w:ascii="Arial" w:cs="Arial" w:eastAsia="Arial" w:hAnsi="Arial"/>
          <w:sz w:val="18"/>
          <w:szCs w:val="18"/>
          <w:b w:val="1"/>
          <w:bCs w:val="1"/>
          <w:color w:val="auto"/>
        </w:rPr>
        <w:t xml:space="preserve">2007 - </w:t>
      </w:r>
      <w:r>
        <w:rPr>
          <w:rFonts w:ascii="Arial" w:cs="Arial" w:eastAsia="Arial" w:hAnsi="Arial"/>
          <w:sz w:val="18"/>
          <w:szCs w:val="18"/>
          <w:color w:val="auto"/>
        </w:rPr>
        <w:t>We established the Money Transfer Segment after completing the acquisition of Los Angeles-based Ria, one of the largest global money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companies measured by revenues and transaction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color w:val="auto"/>
        </w:rPr>
        <w:t>- We completed the acquisition of IME (M) Sdn Bhd ("IME") which provided Euronet with immediate entry into the Asian and Middle East</w:t>
      </w:r>
      <w:r>
        <w:rPr>
          <w:rFonts w:ascii="Arial" w:cs="Arial" w:eastAsia="Arial" w:hAnsi="Arial"/>
          <w:sz w:val="18"/>
          <w:szCs w:val="18"/>
          <w:b w:val="1"/>
          <w:bCs w:val="1"/>
          <w:color w:val="auto"/>
        </w:rPr>
        <w:t xml:space="preserve"> </w:t>
      </w:r>
      <w:r>
        <w:rPr>
          <w:rFonts w:ascii="Arial" w:cs="Arial" w:eastAsia="Arial" w:hAnsi="Arial"/>
          <w:sz w:val="18"/>
          <w:szCs w:val="18"/>
          <w:color w:val="auto"/>
        </w:rPr>
        <w:t>money transfer send markets. We also added a complementary business line through the acquisition of xe Corporation ("xe"), which provides currency-related data and international payment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3" w:lineRule="auto"/>
        <w:rPr>
          <w:sz w:val="20"/>
          <w:szCs w:val="20"/>
          <w:color w:val="auto"/>
        </w:rPr>
      </w:pPr>
      <w:r>
        <w:rPr>
          <w:rFonts w:ascii="Arial" w:cs="Arial" w:eastAsia="Arial" w:hAnsi="Arial"/>
          <w:sz w:val="18"/>
          <w:szCs w:val="18"/>
          <w:b w:val="1"/>
          <w:bCs w:val="1"/>
          <w:color w:val="auto"/>
        </w:rPr>
        <w:t xml:space="preserve">2019 – </w:t>
      </w:r>
      <w:r>
        <w:rPr>
          <w:rFonts w:ascii="Arial" w:cs="Arial" w:eastAsia="Arial" w:hAnsi="Arial"/>
          <w:sz w:val="18"/>
          <w:szCs w:val="18"/>
          <w:color w:val="auto"/>
        </w:rPr>
        <w:t>REN Ecosystem goes live and the migration of legacy software to the REN Ecosystem begins.</w:t>
      </w:r>
      <w:r>
        <w:rPr>
          <w:rFonts w:ascii="Arial" w:cs="Arial" w:eastAsia="Arial" w:hAnsi="Arial"/>
          <w:sz w:val="18"/>
          <w:szCs w:val="18"/>
          <w:b w:val="1"/>
          <w:bCs w:val="1"/>
          <w:color w:val="auto"/>
        </w:rPr>
        <w:t xml:space="preserve"> Current - </w:t>
      </w:r>
      <w:r>
        <w:rPr>
          <w:rFonts w:ascii="Arial" w:cs="Arial" w:eastAsia="Arial" w:hAnsi="Arial"/>
          <w:sz w:val="18"/>
          <w:szCs w:val="18"/>
          <w:color w:val="auto"/>
        </w:rPr>
        <w:t>Euronet conducts business globally, serving customers in approximately 175 countries. As of December 31, 2021, we have 13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centers, six in Europe, five in Asia Pacific and two in North America. We also maintain 66 business offices that are located in 43 countries. Our corporate offices are located in Leawood, Kansas,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-514985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-377825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 Overview</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For a discussion of operating results by segment, please see Item 7 - Management's Discussion and Analysis of Financial Condition and Results of Operations, and Note 17, Business Segment Information, to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EFT Processing Segment provides comprehensive electronic payment solutions consisting of ATM cash withdrawal and deposit services, ATM network participation, outsourced ATM and POS management solutions, credit, debit and prepaid card outsourcing, card issuing and merchant acquiring services. In addition to our core business, we offer a variety of value added services, including ATM and POS DCC, domestic and international surcharge, foreign currency dispensing, advertising, digital content sales at ATMs, CRM, prepaid mobile top-up, bill payment, money transfer, fraud management, foreign remittance payout, cardless payout, banknote recycling solutions and tax-refund services. We provide these services either through our Euronet-owned ATMs and POS terminals, through contracts under which we operate ATMs and POS terminals on behalf of our customers or, for certain services, as stand-alone products. Through this segment, we also offer a suite of integrated electronic financial transaction software solutions for electronic payment and transaction delivery systems.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primary sources of revenues generated by our ATM network are recurring monthly management fees, transaction-based fees, surcharges and margins earned on DCC transactions. We receive fixed monthly fees under many of our outsourced management contracts. The EFT Processing Segment also generates revenues from POS operations and merchant management, card network management for credit, debit, prepaid and loyalty cards, prepaid mobile airtime recharge and other electronic content on ATMs and ATM advertising. We primarily operate across Europe, Africa, the Middle East, Asia Pacific, and the United States. As of December 31, 2021, we operated 42,713 ATMs compared to 37,729 at December 31, 2020. The increase was largely due to the reactivation of ATMs that were temporarily closed in response to the COVID-19 pandemic related tourism disruptions.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both"/>
        <w:spacing w:after="0" w:line="319" w:lineRule="auto"/>
        <w:rPr>
          <w:sz w:val="20"/>
          <w:szCs w:val="20"/>
          <w:color w:val="auto"/>
        </w:rPr>
      </w:pPr>
      <w:r>
        <w:rPr>
          <w:rFonts w:ascii="Arial" w:cs="Arial" w:eastAsia="Arial" w:hAnsi="Arial"/>
          <w:sz w:val="16"/>
          <w:szCs w:val="16"/>
          <w:color w:val="auto"/>
        </w:rPr>
        <w:t>We monitor the number of transactions made by cardholders on our network. These include cash withdrawals, balance inquiries, deposits, prepaid mobile airtime recharge purchases, DCC transactions and certain denied (unauthorized) transactions. We do not bill certain transactions on our network to financial institutions, and we have excluded these transactions for reporting purposes. The number of transactions processed over our networks has increased over the last five years at a compound annual growth rate ("CAGR") of approximately 16.7% as indicated in the following table: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EFT Processing Segment transactions per year</w:t>
            </w:r>
          </w:p>
        </w:tc>
        <w:tc>
          <w:tcPr>
            <w:tcW w:w="2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2,352</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2,721</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3,052</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3,275</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4,366</w:t>
            </w:r>
          </w:p>
        </w:tc>
      </w:tr>
      <w:tr>
        <w:trPr>
          <w:trHeight w:val="27"/>
        </w:trPr>
        <w:tc>
          <w:tcPr>
            <w:tcW w:w="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increase in transactions for 2020 and 2021 is the result of a significant increase in the volume of lower value, digitally-initiated payment processing transactions for an Asia Pacific customer's bank wallet and e-commerce site.</w:t>
      </w:r>
    </w:p>
    <w:p>
      <w:pPr>
        <w:spacing w:after="0" w:line="31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processing centers for the EFT Processing Segment are located in Germany, Hungary, India, China, and Pakistan. Our processing centers run two types of proprietary transaction switching software: our legacy ITM software, which we have used and sold to financial institutions since 1998 through our Software Solutions unit, and an innovative switching software package named "REN", which is hosted in Germany and India, that was released in 2017. The processing centers operate 24 hours a day, seven days a week. We have been progressively transitioning all of our networks to REN.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Products and Services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Outsourced Management Solutions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Euronet offers outsourced management solutions to financial institutions, merchants, mobile phone operators and other organizations using our processing centers' electronic financial transaction processing software. Our outsourced management solutions include management of existing ATM networks, development of new ATM networks, management of POS networks, management of automated deposit terminals, management of credit, debit and prepaid card databases and other financial processing services. These solutions include 24-hour monitoring of each ATM's status and cash condition, managing the cash levels in each ATM, coordinating the cash delivery and providing automatic dispatches for necessary service calls. We also provide real-time transaction authorization, advanced monitoring, network gateway access, network switching, 24-hour customer service, maintenance, cash settlement and reconciliation, forecasting and reporting. Since our infrastructure can support a significant increase in transactions, new outsourced management solutions agreements should provide additional revenue with lower incremental cost.</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Our outsourced management solutions agreements generally provide for fixed monthly management fees and, in most cases, fees payable for each transaction. The transaction fees under these agreements are generally lower than those under card acceptance agreements.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Euronet-Branded ATM Transaction Processing</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Euronet-branded ATM networks, also known as IAD networks, are primarily managed by a processing center that uses our market-leading internally developed software solutions. The ATMs in our IAD networks are able to process transactions for holders of credit, debit and prepaid products issued by or bearing the logos of financial institutions and international card organizations such as American Express</w:t>
      </w:r>
      <w:r>
        <w:rPr>
          <w:rFonts w:ascii="Arial" w:cs="Arial" w:eastAsia="Arial" w:hAnsi="Arial"/>
          <w:sz w:val="7"/>
          <w:szCs w:val="7"/>
          <w:color w:val="auto"/>
        </w:rPr>
        <w:t>®</w:t>
      </w:r>
      <w:r>
        <w:rPr>
          <w:rFonts w:ascii="Arial" w:cs="Arial" w:eastAsia="Arial" w:hAnsi="Arial"/>
          <w:sz w:val="16"/>
          <w:szCs w:val="16"/>
          <w:color w:val="auto"/>
        </w:rPr>
        <w:t>, Visa</w:t>
      </w:r>
      <w:r>
        <w:rPr>
          <w:rFonts w:ascii="Arial" w:cs="Arial" w:eastAsia="Arial" w:hAnsi="Arial"/>
          <w:sz w:val="7"/>
          <w:szCs w:val="7"/>
          <w:color w:val="auto"/>
        </w:rPr>
        <w:t>®</w:t>
      </w:r>
      <w:r>
        <w:rPr>
          <w:rFonts w:ascii="Arial" w:cs="Arial" w:eastAsia="Arial" w:hAnsi="Arial"/>
          <w:sz w:val="16"/>
          <w:szCs w:val="16"/>
          <w:color w:val="auto"/>
        </w:rPr>
        <w:t>, Mastercard</w:t>
      </w:r>
      <w:r>
        <w:rPr>
          <w:rFonts w:ascii="Arial" w:cs="Arial" w:eastAsia="Arial" w:hAnsi="Arial"/>
          <w:sz w:val="7"/>
          <w:szCs w:val="7"/>
          <w:color w:val="auto"/>
        </w:rPr>
        <w:t>®</w:t>
      </w:r>
      <w:r>
        <w:rPr>
          <w:rFonts w:ascii="Arial" w:cs="Arial" w:eastAsia="Arial" w:hAnsi="Arial"/>
          <w:sz w:val="16"/>
          <w:szCs w:val="16"/>
          <w:color w:val="auto"/>
        </w:rPr>
        <w:t>, JCB, Diners Club International</w:t>
      </w:r>
      <w:r>
        <w:rPr>
          <w:rFonts w:ascii="Arial" w:cs="Arial" w:eastAsia="Arial" w:hAnsi="Arial"/>
          <w:sz w:val="7"/>
          <w:szCs w:val="7"/>
          <w:color w:val="auto"/>
        </w:rPr>
        <w:t>®</w:t>
      </w:r>
      <w:r>
        <w:rPr>
          <w:rFonts w:ascii="Arial" w:cs="Arial" w:eastAsia="Arial" w:hAnsi="Arial"/>
          <w:sz w:val="16"/>
          <w:szCs w:val="16"/>
          <w:color w:val="auto"/>
        </w:rPr>
        <w:t>, Discover</w:t>
      </w:r>
      <w:r>
        <w:rPr>
          <w:rFonts w:ascii="Arial" w:cs="Arial" w:eastAsia="Arial" w:hAnsi="Arial"/>
          <w:sz w:val="7"/>
          <w:szCs w:val="7"/>
          <w:color w:val="auto"/>
        </w:rPr>
        <w:t>®</w:t>
      </w:r>
      <w:r>
        <w:rPr>
          <w:rFonts w:ascii="Arial" w:cs="Arial" w:eastAsia="Arial" w:hAnsi="Arial"/>
          <w:sz w:val="16"/>
          <w:szCs w:val="16"/>
          <w:color w:val="auto"/>
        </w:rPr>
        <w:t xml:space="preserve"> and UnionPay International</w:t>
      </w:r>
      <w:r>
        <w:rPr>
          <w:rFonts w:ascii="Arial" w:cs="Arial" w:eastAsia="Arial" w:hAnsi="Arial"/>
          <w:sz w:val="7"/>
          <w:szCs w:val="7"/>
          <w:color w:val="auto"/>
        </w:rPr>
        <w:t>©</w:t>
      </w:r>
      <w:r>
        <w:rPr>
          <w:rFonts w:ascii="Arial" w:cs="Arial" w:eastAsia="Arial" w:hAnsi="Arial"/>
          <w:sz w:val="16"/>
          <w:szCs w:val="16"/>
          <w:color w:val="auto"/>
        </w:rPr>
        <w:t>, as well as international ATM networks such as PLUS, CIRRUS and PULSE</w:t>
      </w:r>
      <w:r>
        <w:rPr>
          <w:rFonts w:ascii="Arial" w:cs="Arial" w:eastAsia="Arial" w:hAnsi="Arial"/>
          <w:sz w:val="7"/>
          <w:szCs w:val="7"/>
          <w:color w:val="auto"/>
        </w:rPr>
        <w:t>®</w:t>
      </w:r>
      <w:r>
        <w:rPr>
          <w:rFonts w:ascii="Arial" w:cs="Arial" w:eastAsia="Arial" w:hAnsi="Arial"/>
          <w:sz w:val="16"/>
          <w:szCs w:val="16"/>
          <w:color w:val="auto"/>
        </w:rPr>
        <w:t xml:space="preserve"> or domestic networks such as NYCE, Shazam, AFFN, STAR and others across North America. This is accomplished through our agreements and relationships with these institutions, international credit, debit and prepaid card issuers, international card associations and domestic card associations.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 w:name="page7"/>
    <w:bookmarkEnd w:id="6"/>
    <w:p>
      <w:pPr>
        <w:jc w:val="both"/>
        <w:spacing w:after="0" w:line="311" w:lineRule="auto"/>
        <w:rPr>
          <w:sz w:val="20"/>
          <w:szCs w:val="20"/>
          <w:color w:val="auto"/>
        </w:rPr>
      </w:pPr>
      <w:r>
        <w:rPr>
          <w:rFonts w:ascii="Arial" w:cs="Arial" w:eastAsia="Arial" w:hAnsi="Arial"/>
          <w:sz w:val="16"/>
          <w:szCs w:val="16"/>
          <w:color w:val="auto"/>
        </w:rPr>
        <w:t>When a bank cardholder conducts a transaction on a Euronet-owned ATM or automated deposit terminal, we receive a fee from the cardholder's bank for that transaction. The bank pays us this fee either directly or indirectly through a central switching and settlement network. When paid indirectly, this fee is referred to as the "interchange fee." We receive transaction 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 In some cases, we may also charge a direct access fee or surcharge to cardholders at the ATM. The direct access fee is added to the amount of the cash withdrawal and debited from the cardholder's account.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We generally receive fees or earn margin from our customers for six types of ATM transactions: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Cash withdrawals;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Cash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Balance inquiries;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Transactions not completed because the relevant card issuer does not give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Dynamic currency conversion;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Prepaid mobile airtime recharges and other electronic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Acceptance or Sponsorship Agreements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agreements with financial institutions and international card organizations generally provide that all credit and debit cards issued by the financial institution or organization may be used at all ATMs that we operate in a given market. In most markets, we operate under sponsorship by our own e-money or payment service licensed entities. In some markets, we have agreements with a financial institution under which we are designated as a service provider (which we refer to as "sponsorship agreements") for the acceptance of domestic cards and/or cards bearing international logos, such as Visa</w:t>
      </w:r>
      <w:r>
        <w:rPr>
          <w:rFonts w:ascii="Arial" w:cs="Arial" w:eastAsia="Arial" w:hAnsi="Arial"/>
          <w:sz w:val="8"/>
          <w:szCs w:val="8"/>
          <w:color w:val="auto"/>
        </w:rPr>
        <w:t>®</w:t>
      </w:r>
      <w:r>
        <w:rPr>
          <w:rFonts w:ascii="Arial" w:cs="Arial" w:eastAsia="Arial" w:hAnsi="Arial"/>
          <w:sz w:val="17"/>
          <w:szCs w:val="17"/>
          <w:color w:val="auto"/>
        </w:rPr>
        <w:t xml:space="preserve"> and Mastercard</w:t>
      </w:r>
      <w:r>
        <w:rPr>
          <w:rFonts w:ascii="Arial" w:cs="Arial" w:eastAsia="Arial" w:hAnsi="Arial"/>
          <w:sz w:val="8"/>
          <w:szCs w:val="8"/>
          <w:color w:val="auto"/>
        </w:rPr>
        <w:t>®</w:t>
      </w:r>
      <w:r>
        <w:rPr>
          <w:rFonts w:ascii="Arial" w:cs="Arial" w:eastAsia="Arial" w:hAnsi="Arial"/>
          <w:sz w:val="17"/>
          <w:szCs w:val="17"/>
          <w:color w:val="auto"/>
        </w:rPr>
        <w:t>. These card acceptance or sponsorship agreements allow us to receive transaction authorization directly from the card issuing institution or international card organizations on a stand-in basis. Our agreements generally provide for a term of three to seven years and renew automatically unless either party provides notice of non-renewal prior to the termination date. In some cases, the agreements are terminable by either party upon six months' notice. We are generally able to connect a financial institution to our network within 30 to 90 days of signing a card acceptance agreement. The financial institution provides the cash needed to complete transactions on the ATM, but we provide a significant portion of the cash to our IAD network to fund ATM transactions ourselves. Euronet is generally liable for the cash in the ATM networks.</w:t>
      </w:r>
    </w:p>
    <w:p>
      <w:pPr>
        <w:spacing w:after="0" w:line="19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Under our card acceptance agreements, the ATM transaction fees we charge vary depending on the type of transaction and the number of transactions attributable to a particular card issuer. Our agreements generally provide for payment in local currency, though transaction fees are sometimes denominated in euros or U.S. dollars. Transaction fees are billed to financial institutions and card organizations with payment terms typically no longer than one month.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Currency Conversion</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We offer dynamic currency conversion, or DCC, over our IAD networks, ATM networks that we operate on an outsourced basis for financial institutions, and over financial institutions' ATM networks or POS devices as a stand-alone service. DCC is a feature of the underlying ATM or POS transaction that is offered to customers completing transactions using a foreign debit or credit card issued in a country with a currency other than the currency where the ATM or POS is located. The customer is offered a choice between completing the transaction in the local currency or in the customer's home currency via a DCC transaction. If a cardholder chooses to perform a DCC transaction, the acquirer or processor performs the foreign exchange conversion at the time that the funds are delivered at an ATM or the transactions are completed through the POS terminal, which results in a pre-defined amount of the customer's home currency being charged to their card. Alternatively, the customer may have the transaction converted by the card issuing bank, in which the amount of local currency is communicated to the card issuing bank and the card issuing bank makes the conversion to the customer's home currency.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jc w:val="both"/>
        <w:spacing w:after="0" w:line="271" w:lineRule="auto"/>
        <w:rPr>
          <w:sz w:val="20"/>
          <w:szCs w:val="20"/>
          <w:color w:val="auto"/>
        </w:rPr>
      </w:pPr>
      <w:r>
        <w:rPr>
          <w:rFonts w:ascii="Arial" w:cs="Arial" w:eastAsia="Arial" w:hAnsi="Arial"/>
          <w:sz w:val="18"/>
          <w:szCs w:val="18"/>
          <w:color w:val="auto"/>
        </w:rPr>
        <w:t>When a customer chooses DCC at an ATM or POS device and Euronet acts as the acquirer or processor, we receive all or a portion of the foreign exchange margin on the conversion of the transaction. On our IAD ATMs, Euronet receives the entire foreign exchange margin. If Euronet is not the acquirer or processor of the transaction, we share the DCC revenue with the sponsor bank. On ATMs or POS devices that are operated for financial institutions, or where we offer DCC as a stand-alone service to financial institutions or merchants, we share the foreign exchange margin. The foreign exchange margin on a DCC transaction increases the amount Euronet earns from the underlying ATM or POS transaction and supports deployment of additional ATMs in new locations.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network of owned or operated ATMs allows for the sale of additional financial and other products or services at a low incremental cost. We have developed value added services in addition to basic cash withdrawal and balance inquiry transactions. These value added services include mobile top-up, fraud management, bill payment, domestic and international surcharge, CRM, foreign remittance payout, cardless payout, banknote recycling, electronic content, ticket and voucher, foreign currency withdrawal and advertising. We are committed to the ongoing development of innovative new products and services to offer our EFT processing customers.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Euronet offers multinational merchants a Single European Payments Area ("SEPA")-compliant cross-border transaction processing solution. SEPA is an area in which all electronic payments can be made and received in euros, whether between or within national boundaries, under the same basic conditions, rights and obligations, regardless of the location. This single, centralized acquiring platform enables merchants to benefit from cost savings and faster, more efficient payments transfer. Although many European countries are not members of the eurozone, our platform can serve merchants in these countries as well, through our multi-currency functionality.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Solutions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also offer a suite of integrated software solutions for electronic payments and transaction delivery systems. We generate revenues for our software products from licensing, professional services and maintenance fees for software and sales of related hardware, primarily to financial institutions around the world.</w:t>
      </w:r>
    </w:p>
    <w:p>
      <w:pPr>
        <w:spacing w:after="0" w:line="33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Our software products are an integral part of the EFT Processing Segment product lines, and our investment in research, development, delivery and customer support reflects our ongoing commitment to an expanded customer base both internally and externally. Our proprietary software is used by our processing centers in the EFT Processing Segment, resulting in cost savings and added value compared to third-party license and maintenance options. Our proprietary software consists of our legacy ITM software, which we have used and sold to financial institutions since 1998 through our Software Solutions unit, and an innovative switching software package named REN that we released in 2017.</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currently operate REN in our processing center to process payments for our own networks in Europe and we are progressively transitioning all our networks globally to REN. The private cloud architecture of REN allows us to simultaneously deploy REN across multiple physical locations. REN is now operated for both internal resources and external customers with the launch of the REN Foundation for Mozambique's National Payments Network in 2020. REN is scalable and will allow us to offer payment and digital solutions to more third parties. In addition to payments processing, REN also supports other digital elements, including card issuing for physical and virtual cards, loyalty services, Know Your Customer compliance, real time settlement, inventory management, risk and fraud management and other services. REN will be used as a platform to connect Euronet assets to offer digital payment solutions, and is currently utilized within the epay and Money Transfer Segments.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 Strategy</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EFT Processing Segment maintains a strategy to expand the network of ATMs and POS terminals into developed and developing markets that have the greatest potential for growth. In addition, we follow a supporting strategy to increase the penetration of value added (or complementary) services across our existing customer base, including DCC, surcharge, cardless payment, banknote recycling solutions, tax refund services, advertising, fraud management, bill payment, mobile top-up, CRM and foreign remittance payout.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p>
      <w:pPr>
        <w:jc w:val="both"/>
        <w:spacing w:after="0" w:line="279" w:lineRule="auto"/>
        <w:rPr>
          <w:sz w:val="20"/>
          <w:szCs w:val="20"/>
          <w:color w:val="auto"/>
        </w:rPr>
      </w:pPr>
      <w:r>
        <w:rPr>
          <w:rFonts w:ascii="Arial" w:cs="Arial" w:eastAsia="Arial" w:hAnsi="Arial"/>
          <w:sz w:val="18"/>
          <w:szCs w:val="18"/>
          <w:color w:val="auto"/>
        </w:rPr>
        <w:t>We continually strive to make our own ATM networks more efficient by eliminating underperforming ATMs and installing ATMs in more desirable locations. We make selective additions to our own ATM network if we see market demand and profit opportunities. In tourist locations, we also shut down ATMs during the winter season when tourist activity is low.</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recent years, the need for "all-in" services has increased. Banks, particularly smaller banks, are increasingly looking for integrated ATM, POS and card issuing processing and management services. Euronet is well positioned for this opportunity as it can offer a full end-to-end solution to the potential partners.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 growth opportunities are driven through financial institutions that are receptive to outsourcing the operation of their ATM, POS and card networks. The operation of these devices requires expensive hardware and software and specialized personnel. These resources are available to us, and we offer them to our customers under outsourcing contracts. The expansion and enhancement of our outsourced management solutions in new and existing markets will remain an important business opportunity for Euronet. Increasing the number of non-owned ATMs and POS terminals that we operate under management services agreements and continued development of our credit, debit and prepaid card outsourcing business could provide continued growth while minimizing our capital investment.</w:t>
      </w:r>
    </w:p>
    <w:p>
      <w:pPr>
        <w:spacing w:after="0" w:line="15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Complementary services offered by our epay Segment, where we provide prepaid mobile top-up services through POS terminals, strengthens the EFT Processing Segment's line of services. We plan to continue to expand our technology and business methods into other markets where we operate and further leverage our relationships with mobile phone operators and financial institutions to facilitate that expansion.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EFT Processing business experiences its heaviest demand for cash withdrawals and DCC during the third quarter of the fiscal year, coinciding with the tourism season. It is also impacted by seasonality during the fourth quarter and first quarter of each year due to higher transaction levels during the holiday season and lower levels after the holiday season. This seasonality is increased due to our practice of seasonally deactivating ATMs in tourist locations that experience significantly higher traffic during the summer. Seasonally deactivating involves shutting down the ATMs during the slower months and results in lower overall transaction volumes in the EFT Processing Segment during those months. As we have expanded our IAD network in tourist locations, the financial impact of seasonally deactivating has increased, because we continue to bear the expense of seasonally deactivated ATMs even though they do not generate transactions during the slower months.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No individual customer of the EFT Processing Segment makes up greater than 10% of total consolidated revenues. In India, Pakistan and Indonesia we have contracts with banks and telecommunications companies that are majority-owned by the government to provide certain ATM driving and transaction switching services, digital content distribution and mobile airtime recharge services. Additionally, certain government-owned banks are members of our shared ATM network in India and we provide software services to financial institutions partially owned by government-owned banks. In Austria, Croatia, Cyprus, Czech Republic, Denmark, Egypt, Germany, Hungary, Ireland, Italy, Lithuania, Malta, Poland, Portugal, Romania, Slovakia, Slovenia, Spain and the United Kingdom, we lease land and other property for certain ATM sites from companies that are majority-owned by the government. In China and Greece, we have contracts with clients and financial institutions that are partially owned by the government.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principal EFT Processing Segment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Small local operators have also recently begun offering their services, particularly in the IAD market. None of these competitors has a dominant market share in any of our markets. Competitive advantages in our EFT Processing Segment include breadth of service offering, network availability and response time, price to both the financial institution and to its customers, ATM location and access to other networks.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epay Segment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currently offer prepaid mobile airtime top-up services and other electronic content and payment processing services for various prepaid products, cards and services on a network of approximately 775,000 POS terminals across approximately 335,000 retailer locations in Europe, the Middle East, Asia Pacific, North America and South America. Our processing centers for the epay Segment are located in the United Kingdom, Germany, Italy, and the United States.</w:t>
      </w:r>
    </w:p>
    <w:p>
      <w:pPr>
        <w:spacing w:after="0" w:line="158"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Since 2003, we have expanded our prepaid business in new and existing markets by drawing upon our depth of experience to build and expand relationships with content providers, mobile phone operators and retailers. We offer a wide range of products across our retail networks, including prepaid mobile airtime, prepaid debit cards, prepaid gift cards, prepaid electronic content such as music, games and software, prepaid vouchers, transport payments, lottery payments, prepaid long distance and bill payment processing assistance through partnerships with various licensed money transmitters.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epay Segment generates commissions and processing fees from the distribution of electronic content and from telecommunications service providers for the sale and distribution of prepaid mobile airtime. In 2021, approximately 70% of total revenues and approximately 74% of gross profit for the epay Segment was from electronic content other than prepaid mobile airtime (digital media products).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Customers purchase digital media prepaid content as a gift or for self-use. Content is generally purchased in two ways: (1) directly online from the content provider using an online payment method, or (2) through physical retail stores, online retailers or other electronic channels, including payment wallets, online banking, mobile applications and other sources.</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Customers using mobile phones generally pay for usage in one of two ways: (1) through "postpaid" accounts, where usage is billed at the end of each billing period, or (2) through "prepaid" accounts, where customers pay in advance by crediting their accounts prior to usage.</w:t>
      </w:r>
    </w:p>
    <w:p>
      <w:pPr>
        <w:spacing w:after="0" w:line="1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Although mobile phone operators in the U.S. and certain European countries have provided service principally through postpaid accounts, the norm in many other countries in Europe and the rest of the world is to offer wireless service on a prepaid basis.</w:t>
      </w:r>
    </w:p>
    <w:p>
      <w:pPr>
        <w:spacing w:after="0" w:line="162"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Prepaid mobile phone credits are generally distributed using personal identification numbers ("PINs"). We distribute PINs in two ways. First, we establish an electronic connection to the mobile operator and the retailer. When the sale to a customer is initiated, the terminal requests the PIN from the mobile operator via our transaction processing platform. These transactions obtain the PIN directly from the mobile operator. The customer pays the retailer and the retailer becomes obligated to make settlement to us of the purchased amount of the mobile airtime. We maintain systems that know the amount of mobile top-up sold by the retailer which allows us in turn to bill that retailer for the mobile top-up sold.</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Second, we purchase PINs from the mobile operator which are electronically sent to our processing platform. We establish an electronic connection with the POS terminals in retailer locations and our processing platform provides the terminal with a PIN when the mobile top-up is purchased. We maintain systems that monitor transaction levels at each terminal. As sales of prepaid mobile airtime to customers are completed, the inventory on the platform is reduced by the PIN purchased. The customer payment and settlement with the retailer are the same as described above.</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We expand our distribution networks by signing new contracts with retailers, and in some markets, by acquiring existing networks. We continue to focus on growing our distribution network through independent sales organizations that contract directly with retailers in their network to distribute prepaid mobile airtime or other digital media content from the retailers' POS terminals. We continue to increase our focus on direct relationships with chains of supermarkets, convenience stores, gas stations, and other larger scale retailers, where we can negotiate multi-year agreements with the retailers. In addition to the sale of traditional mobile top-up volume described above, we have expanded distribution into digital media products and other value-added services. We have leveraged our existing technology infrastructure to sell digital media products, which have been sold through our traditional retailer network and new retailer networks such as electronic channels. In the U.S., most prepaid digital media content is purchased for gifting; in markets outside the U.S., consumers generally purchase prepaid digital media content for self-use.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epay Products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Mobile Airtime Transaction Processing</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We process prepaid mobile airtime top-up transactions on our international POS network for two types of clients: distributors and retailers. Both types of client transactions start with a consumer in a retail store. The retailer uses a specially programmed POS terminal in the store, the retailer's electronic cash register (ECR) system, or web-based POS device that is connected to our network to buy prepaid mobile airtime. The consumer will select a predefined amount of mobile airtime from the carrier of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phone operator or drawing from our inventory of PINs, the purchased amount of mobile airtime will be either credited to the consumer's account or delivered via a PIN printed by the terminal and given to the consumer. In the case of PINs printed by the terminal, the consumer must then call the mobile phone operator's toll-free number to activate the purchased airtime to the consumer's mobile account.</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One difference in our relationships with various retailers and distributors is the way in which we charge for our services. For distributors and certain very large retailers, we charge a processing fee. However, the majority of our transactions occur with smaller retailers. With these clients, we receive a commission or discount on each transaction that is withheld from the payments made to the mobile phone operator, and we share that commission/discount with the retailers.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Closed Loop Gift Cards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Closed loop (private-branded) gift cards are generally described as merchant-specific prepaid cards, used for purchases exclusively at a particular merchant's locations. We distribute closed loop gift cards in various categories, including dining, retail, and digital media, such as music, games and software. Generally, the gift card is activated when a consumer loads funds (with cash, debit or credit card payment) or purchases a preloaded value gift card at a retail store location or online.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Loop Gift Cards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Open loop (network-branded) gift cards are prepaid gift cards associated with an electronic payment network (such as Visa</w:t>
      </w:r>
      <w:r>
        <w:rPr>
          <w:rFonts w:ascii="Arial" w:cs="Arial" w:eastAsia="Arial" w:hAnsi="Arial"/>
          <w:sz w:val="9"/>
          <w:szCs w:val="9"/>
          <w:color w:val="auto"/>
        </w:rPr>
        <w:t>®</w:t>
      </w:r>
      <w:r>
        <w:rPr>
          <w:rFonts w:ascii="Arial" w:cs="Arial" w:eastAsia="Arial" w:hAnsi="Arial"/>
          <w:sz w:val="17"/>
          <w:szCs w:val="17"/>
          <w:color w:val="auto"/>
        </w:rPr>
        <w:t xml:space="preserve"> or Mastercard</w:t>
      </w:r>
      <w:r>
        <w:rPr>
          <w:rFonts w:ascii="Arial" w:cs="Arial" w:eastAsia="Arial" w:hAnsi="Arial"/>
          <w:sz w:val="9"/>
          <w:szCs w:val="9"/>
          <w:color w:val="auto"/>
        </w:rPr>
        <w:t>®</w:t>
      </w:r>
      <w:r>
        <w:rPr>
          <w:rFonts w:ascii="Arial" w:cs="Arial" w:eastAsia="Arial" w:hAnsi="Arial"/>
          <w:sz w:val="17"/>
          <w:szCs w:val="17"/>
          <w:color w:val="auto"/>
        </w:rPr>
        <w:t>) and are honored at multiple, unaffiliated locations (wherever cards from these networks are generally accepted). They are not merchant-specific. We distribute and issue single-use, non-reloadable open loop gift cards carrying the Visa</w:t>
      </w:r>
      <w:r>
        <w:rPr>
          <w:rFonts w:ascii="Arial" w:cs="Arial" w:eastAsia="Arial" w:hAnsi="Arial"/>
          <w:sz w:val="9"/>
          <w:szCs w:val="9"/>
          <w:color w:val="auto"/>
        </w:rPr>
        <w:t>®</w:t>
      </w:r>
      <w:r>
        <w:rPr>
          <w:rFonts w:ascii="Arial" w:cs="Arial" w:eastAsia="Arial" w:hAnsi="Arial"/>
          <w:sz w:val="17"/>
          <w:szCs w:val="17"/>
          <w:color w:val="auto"/>
        </w:rPr>
        <w:t xml:space="preserve"> brand in our retail channels. After the consumer purchases the preloaded value gift card at a retail store location or online, the consumer must call the toll-free number on the back of the card to activate 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Loop Reloadable</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distribute Visa</w:t>
      </w:r>
      <w:r>
        <w:rPr>
          <w:rFonts w:ascii="Arial" w:cs="Arial" w:eastAsia="Arial" w:hAnsi="Arial"/>
          <w:sz w:val="9"/>
          <w:szCs w:val="9"/>
          <w:color w:val="auto"/>
        </w:rPr>
        <w:t>®</w:t>
      </w:r>
      <w:r>
        <w:rPr>
          <w:rFonts w:ascii="Arial" w:cs="Arial" w:eastAsia="Arial" w:hAnsi="Arial"/>
          <w:sz w:val="17"/>
          <w:szCs w:val="17"/>
          <w:color w:val="auto"/>
        </w:rPr>
        <w:t xml:space="preserve"> and Mastercard</w:t>
      </w:r>
      <w:r>
        <w:rPr>
          <w:rFonts w:ascii="Arial" w:cs="Arial" w:eastAsia="Arial" w:hAnsi="Arial"/>
          <w:sz w:val="9"/>
          <w:szCs w:val="9"/>
          <w:color w:val="auto"/>
        </w:rPr>
        <w:t>®</w:t>
      </w:r>
      <w:r>
        <w:rPr>
          <w:rFonts w:ascii="Arial" w:cs="Arial" w:eastAsia="Arial" w:hAnsi="Arial"/>
          <w:sz w:val="17"/>
          <w:szCs w:val="17"/>
          <w:color w:val="auto"/>
        </w:rPr>
        <w:t xml:space="preserve"> issued debit cards provided by Green Dot, NetSpend and other card issuers. We also manage and distribute a proprietary debit card that allows a retailer to issue its own reloadable store-branded card. Open loop reloadable cards have features similar to a bank checking account, including direct deposit, purchasing capability wherever a credit card is accepted, bill payment and ATM access. Fees are charged to consumers for the initial load and reload transactions, monthly account maintenance and other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POS network is used for the distribution of other products and services, including games and software, bill payment, lottery tickets and transportation products. Through our Cadooz subsidiary, we also distribute vouchers and physical gifts into the business-to-business ("B2B") channel principally for the purposes of employee and customer incentives and rewards. In certain locations, the terminals used for prepaid services can also be used for electronic funds transfer to process credit, debit and prepaid card payments for retail merchandise. We provide promotion and advertising for content providers of their prepaid content throughout our retail distribution network. We also provide card production and processing services to some of our prepaid gift card partners and telecom content providers.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Retailer and Distributor Contracts</w:t>
      </w:r>
    </w:p>
    <w:p>
      <w:pPr>
        <w:spacing w:after="0" w:line="347"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We provide our prepaid services through POS terminals or web-based POS devices installed in retail outlets or, in the case of major retailers, through direct connections between their ECR systems and our processing centers. In markets where we operate proprietary technology (the U.K., Germany, Australia, Poland, Ireland, New Zealand, Spain, Greece, India, Italy, Brazil and the U.S.), we generally own and maintain the POS terminals. In certain countries in Europe, the terminals are sold to the retailers or to distributors who service the retailer. Our agreements with major retailers for the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Germany, distributors are key intermediaries in the sale of mobile top-up. As a result, our business in Germany is substantially concentrated in, and dependent upon, relationships with our major distributors. The termination of any of our agreements with major distributors could materially and adversely affect our prepaid business in Germany. However, we have been establishing agreements with independent German retailers in order to diversify our exposure to such distributors.</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number of transactions processed on our POS networks has increased over the last five years at a CAGR of approximately 27.4% as indicated in the following table: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epay processing transactions per year</w:t>
            </w:r>
          </w:p>
        </w:tc>
        <w:tc>
          <w:tcPr>
            <w:tcW w:w="2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1,186</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1,149</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1,542</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2,395</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3,120</w:t>
            </w:r>
          </w:p>
        </w:tc>
      </w:tr>
      <w:tr>
        <w:trPr>
          <w:trHeight w:val="27"/>
        </w:trPr>
        <w:tc>
          <w:tcPr>
            <w:tcW w:w="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40"/>
        <w:spacing w:after="0" w:line="446" w:lineRule="auto"/>
        <w:rPr>
          <w:sz w:val="20"/>
          <w:szCs w:val="20"/>
          <w:color w:val="auto"/>
        </w:rPr>
      </w:pPr>
      <w:r>
        <w:rPr>
          <w:rFonts w:ascii="Arial" w:cs="Arial" w:eastAsia="Arial" w:hAnsi="Arial"/>
          <w:sz w:val="18"/>
          <w:szCs w:val="18"/>
          <w:color w:val="auto"/>
        </w:rPr>
        <w:t xml:space="preserve">Additional high-volume, low-margin digital media offerings in Asia contributed to an overall increase in processing transactions in 2020 and 2021. </w:t>
      </w:r>
      <w:r>
        <w:rPr>
          <w:rFonts w:ascii="Arial" w:cs="Arial" w:eastAsia="Arial" w:hAnsi="Arial"/>
          <w:sz w:val="18"/>
          <w:szCs w:val="18"/>
          <w:b w:val="1"/>
          <w:bCs w:val="1"/>
          <w:color w:val="auto"/>
        </w:rPr>
        <w:t>epay Segment Strategy</w:t>
      </w:r>
    </w:p>
    <w:p>
      <w:pPr>
        <w:jc w:val="both"/>
        <w:spacing w:after="0" w:line="311" w:lineRule="auto"/>
        <w:rPr>
          <w:sz w:val="20"/>
          <w:szCs w:val="20"/>
          <w:color w:val="auto"/>
        </w:rPr>
      </w:pPr>
      <w:r>
        <w:rPr>
          <w:rFonts w:ascii="Arial" w:cs="Arial" w:eastAsia="Arial" w:hAnsi="Arial"/>
          <w:sz w:val="16"/>
          <w:szCs w:val="16"/>
          <w:color w:val="auto"/>
        </w:rPr>
        <w:t>Mobile top-up transactions are declining in many developed markets and transaction fees for mobile transactions are being compressed by the mobile operators. epay's strategy is to defend margins in developing markets by providing value added services to mobile operators and to decrease our reliance on mobile top-up by increasing distribution of other electronic content. New product initiatives focus on products such as gift card malls, prepaid debit cards, transport and electronic content, including music, software and games. Strategic execution behind new products includes the development of relationships with global consumer product brands. This strategy leverages the global scale of the epay business allowing global brands to be sold in many or all of the countries in which we have a presence. Examples of global brands we distribute include iTunes, Google Play, Sony, and Microsoft.</w:t>
      </w:r>
    </w:p>
    <w:p>
      <w:pPr>
        <w:spacing w:after="0" w:line="176"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Telecommunications companies and other content providers have a substantial opportunity to increase revenues by diversifying the products and services currently offered to their retailers. epay is deploying additional content through its POS network to retailers and distributors all over the world. The reach, capabilities and quality of the epay network are appealing as a global distribution channel. We are one of the largest worldwide multi-country operators, and believe we have a distinct competitive advantage from the existing relationships that we maintain with prepaid content providers and retailers.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the product mix continues to change, the epay business is impacted by seasonality during the fourth quarter and first quarter of each year due to the higher transaction levels during the holiday season and lower levels following the holiday season.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0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 individual customer of our epay Segment makes up greater than 10% of total consolidated revenues. In Germany, epay has a contract for the technology and distribution infrastructure for six state-owned lotteries, it deploys Know Your Customer (or KYC) technologies on terminals indirectly owned by the Federal Republic of Germany and provides payment processing services for the state of Berlin and the city of Stuttgart, and Cadooz has a contract with Deutsche Bahn, which is majority owned by the German state. In addition, epay has contracts with Transurban Limited, the largest manager of toll road networks in Australia, Cubic, supporting New South Wales Transport ticketing in Australia, and with New Zealand Transport Authority, which operates all toll roads in New Zealand. epay distributes mobile top up in post offices in the United Kingdom, which are owned by the government. epay has contracts in the Middle East for the processing of mobile airtime for companies that are majority owned by the Saudi government and the UAE government, and epay distributes prepaid electronic content through companies that are owned by the Dubai government and Abu Dhabi government. In India, the epay segment distributes prepaid content through the State Bank of India and distributes telecom airtime on behalf of Bharat Sanchar Nigam, a government owned telecommunications provider based in New Delhi. There are no other government contracts in the epay Segment.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face competition in the prepaid business in all of our markets. We compete with a few multinational companies that operate in several of our markets. In other markets, our competition is from smaller, local companies. The mobile operators in all of our markets have retail distribution networks, and in some markets, on-line distribution of their own through which they offer top-up services for their own products.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believe our size and market share are competitive advantages in many markets. In addition, we believe our processing platforms are a competitive advantage. We have extremely flexible technical platforms that enable us to tailor POS solutions to individual retailers and mobile operator and digital media content provider requirements where appropriate. Our platforms are also able to provide value added services other than processing which makes us a more valuable partner to the content providers and retailers. We have introduced new digital products into the marketplace such as digital payment for online media subscriptions. Many of these products are not offered by our competitors and in many countries, these are new products. We are capitalizing on being the first to market for these products.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principal competitive factors in the epay Segment include price (that is, the level of commission paid to retailers for each transaction), breadth of products and up-time offered on the system. Major retailers with high volumes are able to demand a larger share of the commission, which increases the amount of competition among service providers. We are seeing signs that some mobile operators are expanding their distribution networks to provide top-up services on-line or via mobile devices, which provides other alternatives for consumers to use.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provide global money transfer services primarily under the brand names Ria, IME, AFEX, and xe. Ria and IME provide consumer-to-consumer money transfer services through a global network of more than 510,000 locations and our websites riamoneytransfer.com and online.imeremit.com. Most of our money transfers are originated through sending agents in approximately 48 countries, with money transfer delivery completed in 165 countries. The initiation of a consumer money transfer occurs through retail agents, Company-owned stores or online, while the delivery of money transfers can occur with bank correspondents, retailer agents or from certain ATMs. Our websites allow consumers to send funds online, using a bank account or credit or debit card, for pay-out directly to a bank account or for cash pickup.</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addition, we provide global account-to-account money transfer services under the brand name xe. We offer money transfer services via our website (www.xe.com) and through customer service representatives. xe also provides foreign currency exchange information on its currency data websites (www.xe.com and www.x-rates.com). Through xe, we offer cash management solutions and foreign currency risk management services to small-and-medium sized businesses.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jc w:val="both"/>
        <w:ind w:right="20"/>
        <w:spacing w:after="0" w:line="293" w:lineRule="auto"/>
        <w:rPr>
          <w:sz w:val="20"/>
          <w:szCs w:val="20"/>
          <w:color w:val="auto"/>
        </w:rPr>
      </w:pPr>
      <w:r>
        <w:rPr>
          <w:rFonts w:ascii="Arial" w:cs="Arial" w:eastAsia="Arial" w:hAnsi="Arial"/>
          <w:sz w:val="18"/>
          <w:szCs w:val="18"/>
          <w:color w:val="auto"/>
        </w:rPr>
        <w:t>We monitor the number of transactions made through our money transfer networks. The number of transactions processed on our network has increased over the last five years at a CAGR of approximately 10.0% as indicated in the following table: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3"/>
          </w:tcPr>
          <w:p>
            <w:pPr>
              <w:ind w:left="40"/>
              <w:spacing w:after="0"/>
              <w:rPr>
                <w:sz w:val="20"/>
                <w:szCs w:val="20"/>
                <w:color w:val="auto"/>
              </w:rPr>
            </w:pPr>
            <w:r>
              <w:rPr>
                <w:rFonts w:ascii="Arial" w:cs="Arial" w:eastAsia="Arial" w:hAnsi="Arial"/>
                <w:sz w:val="14"/>
                <w:szCs w:val="14"/>
                <w:color w:val="auto"/>
              </w:rPr>
              <w:t>(in millions)</w:t>
            </w:r>
          </w:p>
        </w:tc>
        <w:tc>
          <w:tcPr>
            <w:tcW w:w="23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43"/>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Money transfer transactions per year</w:t>
            </w:r>
          </w:p>
        </w:tc>
        <w:tc>
          <w:tcPr>
            <w:tcW w:w="2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92.2</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107.6</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114.5</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116.5</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135.1</w:t>
            </w:r>
          </w:p>
        </w:tc>
      </w:tr>
      <w:tr>
        <w:trPr>
          <w:trHeight w:val="27"/>
        </w:trPr>
        <w:tc>
          <w:tcPr>
            <w:tcW w:w="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sending agent network includes a variety of agents, including Walmart, large/medium size regional retailers, convenience stores, bodegas, multi-service shops and phone centers, which are predominantly found in areas with a large immigrant population. Each Ria money transfer transaction is processed using Euronet's proprietary software system and checked for security, completeness and compliance with federal and state regulations at every step of the process. Senders can track the progress of their transfers through Ria's customer service representatives, and funds are delivered quickly to their beneficiaries via our extensive payout network, which includes large banks and non-bank financial institutions, post offices and large retailers. Our processing centers for the Money Transfer Segment are located in the U.S., the U.K., New Zealand, and Malaysia.</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one of the largest global money transfer companies measured by revenues and transaction volumes. Our Money Transfer Segment processed approximately $63 billion in money transfers in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Revenues in the Money Transfer Segment are derived through the charging of a transaction fee, as well as a margin earned from purchasing foreign currency at wholesale exchange rates and selling the foreign currency to customers at retail exchange rates. Sending agents and receiving agents for consumer-to-consumer products each earn fees for cash collection and distribution services. Euronet recognizes these fees as direct operating costs at the time of sale.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Products and Services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Money transfer products and services are sold primarily through three channels: at agent locations, Company-owned stores and on internet enabled devices at riamoneytransfer.com and xe.com. In an online transaction, customers send funds, using a bank account or credit or debit card, for pay-out at most of our agent locations around the world or directly to a bank account.</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Through our TeleRia service, customers connect to our call center from a telephone available at an agent location and a representative collects the information over the telephone and enters it directly into our secure proprietary system. As soon as the data capture is complete, our central system automatically faxes a confirmation receipt to the agent location for the customer to review and sign and the customer pays the agent the money to be transferred, together with a fee. The agent then faxes the signed receipt back to Ria to complete the transaction.</w:t>
      </w:r>
    </w:p>
    <w:p>
      <w:pPr>
        <w:spacing w:after="0" w:line="19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Through our Walmart-2-Walmart Money Transfer Service, which allows customers to transfer money to and from Walmart stores in the U.S., our Ria business executes the transfers with Walmart serving as both the sending agent and payout correspondent. Ria earns a significantly lower margin from these transactions than its traditional money transfers; however, the arrangement adds a significant number of transactions to Ria's business. The agreement with Walmart establishes Ria as the only party through which Walmart will sell U.S. domestic money transfers branded with Walmart marks. The agreement is effective until April 2026. Thereafter, it will automatically renew for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15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addition to money transfers, Ria also offers customers bill payment services, payment alternatives such as money orders, comprehensive check cashing services for a wide variety of issued checks, along with competitive foreign currency exchange services and mobile top-up. These services are all offered through our Company-owned stores while select services are offered through our agents in certain markets.</w:t>
      </w:r>
    </w:p>
    <w:p>
      <w:pPr>
        <w:spacing w:after="0" w:line="156"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Ria money orders are widely recognized and exchanged throughout the United States. Our check cashing services cover payroll and personal checks, cashier checks, tax refund checks, government checks, insurance drafts and money orders. Our bill payment services offer timely posting of customer bills for over 7,000 companies, including electric and gas utilities and telephone/wireless companies. Bill payment services are offered primarily in the U.S.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4" w:name="page15"/>
    <w:bookmarkEnd w:id="14"/>
    <w:p>
      <w:pPr>
        <w:jc w:val="both"/>
        <w:spacing w:after="0" w:line="319" w:lineRule="auto"/>
        <w:rPr>
          <w:sz w:val="20"/>
          <w:szCs w:val="20"/>
          <w:color w:val="auto"/>
        </w:rPr>
      </w:pPr>
      <w:r>
        <w:rPr>
          <w:rFonts w:ascii="Arial" w:cs="Arial" w:eastAsia="Arial" w:hAnsi="Arial"/>
          <w:sz w:val="16"/>
          <w:szCs w:val="16"/>
          <w:color w:val="auto"/>
        </w:rPr>
        <w:t>xe offers account-to-account international payment service to high-income individuals and small-and-medium sized businesses, complementing our existing consumer-to-consumer money transfer business. xe has a multi-channel platform which allows customers to make transfers, track payments and manage their international payment activity online or through a customer service representative. xe offers cash management solutions and foreign currency risk management services to small-and-medium sized businesses. xe also offers foreign currency exchange subscriptions and advertising on its websites.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 Strategy</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Money Transfer Segment's strategy is to increase the volume of money transfers processed by leveraging our existing banking and merchant/retailer relationships to expand our agent and correspondent networks in existing corridors. In addition, we pursue expansion into high-potential money transfer corridors from the U.S. and internationally beyond the traditional U.S. to Mexico corridor. Further, we expect to continue to take advantage of cross-selling opportunities with our epay and EFT Processing Segments by providing prepaid services through our stores and agents and offering our money transfer services at select prepaid retail locations and ATMs we operate in key markets. We will continue to make investments in our systems to support this growth. Additionally, we are expanding our xe business into new markets.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 frame, coinciding with the increase in worker migration patterns and various holidays, and our lowest volumes during the first quarter.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No individual customer of our Money Transfer Segment makes up greater than 10% of total consolidated revenues. The Money Transfer Segment maintains correspondent relationships with a number of financial institutions whose ownership includes governments of the correspondents' countries of origin. Those countries include Armenia, Austria, Bangladesh, Belarus, Belgium, Benin, Bhutan, Bolivia, Bosnia-Herzegovina, Botswana, Burkina Faso, Burundi, Cameroon, Cape Verde, Chad, Costa Rica, Cote d'Ivoire, Cuba, Djibouti, Dominican Republic, Ecuador, Egypt, El Salvador, Eritrea, Ethiopia, Fiji, Gabon, Gambia, Georgia, Ghana, Guatemala, Guinea, Guinea - Bissau, Honduras, India, Indonesia, Italy, Jordan, Kenya, Kyrgyzstan, Laos, Liberia, Madagascar, Malaysia, Mali, Mauritania, Mauritius, Mexico, Moldova, Morocco, Myanmar, Niger, Nigeria, Pakistan, Philippines, Poland, Romania, Russia, Rwanda, Saudi Arabia, Serbia, Senegal, Sierra Leone, Sri Lanka, Suriname, Tanzania, Thailand, Togo, Tunisia, Turkey, Uganda, Ukraine, Uzbekistan, Vietnam, Yemen, Zambia, and Zimbabwe.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Our primary competitors in the money transfer and bill payment business include other large money transfer companies and electronic money transmitters, together with hundreds of smaller registered and unregistered money transmitters, as well as certain major national and regional banks, financial institutions and independent sales organizations. Our competition includes The Western Union Company, the leading competitor with revenue approximately two times greater than our revenue. The Western Union Company has a significant competitive advantage due to its greater resources and access to capital for expansion. This may allow them to offer better pricing terms to customers, agents or correspondents, which may result in a loss of our current or potential customers or could force us to lower our prices. In addition to traditional money payment services, new technologies are emerging that compete with traditional money payment services, such as stored-value cards, debit networks, web-based services and digital currencies. Our continued growth also depends upon our ability to compete effectively with these alternative technologies.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had approximately 8,800, 8,100 and 7,700 employees as of December 31, 2021, 2020, and 2019, respectively. We believe our future success will depend in part on our ability to continue to recruit, retain and motivate qualified management, technical and administrative employees. Currently, no union represents any of our employees, except in one of our Spanish subsidiaries. We experienced no work stoppages or strikes by our workforce in 2021 and we consider relations with our employees to be good.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Government Regulation</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As discussed below, many of our business activities are subject to regulation in our current markets. In the Money Transfer Segment, we are subject to a wide variety of laws and regulations of the U.S., individual U.S. states and foreign governments. These include international, federal and state anti-money laundering and sanctions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through retail agents, Company owned stores or online. For more discussion, see Item 1A - Risk Factors.</w:t>
      </w:r>
    </w:p>
    <w:p>
      <w:pPr>
        <w:spacing w:after="0" w:line="15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Any further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161"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Certain of our European product offerings, including in particular, our money transfer services, merchant acquiring and bill payment products, are regulated payment services requiring a license under the Second Payment Services Directive, or PSD2, which replaced the Payment Services Directive, or PSD, effective January 13, 2018. Key changes made by PSD2 include: creation of two new payment service types, extension of PSD rules on transparency to additional transactions not previously covered by PSD; enhanced cooperation and information exchange between authorities in the context of authorization and supervision of payment institutions and electronic money institutions; and increased obligations around the management of operational and security risk and the notification of incidents, increased obligations relating to complaints handling and additional requirements regarding payment security. PSD2 as implemented in some member states also resulted in some of our European licensed institutions needing to go through a re-authorisation process.</w:t>
      </w:r>
    </w:p>
    <w:p>
      <w:pPr>
        <w:spacing w:after="0" w:line="13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PSD2 requires a license to perform certain defined "payment services" in a European Economic Area (“EEA”) Member State and such license may be extended throughout other Member States of the EEA through passporting of the license (either on a freedom of service or freedom of establishment basis). Conditions for obtaining the license include minimum capital requirements, establishment of procedures for safeguarding of funds, and certain governance and reporting requirements. In addition, certain obligations relating to internal controls and the conduct of business, in particular, consumer disclosure requirements and certain rules regarding the timing and settlement of payments, must be met. We have payment institution licenses in the U.K., France, Germany, and Spain and are complying with these requirements. Traditionally, we passported our U.K., German and Spanish payment services authorizations to several Member States. As a result of Brexit, our U.K, payment institution is no longer capable of passporting its license into the EEA and the relevant EEA business was transferred to our other licenses prior to the end of the Brexit transition period. Additionally, in the U.K., we have obtained an e-money license. The e-money license allows Euronet to issue e-money and provide the same payment services as a PSD2 licensee. The e-money license imposes certain requirements similar to those of the payment services license, including minimum capital requirements, consumer disclosure and internal controls. Prior to the end of the Brexit transition period, our e-money license was passported into over twenty-five EEA Member States. As a result of Brexit, we have restructured the regulated services provided by our U.K. e-money institution in the EEA Member States and transitioned them to our other payment service licenses that can still operate in the EEA. The e-money institution will continue to operate in the U.K. unchanged.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and Payment Instrument Licensing</w:t>
      </w:r>
    </w:p>
    <w:p>
      <w:pPr>
        <w:spacing w:after="0" w:line="2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Licensing requirements in the U.S. are generally driven by the various state banking departments regulating the businesses of money transfers and issuances of payment instruments. Typical requirements include the meeting of minimum net worth requirements, maintaining permissible investments (e.g., cash, agent receivables, and government-backed securities) at levels commensurate with outstanding payment obligations and the filing of a security instrument (typically in the form of a surety bond) to offset the risk of default of trustee obligations by the license holder. We are required by many state regulators to submit ongoing reports of licensed activity, most often on a quarterly or monthly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certain states may choose to perform examinations off-site as well.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jc w:val="both"/>
        <w:spacing w:after="0" w:line="272" w:lineRule="auto"/>
        <w:rPr>
          <w:sz w:val="20"/>
          <w:szCs w:val="20"/>
          <w:color w:val="auto"/>
        </w:rPr>
      </w:pPr>
      <w:r>
        <w:rPr>
          <w:rFonts w:ascii="Arial" w:cs="Arial" w:eastAsia="Arial" w:hAnsi="Arial"/>
          <w:sz w:val="18"/>
          <w:szCs w:val="18"/>
          <w:color w:val="auto"/>
        </w:rPr>
        <w:t>Money transmitters, issuers of payment instruments and their agents are required to comply with U.S. federal, state and/or foreign anti-money laundering laws and regulations. In summary, our Money Transfer Segment, as well as our agent network, is subject to regulations issued by the different state and foreign national regulators who license us, the Office of Foreign Assets Control ("OFAC"), the Bank Secrecy Act as amended by the USA PATRIOT Act ("BSA"), the Financial Crimes Enforcement Network ("FINCEN"), as well as any existing or future regulations that impact any aspect of our money transfer business.</w:t>
      </w:r>
    </w:p>
    <w:p>
      <w:pPr>
        <w:spacing w:after="0" w:line="164"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spacing w:after="0" w:line="15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Regulatory bodies in the U.S. and abroad may impose additional rules on the conduct of our Money Transfer Segment that could have a significant impact on our operations and our agent network. In this regard, the U.S. federal government has implemented U.S. federal regulations for electronic money transfers, including the Electronic Fund Transfer Act, which provides consumer protections for international remittance transfers. The Consumer Financial Protection Bureau ("CFPB"), adopted a rule that provides additional protections for consumers who transmit money internationally, including disclosure requirements, cancellation rights and error resolution procedures for consumer complaints. Under U.S. federal law, it is unlawful for any provider of consumer financial products or services to engage in unfair, deceptive or abusive acts or practices (collectively, "UDAAPs"). The CFPB has rule making and enforcement authority to prevent UDAAPs in connection with transactions for consumer financial products or services. The CFPB audits our compliance with these rules, and we may be subject to fines or penalties for violations of any of such rules.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Escheat Regulations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Money Transfer Segment is subject to the unclaimed or abandoned property (i.e., "escheat") regulations of the United States and certain foreign countries in which we operate. These laws require us to turn over property held by Euronet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Euronet escheat procedures and related filings as part of their examination protocol.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Information Security Regulations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operations involve the collection and storage of certain types of personal customer data that are subject to privacy and security laws in the U.S. and abroad. In the United States, we are subject to the Gramm-Leach-Bliley Act ("GLBA") and various state laws including California Consumer Privacy Act ("CCPA"), which requires that financial institutions have in place policies regarding the collection, processing, storage and disclosure of information considered nonpublic personal information. Laws in other countries include the E.U.'s General Data Protection Regulation (2016/679) ("GDPR"), which became effective from May 25, 2018, as well as the laws of other countries.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GDPR establishes stringent requirements for the collection and processing of personal information of individuals within the E.U. The GDPR establishes certain rights of individuals regarding personal information processed by companies as well as requirements for information security, and imposes significant fines that may be revenue-based for violation of its requirements. Any failure on our part to meet the requirements of the GDPR could result in the imposition of fines and penalties that could affect our financial results.</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comply with the GLBA and state privacy provisions. In July 2020, the European Court of Justice invalidated the EU-US Privacy Shield as a lawful mechanism for transferring personal data to the US as a result of concerns related to surveillance by law enforcement agencies and a lack of judicial redress by individuals in the EU (known as the "Schrems II" decision). Despite the July 2020 ruling of the European Court of Justice, we believe we remain in compliance with E.U. regulations regarding the transfer of personal data to the United States and other jurisdictions.</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 rapidly evolving area and there can be no assurance that we will continue to meet the existing and new regulations, which could have a material, adverse impact on our Money Transfer Segment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Anti-corruption and Bribery</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the Foreign Corrupt Practices Act ("FCPA"), which prohibits U.S. and other business entities from making improper payments to foreign government officials, political parties or political party officials. We are also subject to the applicable anti-corruption laws in the jurisdictions in which we operate, such as the U.K. Bribery Act, thus potentially exposing us to liability and potential penalties in multiple jurisdictions. The anti-corruption provisions of the FCPA are enforced by the United States Department of Justice. In addition, the Securities and Exchange Commission ("SEC") requires strict compliance with certain accounting and internal control standards set forth under the FCPA. Because our services are offered in many countries throughout the world and we do business with a number of banks and other financial institutions owned or controlled by foreign governments, we face a higher risk associated with FCPA, the U.K. Bribery Act and other similar laws than many other companies and we have policies and procedures in place to address compliance with the FCPA, the U.K. Bribery Act and other similar laws. Any determination that we have violated these laws could have an adverse effect on our business, financial position and results of operations. Failure to comply with our policies and procedures or the FCPA and other laws can expose Euronet and/or individual employees to potentially severe criminal and civil penalties. Such penalties could have a material adverse effect on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Sanctions Compliance</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to anti-money laundering laws and regulations, our products and services are subject to economic and trade sanctions laws and regulations promulgated by OFAC and other jurisdictions in which our products and services are offered. The sanctions laws and regulations prohibit or restrict transactions to or from (or dealings with or involving) certain countries, regions, governments, and in certain circumstances, specified foreign nationals, as well as with certain individuals and entities such as narcotics traffickers, terrorists, and terrorist organizations. These sanctions laws and regulations require screening of transactions against government watch-lists, including but not limited to, the watch-lists maintained by OFAC, and include transactional and other reporting to government agencies.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Programs</w:t>
      </w:r>
    </w:p>
    <w:p>
      <w:pPr>
        <w:spacing w:after="0" w:line="18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have developed risk-based policies and programs to comply with existing and new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programs, in many countries, independently examined on an annual basis. In addition, we continue to enhance our anti-money laundering and counter-terrorist financing compliance policy, procedures and monitoring systems, as well as our consumer protection policies and procedures.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brand names of "Ria," "Ria Financial Services," "Ria Envia," "xe," "AFEX," "IME," derivations of those brand names and certain other brand names are material to our Money Transfer Segment and are registered trademarks and/or service marks in most of the markets in which our Money Transfer Segment operates. Consumer perception of these brand names is important to the growth prospects of our money transfer business. We also hold a U.S. patent on a card-based money transfer and bill payment system that allows transactions to be initiated primarily through POS terminals and integrated cash register systems.</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With respect to our EFT Processing Segment, we have registered or applied for registration of our trademarks, including the names "Euronet" and "Bankomat" and/or our blue diamond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applications and/or obtained patents for a number of our new software products and our processing technology, including certain top-up services and DCC services.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both"/>
        <w:spacing w:after="0" w:line="303" w:lineRule="auto"/>
        <w:rPr>
          <w:sz w:val="20"/>
          <w:szCs w:val="20"/>
          <w:color w:val="auto"/>
        </w:rPr>
      </w:pPr>
      <w:r>
        <w:rPr>
          <w:rFonts w:ascii="Arial" w:cs="Arial" w:eastAsia="Arial" w:hAnsi="Arial"/>
          <w:sz w:val="17"/>
          <w:szCs w:val="17"/>
          <w:color w:val="auto"/>
        </w:rPr>
        <w:t>With respect to our epay Segment, we maintain registered trademarks for the "epay" brand and logo in the U.S., U.K., E.U. (through a Community Trademark application, which provides enforceability of the epay trademark in all member states of the European Union), Brazil, Singapore, India, Australia and New Zealand. We have filed trademark applications for additional iterations of the "epay” brand in India, which are pending.</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Additionally, we have filed a trademark application for the “epay” brand with the Madrid Protocol, which, if granted, will simplify the process to extending the international protection of the epay trademark. We cannot be certain that we are entitled to use the epay trademark in any markets other than those in which we have registered the trademark; however, before entering new markets, we conduct searches to understand our usage rights. We have filed patent applications for certain POS top-up and other epay technology. Certain patents have been granted while others have been refused or are still pending. We also hold a patent license covering certain of epay's operations in the U.S.</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difficult for us to predict whether our patent applications will be approved or will be granted priority dates that are earlier than other patents that have been filed for similar products or services. Moreover, many "process patents" have been filed in the U.S. over recent years covering processes that are in wide use in the money transfer, EFT and prepaid processing industries.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10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and position held by each of our Executive Officers as of February 22, 2022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Name</w:t>
            </w:r>
          </w:p>
        </w:tc>
        <w:tc>
          <w:tcPr>
            <w:tcW w:w="1100" w:type="dxa"/>
            <w:vAlign w:val="bottom"/>
            <w:tcBorders>
              <w:bottom w:val="single" w:sz="8" w:color="auto"/>
            </w:tcBorders>
          </w:tcPr>
          <w:p>
            <w:pPr>
              <w:jc w:val="center"/>
              <w:ind w:left="292"/>
              <w:spacing w:after="0"/>
              <w:rPr>
                <w:sz w:val="20"/>
                <w:szCs w:val="20"/>
                <w:color w:val="auto"/>
              </w:rPr>
            </w:pPr>
            <w:r>
              <w:rPr>
                <w:rFonts w:ascii="Arial" w:cs="Arial" w:eastAsia="Arial" w:hAnsi="Arial"/>
                <w:sz w:val="14"/>
                <w:szCs w:val="14"/>
                <w:b w:val="1"/>
                <w:bCs w:val="1"/>
                <w:color w:val="auto"/>
                <w:w w:val="90"/>
              </w:rPr>
              <w:t>Age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Served Since</w:t>
            </w:r>
          </w:p>
        </w:tc>
        <w:tc>
          <w:tcPr>
            <w:tcW w:w="6420" w:type="dxa"/>
            <w:vAlign w:val="bottom"/>
            <w:tcBorders>
              <w:bottom w:val="single" w:sz="8" w:color="auto"/>
            </w:tcBorders>
          </w:tcPr>
          <w:p>
            <w:pPr>
              <w:ind w:left="2860"/>
              <w:spacing w:after="0"/>
              <w:rPr>
                <w:sz w:val="20"/>
                <w:szCs w:val="20"/>
                <w:color w:val="auto"/>
              </w:rPr>
            </w:pPr>
            <w:r>
              <w:rPr>
                <w:rFonts w:ascii="Arial" w:cs="Arial" w:eastAsia="Arial" w:hAnsi="Arial"/>
                <w:sz w:val="14"/>
                <w:szCs w:val="14"/>
                <w:b w:val="1"/>
                <w:bCs w:val="1"/>
                <w:color w:val="auto"/>
              </w:rPr>
              <w:t>Position Held</w:t>
            </w: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Michael J. Brown</w:t>
            </w:r>
          </w:p>
        </w:tc>
        <w:tc>
          <w:tcPr>
            <w:tcW w:w="1100" w:type="dxa"/>
            <w:vAlign w:val="bottom"/>
            <w:tcBorders>
              <w:bottom w:val="single" w:sz="8" w:color="CCEEFF"/>
            </w:tcBorders>
            <w:shd w:val="clear" w:color="auto" w:fill="CCEEFF"/>
          </w:tcPr>
          <w:p>
            <w:pPr>
              <w:jc w:val="center"/>
              <w:ind w:left="312"/>
              <w:spacing w:after="0"/>
              <w:rPr>
                <w:sz w:val="20"/>
                <w:szCs w:val="20"/>
                <w:color w:val="auto"/>
              </w:rPr>
            </w:pPr>
            <w:r>
              <w:rPr>
                <w:rFonts w:ascii="Arial" w:cs="Arial" w:eastAsia="Arial" w:hAnsi="Arial"/>
                <w:sz w:val="18"/>
                <w:szCs w:val="18"/>
                <w:color w:val="auto"/>
                <w:w w:val="89"/>
              </w:rPr>
              <w:t>65</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1994</w:t>
            </w:r>
          </w:p>
        </w:tc>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Chairman, Chief Executive Officer and President</w:t>
            </w: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Rick L. Weller</w:t>
            </w:r>
          </w:p>
        </w:tc>
        <w:tc>
          <w:tcPr>
            <w:tcW w:w="1100" w:type="dxa"/>
            <w:vAlign w:val="bottom"/>
          </w:tcPr>
          <w:p>
            <w:pPr>
              <w:jc w:val="center"/>
              <w:ind w:left="312"/>
              <w:spacing w:after="0"/>
              <w:rPr>
                <w:sz w:val="20"/>
                <w:szCs w:val="20"/>
                <w:color w:val="auto"/>
              </w:rPr>
            </w:pPr>
            <w:r>
              <w:rPr>
                <w:rFonts w:ascii="Arial" w:cs="Arial" w:eastAsia="Arial" w:hAnsi="Arial"/>
                <w:sz w:val="18"/>
                <w:szCs w:val="18"/>
                <w:color w:val="auto"/>
                <w:w w:val="89"/>
              </w:rPr>
              <w:t>64</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November 2002</w:t>
            </w:r>
          </w:p>
        </w:tc>
        <w:tc>
          <w:tcPr>
            <w:tcW w:w="6420" w:type="dxa"/>
            <w:vAlign w:val="bottom"/>
          </w:tcPr>
          <w:p>
            <w:pPr>
              <w:ind w:left="160"/>
              <w:spacing w:after="0"/>
              <w:rPr>
                <w:sz w:val="20"/>
                <w:szCs w:val="20"/>
                <w:color w:val="auto"/>
              </w:rPr>
            </w:pPr>
            <w:r>
              <w:rPr>
                <w:rFonts w:ascii="Arial" w:cs="Arial" w:eastAsia="Arial" w:hAnsi="Arial"/>
                <w:sz w:val="18"/>
                <w:szCs w:val="18"/>
                <w:color w:val="auto"/>
              </w:rPr>
              <w:t>Executive Vice President - Chief Financial Officer</w:t>
            </w:r>
          </w:p>
        </w:tc>
      </w:tr>
      <w:tr>
        <w:trPr>
          <w:trHeight w:val="27"/>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Scott D. Claassen</w:t>
            </w:r>
          </w:p>
        </w:tc>
        <w:tc>
          <w:tcPr>
            <w:tcW w:w="1100" w:type="dxa"/>
            <w:vAlign w:val="bottom"/>
            <w:tcBorders>
              <w:bottom w:val="single" w:sz="8" w:color="CCEEFF"/>
            </w:tcBorders>
            <w:shd w:val="clear" w:color="auto" w:fill="CCEEFF"/>
          </w:tcPr>
          <w:p>
            <w:pPr>
              <w:jc w:val="center"/>
              <w:ind w:left="312"/>
              <w:spacing w:after="0"/>
              <w:rPr>
                <w:sz w:val="20"/>
                <w:szCs w:val="20"/>
                <w:color w:val="auto"/>
              </w:rPr>
            </w:pPr>
            <w:r>
              <w:rPr>
                <w:rFonts w:ascii="Arial" w:cs="Arial" w:eastAsia="Arial" w:hAnsi="Arial"/>
                <w:sz w:val="18"/>
                <w:szCs w:val="18"/>
                <w:color w:val="auto"/>
                <w:w w:val="89"/>
              </w:rPr>
              <w:t>55</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May 2020</w:t>
            </w:r>
          </w:p>
        </w:tc>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Counsel and Secretary</w:t>
            </w:r>
          </w:p>
        </w:tc>
      </w:tr>
      <w:tr>
        <w:trPr>
          <w:trHeight w:val="229"/>
        </w:trPr>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w w:val="97"/>
              </w:rPr>
              <w:t>Executive Vice President - Chief Executive Officer, epay, Software and EFT Asia</w:t>
            </w:r>
          </w:p>
        </w:tc>
      </w:tr>
      <w:tr>
        <w:trPr>
          <w:trHeight w:val="230"/>
        </w:trPr>
        <w:tc>
          <w:tcPr>
            <w:tcW w:w="2140" w:type="dxa"/>
            <w:vAlign w:val="bottom"/>
          </w:tcPr>
          <w:p>
            <w:pPr>
              <w:ind w:left="40"/>
              <w:spacing w:after="0"/>
              <w:rPr>
                <w:sz w:val="20"/>
                <w:szCs w:val="20"/>
                <w:color w:val="auto"/>
              </w:rPr>
            </w:pPr>
            <w:r>
              <w:rPr>
                <w:rFonts w:ascii="Arial" w:cs="Arial" w:eastAsia="Arial" w:hAnsi="Arial"/>
                <w:sz w:val="18"/>
                <w:szCs w:val="18"/>
                <w:color w:val="auto"/>
              </w:rPr>
              <w:t>Kevin J. Caponecchi</w:t>
            </w:r>
          </w:p>
        </w:tc>
        <w:tc>
          <w:tcPr>
            <w:tcW w:w="1100" w:type="dxa"/>
            <w:vAlign w:val="bottom"/>
          </w:tcPr>
          <w:p>
            <w:pPr>
              <w:jc w:val="center"/>
              <w:ind w:left="312"/>
              <w:spacing w:after="0"/>
              <w:rPr>
                <w:sz w:val="20"/>
                <w:szCs w:val="20"/>
                <w:color w:val="auto"/>
              </w:rPr>
            </w:pPr>
            <w:r>
              <w:rPr>
                <w:rFonts w:ascii="Arial" w:cs="Arial" w:eastAsia="Arial" w:hAnsi="Arial"/>
                <w:sz w:val="18"/>
                <w:szCs w:val="18"/>
                <w:color w:val="auto"/>
                <w:w w:val="89"/>
              </w:rPr>
              <w:t>55</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July 2007</w:t>
            </w:r>
          </w:p>
        </w:tc>
        <w:tc>
          <w:tcPr>
            <w:tcW w:w="6420" w:type="dxa"/>
            <w:vAlign w:val="bottom"/>
          </w:tcPr>
          <w:p>
            <w:pPr>
              <w:ind w:left="160"/>
              <w:spacing w:after="0"/>
              <w:rPr>
                <w:sz w:val="20"/>
                <w:szCs w:val="20"/>
                <w:color w:val="auto"/>
              </w:rPr>
            </w:pPr>
            <w:r>
              <w:rPr>
                <w:rFonts w:ascii="Arial" w:cs="Arial" w:eastAsia="Arial" w:hAnsi="Arial"/>
                <w:sz w:val="18"/>
                <w:szCs w:val="18"/>
                <w:color w:val="auto"/>
              </w:rPr>
              <w:t>Pacific Division</w:t>
            </w:r>
          </w:p>
        </w:tc>
      </w:tr>
      <w:tr>
        <w:trPr>
          <w:trHeight w:val="27"/>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Juan C. Bianchi</w:t>
            </w:r>
          </w:p>
        </w:tc>
        <w:tc>
          <w:tcPr>
            <w:tcW w:w="1100" w:type="dxa"/>
            <w:vAlign w:val="bottom"/>
            <w:tcBorders>
              <w:bottom w:val="single" w:sz="8" w:color="CCEEFF"/>
            </w:tcBorders>
            <w:shd w:val="clear" w:color="auto" w:fill="CCEEFF"/>
          </w:tcPr>
          <w:p>
            <w:pPr>
              <w:jc w:val="center"/>
              <w:ind w:left="312"/>
              <w:spacing w:after="0"/>
              <w:rPr>
                <w:sz w:val="20"/>
                <w:szCs w:val="20"/>
                <w:color w:val="auto"/>
              </w:rPr>
            </w:pPr>
            <w:r>
              <w:rPr>
                <w:rFonts w:ascii="Arial" w:cs="Arial" w:eastAsia="Arial" w:hAnsi="Arial"/>
                <w:sz w:val="18"/>
                <w:szCs w:val="18"/>
                <w:color w:val="auto"/>
                <w:w w:val="89"/>
              </w:rPr>
              <w:t>51</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2007</w:t>
            </w:r>
          </w:p>
        </w:tc>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Executive Vice President - Chief Executive Officer, Money Transfer Segment</w:t>
            </w:r>
          </w:p>
        </w:tc>
      </w:tr>
      <w:tr>
        <w:trPr>
          <w:trHeight w:val="229"/>
        </w:trPr>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w w:val="96"/>
              </w:rPr>
              <w:t>Executive Vice President - Chief Executive Officer, EFT Europe, Middle East and</w:t>
            </w:r>
          </w:p>
        </w:tc>
      </w:tr>
      <w:tr>
        <w:trPr>
          <w:trHeight w:val="230"/>
        </w:trPr>
        <w:tc>
          <w:tcPr>
            <w:tcW w:w="2140" w:type="dxa"/>
            <w:vAlign w:val="bottom"/>
          </w:tcPr>
          <w:p>
            <w:pPr>
              <w:ind w:left="40"/>
              <w:spacing w:after="0"/>
              <w:rPr>
                <w:sz w:val="20"/>
                <w:szCs w:val="20"/>
                <w:color w:val="auto"/>
              </w:rPr>
            </w:pPr>
            <w:r>
              <w:rPr>
                <w:rFonts w:ascii="Arial" w:cs="Arial" w:eastAsia="Arial" w:hAnsi="Arial"/>
                <w:sz w:val="18"/>
                <w:szCs w:val="18"/>
                <w:color w:val="auto"/>
              </w:rPr>
              <w:t>Nikos Fountas</w:t>
            </w:r>
          </w:p>
        </w:tc>
        <w:tc>
          <w:tcPr>
            <w:tcW w:w="1100" w:type="dxa"/>
            <w:vAlign w:val="bottom"/>
          </w:tcPr>
          <w:p>
            <w:pPr>
              <w:jc w:val="center"/>
              <w:ind w:left="312"/>
              <w:spacing w:after="0"/>
              <w:rPr>
                <w:sz w:val="20"/>
                <w:szCs w:val="20"/>
                <w:color w:val="auto"/>
              </w:rPr>
            </w:pPr>
            <w:r>
              <w:rPr>
                <w:rFonts w:ascii="Arial" w:cs="Arial" w:eastAsia="Arial" w:hAnsi="Arial"/>
                <w:sz w:val="18"/>
                <w:szCs w:val="18"/>
                <w:color w:val="auto"/>
                <w:w w:val="89"/>
              </w:rPr>
              <w:t>58</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September 2009</w:t>
            </w:r>
          </w:p>
        </w:tc>
        <w:tc>
          <w:tcPr>
            <w:tcW w:w="6420" w:type="dxa"/>
            <w:vAlign w:val="bottom"/>
          </w:tcPr>
          <w:p>
            <w:pPr>
              <w:ind w:left="160"/>
              <w:spacing w:after="0"/>
              <w:rPr>
                <w:sz w:val="20"/>
                <w:szCs w:val="20"/>
                <w:color w:val="auto"/>
              </w:rPr>
            </w:pPr>
            <w:r>
              <w:rPr>
                <w:rFonts w:ascii="Arial" w:cs="Arial" w:eastAsia="Arial" w:hAnsi="Arial"/>
                <w:sz w:val="18"/>
                <w:szCs w:val="18"/>
                <w:color w:val="auto"/>
              </w:rPr>
              <w:t>Africa Division</w:t>
            </w:r>
          </w:p>
        </w:tc>
      </w:tr>
      <w:tr>
        <w:trPr>
          <w:trHeight w:val="27"/>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43"/>
        </w:trPr>
        <w:tc>
          <w:tcPr>
            <w:tcW w:w="2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Martin L. Bruckner</w:t>
            </w:r>
          </w:p>
        </w:tc>
        <w:tc>
          <w:tcPr>
            <w:tcW w:w="110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89"/>
              </w:rPr>
              <w:t>46</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2014</w:t>
            </w: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Vice President - Chief Technology Officer</w:t>
            </w:r>
          </w:p>
        </w:tc>
      </w:tr>
      <w:tr>
        <w:trPr>
          <w:trHeight w:val="27"/>
        </w:trPr>
        <w:tc>
          <w:tcPr>
            <w:tcW w:w="2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MICHAEL J. BROWN, Chairman, Chief Executive Officer and President. Mr. Brown is one of the founders of Euronet and has served as our Chairman of the Board and Chief Executive Officer since 1996, and has served as President since December 2014. He also co-founded our predecessor company in 1994.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155"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the University of Central Missouri.</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jc w:val="both"/>
        <w:spacing w:after="0" w:line="329" w:lineRule="auto"/>
        <w:rPr>
          <w:sz w:val="20"/>
          <w:szCs w:val="20"/>
          <w:color w:val="auto"/>
        </w:rPr>
      </w:pPr>
      <w:r>
        <w:rPr>
          <w:rFonts w:ascii="Arial" w:cs="Arial" w:eastAsia="Arial" w:hAnsi="Arial"/>
          <w:sz w:val="16"/>
          <w:szCs w:val="16"/>
          <w:color w:val="auto"/>
        </w:rPr>
        <w:t>SCOTT D. CLAASSEN, General Counsel and Secretary. Mr. Claassen has been General Counsel and Secretary of Euronet since joining the Company in May 2020. Prior to this, he practiced corporate law with Stinson LLP and Shook, Hardy and Bacon LLP. He is a member of the Kansas and Missouri bars. He received a B.S. in Agriculture from Kansas State University, an MBA from the University of Kansas and a law degree from Harvard Law School.</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KEVIN J. CAPONECCHI, Executive Vice President, Chief Executive Officer, epay, Software and EFT Asia Pacific Division. Mr. Caponecchi joined Euronet in July 2007 and served as President until assuming his current role in December 2014.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 &amp; Industrial, a provider of consumer appliances, lighting products and electrical products. Mr. Caponecchi holds degrees in physics from Franklin and Marshall College and industrial engineering from Columbia University.</w:t>
      </w:r>
    </w:p>
    <w:p>
      <w:pPr>
        <w:spacing w:after="0" w:line="18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JUAN C. BIANCHI, Executive Vice President - Chief Executive Officer, Money Transfer Segment. Mr. Bianchi joined Euronet subsequent to the acquisition of Ria in 2007.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NIKOS FOUNTAS, Executive Vice President - Chief Executive Officer, EFT Europe, Middle East and Africa Division. Mr. Fountas has been Executive Vice President of the Company's EFT Processing Segment in Europe since December 2012. Mr. Fountas joined Euronet subsequent to the Company's 2005 acquisition of Instreamline S.A. (now Euronet Card Services) in Greece. He served as managing director of the Company's Greece EFT subsidiary, responsible for Euronet's European card processing and cross-border acquiring operations until September 2009. In September 2009, Mr. Fountas took over responsibilities as managing director of Euronet's Europe EFT Processing Segment. Prior to joining Euronet, Mr. Fountas spent over 20 years working in management and executive-level positions in the IT field for several companies, including IBM for 12 years. He has a degree in computer science (Honors) from York University in Canada and post graduate studies in business administration from Henley Management School and IBM Business Professional Institute.</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MARTIN L. BRUCKNER, Senior Vice President - Chief Technology Officer. Mr. Bruckner has been Senior Vice President and Chief Technology Officer of Euronet since January 2014. Mr. Bruckner joined Euronet in 2007 as head of software development and IT operations for Transact GmbH. In 2009, he was promoted to Chief Technology Officer of Euronet's epay segment. Prior to joining Euronet, Mr. Bruckner established his own IT company called MLB Development GmbH, where he developed software systems for various European companies. Mr. Bruckner has more than 20 years of software development experience and published his first software product (BBS systems) at the age of 15. He received a Doctorate of Law from the University of Rostock and a law degree from the University of Bielefeld.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Reports, Certain Committee Charters and Other Information</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Website addresses are www.euronetworldwide.com and www.eeft.com. We make available all SEC public filings, including our annual reports on Form 10-K, quarterly reports on Form 10-Q, current reports on Form 8-K, and all amendments to those reports filed or furnished pursuant to Sections 13(a) or 15(d) of the Securities Exchange Act of 1934, as amended ("Exchange Act") on our Websites free of charge as soon as reasonably practicable after these documents are electronically filed with, or furnished to, the SEC. The information on our Websites is not, and shall not be deemed to be, a part of this report or incorporated into any other filings we make with the SEC. In addition, our SEC filings are made available via the SEC's EDGAR filing system accessible at www.sec.gov.</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charters for our Audit, Compensation, and Corporate Governance and Nominating Committees, as well as the Code of Business Conduct &amp; Ethics for our employees, including our Chief Executive Officer and Chief Financial Officer, are available on our Website at www.euronetworldwide.com in the "For Investors" section under "Corporate Governance / Documents and Charters".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spacing w:after="0" w:line="359" w:lineRule="auto"/>
        <w:rPr>
          <w:sz w:val="20"/>
          <w:szCs w:val="20"/>
          <w:color w:val="auto"/>
        </w:rPr>
      </w:pPr>
      <w:r>
        <w:rPr>
          <w:rFonts w:ascii="Arial" w:cs="Arial" w:eastAsia="Arial" w:hAnsi="Arial"/>
          <w:sz w:val="16"/>
          <w:szCs w:val="16"/>
          <w:i w:val="1"/>
          <w:iCs w:val="1"/>
          <w:color w:val="auto"/>
        </w:rPr>
        <w:t>Our operations are subject to a number of risks and uncertainties, including those described below. You should carefully consider the risks described below before making an investment decision. The risks and uncertainties described below are not necessarily organized in order of priority or probability.</w:t>
      </w:r>
    </w:p>
    <w:p>
      <w:pPr>
        <w:spacing w:after="0" w:line="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162" w:lineRule="exact"/>
        <w:rPr>
          <w:sz w:val="20"/>
          <w:szCs w:val="20"/>
          <w:color w:val="auto"/>
        </w:rPr>
      </w:pPr>
    </w:p>
    <w:p>
      <w:pPr>
        <w:jc w:val="both"/>
        <w:spacing w:after="0" w:line="359" w:lineRule="auto"/>
        <w:rPr>
          <w:sz w:val="20"/>
          <w:szCs w:val="20"/>
          <w:color w:val="auto"/>
        </w:rPr>
      </w:pPr>
      <w:r>
        <w:rPr>
          <w:rFonts w:ascii="Arial" w:cs="Arial" w:eastAsia="Arial" w:hAnsi="Arial"/>
          <w:sz w:val="16"/>
          <w:szCs w:val="16"/>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GOVERNMENT AND REGULATION</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Because we are a multinational company conducting a complex business in many markets worldwide, we are subject to legal and operational risks related to </w:t>
      </w:r>
      <w:r>
        <w:rPr>
          <w:rFonts w:ascii="Arial" w:cs="Arial" w:eastAsia="Arial" w:hAnsi="Arial"/>
          <w:sz w:val="18"/>
          <w:szCs w:val="18"/>
          <w:color w:val="auto"/>
        </w:rPr>
        <w:t>a</w:t>
      </w:r>
      <w:r>
        <w:rPr>
          <w:rFonts w:ascii="Arial" w:cs="Arial" w:eastAsia="Arial" w:hAnsi="Arial"/>
          <w:sz w:val="18"/>
          <w:szCs w:val="18"/>
          <w:b w:val="1"/>
          <w:bCs w:val="1"/>
          <w:color w:val="auto"/>
        </w:rPr>
        <w:t xml:space="preserve"> broad array of local legal and regulatory requirements which could adversely affect our operations.</w:t>
      </w:r>
    </w:p>
    <w:p>
      <w:pPr>
        <w:spacing w:after="0" w:line="1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Operating outside of the U.S. creates difficulties associated with our international operations, as well as complying with local legal and regulatory requirements. We operate financial transaction processing networks that offer new products and services to customers, and the laws and regulations in the markets in which we operate evolve and are subject to rapid change. Although we have knowledgeable local staff in countries in which we deem it appropriate, we cannot assure you that we will continue to be found to be operating in compliance with all applicable customs, currency exchange control, data protection, anti-money laundering, sanctions, employment, transfer pricing and other laws or regulations to which we may be subject. We also cannot assure you that these laws will not be modified in ways that may adversely affect our business.</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our epay Segment, as we continue to expand our electronic payment product and service offerings, certain of those products and/or services may become regulated by state, federal or foreign laws, rules and regulations. New payment product and/or service offerings may trigger payment regulation within the jurisdiction in which we are offering such payment products and services which may require licensure for epay and/or our partner entities distributing or processing such products. If such products become more highly regulated and ultimately require licensure, our epay business may be adversely affected. Further, if regulations regarding the expiration of gift vouchers change in the countries where we offer them, the revenue epay recognizes from unredeemed vouchers may be negatively affected.</w:t>
      </w:r>
    </w:p>
    <w:p>
      <w:pPr>
        <w:spacing w:after="0" w:line="204" w:lineRule="exact"/>
        <w:rPr>
          <w:sz w:val="20"/>
          <w:szCs w:val="20"/>
          <w:color w:val="auto"/>
        </w:rPr>
      </w:pPr>
    </w:p>
    <w:p>
      <w:pPr>
        <w:jc w:val="both"/>
        <w:ind w:right="20"/>
        <w:spacing w:after="0" w:line="303" w:lineRule="auto"/>
        <w:rPr>
          <w:sz w:val="20"/>
          <w:szCs w:val="20"/>
          <w:color w:val="auto"/>
        </w:rPr>
      </w:pPr>
      <w:r>
        <w:rPr>
          <w:rFonts w:ascii="Arial" w:cs="Arial" w:eastAsia="Arial" w:hAnsi="Arial"/>
          <w:sz w:val="17"/>
          <w:szCs w:val="17"/>
          <w:color w:val="auto"/>
        </w:rPr>
        <w:t>Our money transfer services are subject to regulation by the U.S. states in which we operate, by the U.S. federal government and the governments of the other countries in which we operate. Changes in the laws, rules and regulations of these governmental entities, and our ability to obtain or retain required licensure, could have a material adverse impact on our results of operations, financial condition and cash flow.</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Additionally, the evolving regulatory environment may change the competitive landscape across various jurisdictions and adversely affect our financial results. If governments implement new laws or regulations, or organizations such as Visa</w:t>
      </w:r>
      <w:r>
        <w:rPr>
          <w:rFonts w:ascii="Arial" w:cs="Arial" w:eastAsia="Arial" w:hAnsi="Arial"/>
          <w:sz w:val="8"/>
          <w:szCs w:val="8"/>
          <w:color w:val="auto"/>
        </w:rPr>
        <w:t>®</w:t>
      </w:r>
      <w:r>
        <w:rPr>
          <w:rFonts w:ascii="Arial" w:cs="Arial" w:eastAsia="Arial" w:hAnsi="Arial"/>
          <w:sz w:val="18"/>
          <w:szCs w:val="18"/>
          <w:color w:val="auto"/>
        </w:rPr>
        <w:t xml:space="preserve"> and Mastercard</w:t>
      </w:r>
      <w:r>
        <w:rPr>
          <w:rFonts w:ascii="Arial" w:cs="Arial" w:eastAsia="Arial" w:hAnsi="Arial"/>
          <w:sz w:val="8"/>
          <w:szCs w:val="8"/>
          <w:color w:val="auto"/>
        </w:rPr>
        <w:t>®</w:t>
      </w:r>
      <w:r>
        <w:rPr>
          <w:rFonts w:ascii="Arial" w:cs="Arial" w:eastAsia="Arial" w:hAnsi="Arial"/>
          <w:sz w:val="18"/>
          <w:szCs w:val="18"/>
          <w:color w:val="auto"/>
        </w:rPr>
        <w:t xml:space="preserve"> issue new rules, that effectively limit our ability to provide DCC or set fees and/or foreign currency exchange spreads, then our business, financial condition and results of operations could be materially and adversely affected. In addition, changes in regulatory interpretations or practices could increase the risk of regulatory enforcement actions, fines and penalties and such changes may be replicated across multiple jurisdictions.</w:t>
      </w:r>
    </w:p>
    <w:p>
      <w:pPr>
        <w:spacing w:after="0" w:line="204"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In March 2018, the E.U. proposed additional regulations on cross border transactions within the E.U., including specific regulations on DCC. In December 2018, the European Commission, European Council and European Parliament agreed to legislation that requires disclosure of foreign exchange margins applicable to DCC transactions and eventual comparability between foreign exchange rates offered by DCC providers and bank card issuers. The new legislation went into effect in April 2020. Such regulation could materially and adversely impact our financial results, by reducing the number of DCC transactions performed over our networks and the level of profit we generate from such transactions.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jc w:val="both"/>
        <w:spacing w:after="0" w:line="311" w:lineRule="auto"/>
        <w:rPr>
          <w:sz w:val="20"/>
          <w:szCs w:val="20"/>
          <w:color w:val="auto"/>
        </w:rPr>
      </w:pPr>
      <w:r>
        <w:rPr>
          <w:rFonts w:ascii="Arial" w:cs="Arial" w:eastAsia="Arial" w:hAnsi="Arial"/>
          <w:sz w:val="16"/>
          <w:szCs w:val="16"/>
          <w:color w:val="auto"/>
        </w:rPr>
        <w:t>The E.U. has passed a regulation called the GDPR that establishes stringent requirements for the collection and processing of personal information of individuals within the E.U. The GDPR came into effect across the E.U. on May 25, 2018. The GDPR established stringent requirements for the collection and processing of personal information of individuals within the E.U., established certain rights of individuals regarding personal information processed by companies as well as requirements for information security and imposed significant fines that may be revenue-based for violation of its requirements. The GDPR applies to transfers of personal information from the E.U. to countries outside the E.U., including the U.S. Any failure on our part to meet the requirements of the GDPR could result in the imposition of fines and penalties that could materially and adversely affect our financial results.</w:t>
      </w:r>
    </w:p>
    <w:p>
      <w:pPr>
        <w:spacing w:after="0" w:line="10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We conduct a significant portion of our business in Central and Eastern European countries, and we have subsidiaries in the Middle East, Asia Pacific, Africa and South America, where the risk of continued political, economic and regulatory change that could impact our operating results is greater than in the U.S. or Western Europe.</w:t>
      </w:r>
    </w:p>
    <w:p>
      <w:pPr>
        <w:spacing w:after="0" w:line="1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have subsidiaries in Central and Eastern Europe, the Middle East, Asia Pacific, Africa and South America. We expect to continue to expand our operations to other countries in these regions. Some of these countries have undergone significant political, economic and social change in recent years and the risk of new, unforeseen changes in these countries remains greater than in the U.S. or Western Europe. Recent changes to the political climate in certain Eastern European countries increases the risk that a potential military conflict may adversely impact our operations in that region and disrupt our ATM network. In particular, changes in laws or regulations or in the interpretation of existing laws or regulations, whether caused by a change in government or otherwise, could materially adversely affect our business, growth, financial condition or results of operations.</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example, currently there are no limitations in any of the countries in which we have subsidiaries on the repatriation of profits from these countries, but foreign currency exchange control restrictions, taxes or limitations may be imposed or tightened in the future with regard to repatriation of earnings and investments from these countries. If exchange control restrictions, taxes or limitations are imposed or tightened, our ability to receive dividends or other payments from affected subsidiaries could be reduced, which may have a material adverse effect on us. As discussed under "Liquidity and Capital Resources" in Item 7 - Management's Discussion and Analysis of Financial Condition and Results of Operations, under existing U.S. tax laws, repatriation of certain assets to the U.S. could have adverse tax consequences.</w:t>
      </w:r>
    </w:p>
    <w:p>
      <w:pPr>
        <w:spacing w:after="0" w:line="204"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We conduct business in many international markets with complex and evolving tax rules, including value added tax rules, which subjects us to international tax compliance risks which could adversely affect our operating results.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 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products and services.</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Additionally, as a result of economic downturns, tax receipts have decreased and/or government spending has increased in many of the countries in which we operate. Consequently, governments may increase tax rates or implement new taxes in order to compensate for gaps between tax revenues and expenditures. Governments may prohibit or restrict the use of certain legal structures designed to minimize taxes. Any such tax increases, whether borne by us or our customers, could negatively impact our operating results or the demand for our products and services.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violations of the U.S. Foreign Corrupt Practices Act or other similar anti-corruption laws.</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operations in countries outside the United States are subject to anti-corruption laws and regulations, including restrictions imposed by the FCPA. The FCPA and similar anti-corruption laws in other jurisdictions, such as the U.K. Bribery Act, generally prohibit companies and their intermediaries from making improper payments to government officials or employees of commercial enterprises for the purpose of obtaining or retaining business. We operate in many parts of the world that have experienced corruption to some degree and, in certain circumstances, strict compliance with anti-corruption laws may conflict with local customs and practices.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jc w:val="both"/>
        <w:spacing w:after="0" w:line="275" w:lineRule="auto"/>
        <w:rPr>
          <w:sz w:val="20"/>
          <w:szCs w:val="20"/>
          <w:color w:val="auto"/>
        </w:rPr>
      </w:pPr>
      <w:r>
        <w:rPr>
          <w:rFonts w:ascii="Arial" w:cs="Arial" w:eastAsia="Arial" w:hAnsi="Arial"/>
          <w:sz w:val="18"/>
          <w:szCs w:val="18"/>
          <w:color w:val="auto"/>
        </w:rPr>
        <w:t>Our employees and agents interact with government officials on our behalf, including as necessary to obtain licenses and other regulatory approvals necessary to operate our business, import or export equipment, employ expatriates and resolve tax disputes. We also have a number of contracts with foreign governments or entities owned or controlled by foreign governments. These interactions and contracts create a risk of violation of the FCPA or other similar laws.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Although we have implemented policies and procedures designed to ensure compliance with local laws and regulations as well as U.S. laws and regulations, including the FCPA, there can be no assurance that all of our employees, consultants, contractors and agents will abide by our policies. If we are found to be liable for violations of the FCPA or similar anti-corruption laws in other jurisdictions, either due to our own or others' acts or inadvertence, we could suffer from criminal or civil penalties which could have a material and adverse effect on our results of operations, financial condition and cash flows.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Our operating results in the money transfer business may be harmed if there are adverse changes in worker immigration patterns, our ability to expand our share of the existing electronic market and to expand into new markets and our ability to continue complying with regulations issued by the OFAC, BSA, FINCEN, USA PATRIOT Act regulations, the Dodd-Frank Act or any other existing or future regulations that impact any aspect of our money transfer business.</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money transfer business primarily focuses on workers who migrate to foreign countries in search of employment and then send a portion of their earnings to family members in their home countries. Changes in U.S. and foreign government policies or enforcement, including changes that have been, or may be, implemented by the U.S. President or Congress, toward immigration may have a negative effect on immigration in the U.S. and other countries, which could also have an adverse impact on our money transfer revenues.</w:t>
      </w:r>
    </w:p>
    <w:p>
      <w:pPr>
        <w:spacing w:after="0" w:line="19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Both U.S. and foreign regulators have become increasingly aggressive in the enforcement of the various regulatory regimes applicable to our businesses and the imposition of fines and penalties in the event of violations. Our ability to continue complying with the requirements of OFAC, BSA, FINCEN, the USA PATRIOT Act, the Dodd-Frank Act and other regulations (both U.S. and foreign) is important to our success in achieving growth and an inability to do this could have an adverse impact on our revenues and earnings. Anti-money laundering, sanctions, and consumer protection regulations require us to be responsible for the compliance by agents with such regulations. Although we have training and compliance programs in place, we cannot be certain our agents will comply with such regulations and we may be held responsible for their failure to comply, resulting in fines and penalties. Future growth and profitability depend upon expansion within the markets in which we currently operate and the development of new markets for our money transfer services. Our expansion into new markets is dependent upon our ability to successfully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SUPPLY CHAIN AND THIRD PARTIES</w:t>
      </w:r>
    </w:p>
    <w:p>
      <w:pPr>
        <w:spacing w:after="0" w:line="239" w:lineRule="exact"/>
        <w:rPr>
          <w:sz w:val="20"/>
          <w:szCs w:val="20"/>
          <w:color w:val="auto"/>
        </w:rPr>
      </w:pPr>
    </w:p>
    <w:p>
      <w:pPr>
        <w:jc w:val="both"/>
        <w:ind w:right="20"/>
        <w:spacing w:after="0" w:line="297" w:lineRule="auto"/>
        <w:rPr>
          <w:sz w:val="20"/>
          <w:szCs w:val="20"/>
          <w:color w:val="auto"/>
        </w:rPr>
      </w:pPr>
      <w:r>
        <w:rPr>
          <w:rFonts w:ascii="Arial" w:cs="Arial" w:eastAsia="Arial" w:hAnsi="Arial"/>
          <w:sz w:val="18"/>
          <w:szCs w:val="18"/>
          <w:b w:val="1"/>
          <w:bCs w:val="1"/>
          <w:color w:val="auto"/>
        </w:rPr>
        <w:t>Because we typically enter into short-term contracts with content providers and retailers, our epay business is subject to the risk of non-renewal of those contracts, or renewal under less favorable terms.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Our contracts with content providers to distribute and process content, including prepaid mobile airtime top-up services, typically have terms of less than three years. Our contracts with content providers are not exclusive, so these providers may enter into contracts with other service providers. In addition, our service contracts with major retailers typically have terms of one to three years. The cancellation or non-renewal of one or more of our significant content provider or retail contracts, or of a large enough group of our contracts with smaller retailers, could have a material adverse effect on our business, financial condition and results of operations. The renewal of contracts under less favorable payment terms, margins or other terms could have a material adverse impact on our working capital requirements and/or results from operations. In addition, our contracts generally permit content providers to reduce our margin or commission at any time. Commission and margin revenue or fee reductions by any of the content providers could also have a material adverse effect on our business, financial condition or results of operations.</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prepaid marketplace is currently experiencing high growth in the differentiation of product offerings. While our epay business is focused on expanding and differentiating its suite of prepaid product offerings on a global basis, there can be no assurance that we will be able to enter into relationships on favorable terms with additional content providers or renew or expand current relationships and contracts on favorable terms. Inability to continue to grow our suite of electronic content and electronic payment product offerings could have a material adverse effect on our business, financial condition and results of operations.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jc w:val="both"/>
        <w:spacing w:after="0" w:line="281" w:lineRule="auto"/>
        <w:rPr>
          <w:sz w:val="20"/>
          <w:szCs w:val="20"/>
          <w:color w:val="auto"/>
        </w:rPr>
      </w:pPr>
      <w:r>
        <w:rPr>
          <w:rFonts w:ascii="Arial" w:cs="Arial" w:eastAsia="Arial" w:hAnsi="Arial"/>
          <w:sz w:val="18"/>
          <w:szCs w:val="18"/>
          <w:b w:val="1"/>
          <w:bCs w:val="1"/>
          <w:color w:val="auto"/>
        </w:rPr>
        <w:t>The stability and growth of our EFT Processing Segment may be adversely affected if we are unable to maintain our current card acceptance and ATM management agreements with banks and international card organizations, and to secure new arrangements for card acceptance and ATM management.</w:t>
      </w:r>
    </w:p>
    <w:p>
      <w:pPr>
        <w:spacing w:after="0" w:line="195"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stability and future growth of our EFT Processing Segment depends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agreements have expiration dates, and banks and international card organizations are generally not obligated to renew them. Our existing contracts generally have terms of five to seven years and a number of them expire or are up for renewal each year. In some cases, banks may terminate their contracts prior to the expiration of their terms. We cannot assure you that we will be able to continue to sign or maintain these agreements on terms and conditions acceptable to us or that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172"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 and any failure by them to provide the required cooperation could result in our inability to obtain settlement of funds relating to transactions.</w:t>
      </w:r>
    </w:p>
    <w:p>
      <w:pPr>
        <w:spacing w:after="0" w:line="19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w:t>
      </w:r>
      <w:r>
        <w:rPr>
          <w:rFonts w:ascii="Arial" w:cs="Arial" w:eastAsia="Arial" w:hAnsi="Arial"/>
          <w:sz w:val="7"/>
          <w:szCs w:val="7"/>
          <w:color w:val="auto"/>
        </w:rPr>
        <w:t>®</w:t>
      </w:r>
      <w:r>
        <w:rPr>
          <w:rFonts w:ascii="Arial" w:cs="Arial" w:eastAsia="Arial" w:hAnsi="Arial"/>
          <w:sz w:val="16"/>
          <w:szCs w:val="16"/>
          <w:color w:val="auto"/>
        </w:rPr>
        <w:t xml:space="preserve"> or Mastercard</w:t>
      </w:r>
      <w:r>
        <w:rPr>
          <w:rFonts w:ascii="Arial" w:cs="Arial" w:eastAsia="Arial" w:hAnsi="Arial"/>
          <w:sz w:val="7"/>
          <w:szCs w:val="7"/>
          <w:color w:val="auto"/>
        </w:rPr>
        <w:t>®</w:t>
      </w:r>
      <w:r>
        <w:rPr>
          <w:rFonts w:ascii="Arial" w:cs="Arial" w:eastAsia="Arial" w:hAnsi="Arial"/>
          <w:sz w:val="16"/>
          <w:szCs w:val="16"/>
          <w:color w:val="auto"/>
        </w:rPr>
        <w:t>) or national transaction processing switching networks. If a bankcard issuer fails to settle transactions in accordance with those rules, we are dependent upon cooperation from such associations or switching networks to enforce our right of settlement against such associations. Failure by such organizations or switches to provide the required cooperation could result in our inability to obtain settlement of funds relating to transactions and adversely affect our business. Moreover, international card associations and issuers of their cards (and, in the case of Visa, member banks) have the ability to change or apply their rules in ways that could negatively impact our business. As an example, DCC is not permitted on certain cards in certain geographic territories, and the scope of such restrictions could be extended. Any such change or application of the rules of international card associations could materially and adversely affect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incur substantial losses if one of the third party depository institutions or financial institutions we use in our operations were to fail.</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As part of our business operations, we maintain cash balances at third party depository institutions. We could incur substantial losses if a financial institution in which we have significant deposits fails.</w:t>
      </w:r>
    </w:p>
    <w:p>
      <w:pPr>
        <w:spacing w:after="0" w:line="18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18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are required under certain national laws and the rules of financial transaction switching networks in many of our markets to have ''sponsors'' to operate ATMs and switch ATM transactions. Our failure to secure ''sponsor'' arrangements in any of our markets that require bank sponsors could prevent us from doing business in that market.</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Under the laws of some countries, only a licensed financial institution may operate ATMs. Because we are not a licensed financial institution outside of the E.U. we are required to have a ''sponsor'' bank to conduct ATM operations in those countries. In addition, in all of our non-E.U. markets, the rules governing national transaction switching networks owned or operated by banks, and other international financial transaction switching networks operated by organizations such as Citibank, Visa</w:t>
      </w:r>
      <w:r>
        <w:rPr>
          <w:rFonts w:ascii="Arial" w:cs="Arial" w:eastAsia="Arial" w:hAnsi="Arial"/>
          <w:sz w:val="8"/>
          <w:szCs w:val="8"/>
          <w:color w:val="auto"/>
        </w:rPr>
        <w:t>®</w:t>
      </w:r>
      <w:r>
        <w:rPr>
          <w:rFonts w:ascii="Arial" w:cs="Arial" w:eastAsia="Arial" w:hAnsi="Arial"/>
          <w:sz w:val="17"/>
          <w:szCs w:val="17"/>
          <w:color w:val="auto"/>
        </w:rPr>
        <w:t xml:space="preserve"> and Mastercard</w:t>
      </w:r>
      <w:r>
        <w:rPr>
          <w:rFonts w:ascii="Arial" w:cs="Arial" w:eastAsia="Arial" w:hAnsi="Arial"/>
          <w:sz w:val="8"/>
          <w:szCs w:val="8"/>
          <w:color w:val="auto"/>
        </w:rPr>
        <w:t>®</w:t>
      </w:r>
      <w:r>
        <w:rPr>
          <w:rFonts w:ascii="Arial" w:cs="Arial" w:eastAsia="Arial" w:hAnsi="Arial"/>
          <w:sz w:val="17"/>
          <w:szCs w:val="17"/>
          <w:color w:val="auto"/>
        </w:rPr>
        <w:t>, require any company sending transactions through these switches to be a bank or a technical service processor that is approved and monitored by a bank. As a result, the operation of our ATM network in many of our markets depends on our ability to secure these ''sponsor'' arrangements with financial institutions.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jc w:val="both"/>
        <w:spacing w:after="0" w:line="329" w:lineRule="auto"/>
        <w:rPr>
          <w:sz w:val="20"/>
          <w:szCs w:val="20"/>
          <w:color w:val="auto"/>
        </w:rPr>
      </w:pPr>
      <w:r>
        <w:rPr>
          <w:rFonts w:ascii="Arial" w:cs="Arial" w:eastAsia="Arial" w:hAnsi="Arial"/>
          <w:sz w:val="16"/>
          <w:szCs w:val="16"/>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any market, we could be prevented from doing business in that market.</w:t>
      </w:r>
    </w:p>
    <w:p>
      <w:pPr>
        <w:spacing w:after="0" w:line="15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rely on third party financial institutions to provide us with a portion of the cash required to operate our ATM networks in certain countries. If these institutions were unable or unwilling to provide us with the cash necessary to operate our ATM networks, we would be required to locate additional alternative sources of cash to operate these networks.</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our EFT Processing Segment, we primarily rely on third party financial institutions in certain countries in Europe and Asia Pacific to provide us with the cash required to operate our ATM networks. Under our agreements with these providers, we pay fees or interest, which is generally variable and could increase, based on the total amount of cash we are using from such provider at a given time, as well as other costs such as bank fees and cash transportation costs. As of December 31, 2021, the amount of cash used in our ATM networks under these supply agreements was approximately $558.1 million. Before the cash is disbursed to ATM customers, beneficial ownership of the cash is generally retained by the cash providers, and we have no access or proprietary rights to the cash.</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existing agreements with cash providers are generally multi-year agreements that expire at various times. However, each provider may have the right to demand the return of all or any portion of its cash at any time upon the occurrence of certain events beyond our control, including certain bankruptcy events affecting us or our subsidiaries, or a breach of the terms of our cash provider agreements.</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If any of our cash supply providers were to demand return of their cash or terminate their agreements with us and remove their cash from our ATM devices, or if they fail to provide us with the cash our operations require, our ability to operate the ATM networks to which the provider supplies cash would be jeopardized, and we would need to locate additional alternative sources of cash, including, potentially the increased use of our own cash. Under those circumstances, the terms and conditions of the new or renewed agreements could potentially be less favorable to us, which would negatively impact our results of operations. Furthermore, restrictions on our access to cash to supply our ATMs could severely restrict our ability to keep our ATMs operating, which could subject us to performance penalties under our contracts with our customers.</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encountered difficulty in obtaining cash supply arrangements in certain of our markets, including Greece, and directly provide cash for our ATM transactions in those markets. While the amounts involved are currently well within our capabilities given our cash flows and available financing, any failure to renew a major cash supply arrangement could require that we commit significant financial resources to the supply of cash to our ATM networks, which could adversely impact our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and correspondent networks, our business may be adversely affected.</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consumer-to-consumer money transfer based revenues are primarily generated through the use of our agent and correspondent networks.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CORPORATE GROWTH STRATEGIES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from risks related to acquisitions and potential future acquisitions.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 substantial portion of our growth has been due to acquisitions, and we continue to evaluate and engage in discussions concerning potential acquisition opportunities, some of which could be material. We cannot assure you that we will be able to successfully integrate, or otherwise realize anticipated benefits from, our recent acquisitions or any future acquisitions. Failure to successfully integrate or otherwise realize the anticipated benefits of these acquisitions could adversely impact our long-term competitiveness and profitability. The integration of any future acquisitions will involve a number of risks that could harm our financial condition, results of operations and competitive position. In particular: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jc w:val="both"/>
        <w:ind w:left="540"/>
        <w:spacing w:after="0" w:line="223" w:lineRule="auto"/>
        <w:rPr>
          <w:sz w:val="20"/>
          <w:szCs w:val="20"/>
          <w:color w:val="auto"/>
        </w:rPr>
      </w:pPr>
      <w:r>
        <w:rPr>
          <w:rFonts w:ascii="Arial" w:cs="Arial" w:eastAsia="Arial" w:hAnsi="Arial"/>
          <w:sz w:val="18"/>
          <w:szCs w:val="18"/>
          <w:color w:val="auto"/>
        </w:rPr>
        <w:t>The integration plans for our acquisitions are based on benefits that involve assumptions as to future events, including our ability to successfully achieve anticipated synergies, leveraging our existing relationships, as well as general business and industry conditions, many of which are beyond our control and may not materialize. Unforeseen factors may offset components of our integration plans in whole or in part. As a result, our actual results may vary considerably, or be considerably delayed, compared to our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-440055</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19" w:lineRule="auto"/>
        <w:rPr>
          <w:sz w:val="20"/>
          <w:szCs w:val="20"/>
          <w:color w:val="auto"/>
        </w:rPr>
      </w:pPr>
      <w:r>
        <w:rPr>
          <w:rFonts w:ascii="Arial" w:cs="Arial" w:eastAsia="Arial" w:hAnsi="Arial"/>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-321310</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440"/>
        <w:spacing w:after="0" w:line="219" w:lineRule="auto"/>
        <w:rPr>
          <w:sz w:val="20"/>
          <w:szCs w:val="20"/>
          <w:color w:val="auto"/>
        </w:rPr>
      </w:pPr>
      <w:r>
        <w:rPr>
          <w:rFonts w:ascii="Arial" w:cs="Arial" w:eastAsia="Arial" w:hAnsi="Arial"/>
          <w:sz w:val="18"/>
          <w:szCs w:val="18"/>
          <w:color w:val="auto"/>
        </w:rPr>
        <w:t>The execution of our integration plans may divert the attention of our management from other key responsibilities; We may assume unanticipated liabilities and contingencies;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-201295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-81280</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acquisition targets could fail to perform in accordance with our expectations at the time of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-93345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Future acquisitions may be effected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 Certain factors on which our ability to expand each of our divisions is dependent are set forth at Item 7, Management's Discussion and Analysis of Financial Condition and Results of Operations - Opportunities and Challenges. If any of such factors impede our ability to expand our businesses, our results of operations and financial condition could be materially and adversely affected.</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 which may adversely affect our results of operations.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Transaction fees from banks, customers and international card organizations for transactions processed on our ATMs have historically accounted for a substantial portion of our revenues. These fees are set by agreement among all banks in a particular market. The future operating results of our ATM business depend on the following factors:</w:t>
      </w:r>
    </w:p>
    <w:p>
      <w:pPr>
        <w:spacing w:after="0" w:line="127" w:lineRule="exact"/>
        <w:rPr>
          <w:sz w:val="20"/>
          <w:szCs w:val="20"/>
          <w:color w:val="auto"/>
        </w:rPr>
      </w:pPr>
    </w:p>
    <w:p>
      <w:pPr>
        <w:ind w:left="480" w:hanging="29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acceptance of our ATM processing and management services in our target markets;</w:t>
      </w:r>
    </w:p>
    <w:p>
      <w:pPr>
        <w:ind w:left="480" w:hanging="292"/>
        <w:spacing w:after="0" w:line="203"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maintenance of the level of transaction fees we receive;</w:t>
      </w:r>
    </w:p>
    <w:p>
      <w:pPr>
        <w:ind w:left="480" w:hanging="292"/>
        <w:spacing w:after="0" w:line="219"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use of our ATMs by credit and debit cardholders; and</w:t>
      </w:r>
    </w:p>
    <w:p>
      <w:pPr>
        <w:ind w:left="480" w:hanging="29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revenues from interchange fees and from other value added services, including dynamic currency conversion.</w:t>
      </w:r>
    </w:p>
    <w:p>
      <w:pPr>
        <w:spacing w:after="0" w:line="35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a significant portion of our revenues in many markets from interchange fees, surcharges or cash withdrawal related services that are set by the central ATM processing switch or various card organizations. The banks that participate in these switches or the card organizations that enable the services or transactions set the interchange fee and/or establish the rules regarding the services allowed, and we are not in a position in any market to greatly influence these fees or rules, which may change over time. A significant decrease in the interchange fee, or limitations placed on our ability to offer value added services via our ATM network, in any market could adversely affect our results in that market.</w:t>
      </w:r>
    </w:p>
    <w:p>
      <w:pPr>
        <w:spacing w:after="0" w:line="206"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including new value added services, to the sets of transactions that are available on our ATMs. However, we may not be successful in materially increasing transaction levels through these measures. Per-transaction fees paid by international card organizations have declined in certain markets in the past and competitive factors have required us to reduce the transaction fees we charge customers. If we cannot continue to increase our transaction levels and per-transaction fees generally decline, our results would be adversely affected.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If consumer confidence in our business or brands declines, our business may be adversely affected.</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business relies on customer confidence in our brands and our ability to provide efficient and reliable products and services across each of our segments. For our Money Transfer division, a decline in customer confidence in our business or brands, or in traditional money transfer providers as a means to transfer money, may adversely impact transaction volumes which would, in turn, be expected to adversely impact our business and possibly result in recording charges for the impairment of goodwill and/or other long-lived assets.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CAPITAL MARKETS AND ECONOMIC CONDITIONS</w:t>
      </w:r>
    </w:p>
    <w:p>
      <w:pPr>
        <w:spacing w:after="0" w:line="13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The outbreak of COVID-19 (coronavirus) has negatively impacted and could continue to negatively impact the global economy. In addition, the COVID-19 pandemic could disrupt or otherwise negatively impact global credit markets and our operations, including the demand for our products and services.</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significant outbreak of COVID-19 has resulted in a widespread health crisis, which has negatively impacted and could continue to negatively impact the global economy. In addition, the global and regional impact of the outbreak, including official or unofficial quarantines and governmental restrictions on activities taken in response to such event, has had, and could continue to have a negative impact on our operations, reduced consumer demand for our products and services due to reduced consumer traffic in, or closure of, retail and other locations where our products and services are offered, including voluntary or mandatory temporary closures of our facilities or those of our agents or customers; interruptions in our supply chain, which could impact the cost or availability of equipment; disruptions or restrictions on our ability to travel or to market and distribute our products and services; and labor shortages.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For example, the COVID-19 pandemic has resulted in travel restrictions within and between countries, including mandatory quarantine requirements for travelers from certain locations, and varying degrees of social distancing orders in most of the countries where we do business. Although the majority of these orders went into effect in early 2020, new orders continue to be implemented, or reinstated, as the pandemic spreads around the global and new variants emerge. These travel restrictions and orders, as well as increased unemployment and general economic uncertainty caused by the pandemic, have negatively impacted our financial results. The EFT operating segment has experienced declines in DCC and surcharge transaction volumes as the factors noted above have reduced these high-margin transactions on our network of ATMs. For the epay and Money Transfer operating segments, the disruption in business of the retailers and agents that offer our services and products may adversely affect their ability to remain in business and/or timely remit payments owed to us. All of these factors, in turn, may not only impact our operations, financial condition and demand for our products and services but our overall ability to react timely to mitigate the impact of this event.</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COVID-19 outbreak could disrupt or otherwise negatively impact credit markets, which could adversely affect the availability and cost of capital. Such impacts could limit our ability to fund our operations and satisfy our obligations.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extent and potential impact of the COVID-19 outbreak on our operational and financial performance will depend on future developments, including the duration, severity and spread of the virus, the effectiveness of vaccines and treatments against variants of the virus, actions that may be taken by governmental authorities and the impact on our supply chain, customers, operations, workforce and the financial markets, all of which are highly uncertain and cannot be predicted. These and other potential impacts of an epidemic, pandemic or other health crisis, such as COVID-19, could therefore materially and adversely affect our business,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25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A recessionary economic environment in any of our markets or other outside factors could have a negative impact on banks, mobile phone operators, content providers, retailers and our individual customers and could reduce the level of transactions in all of our divisions, which would, in turn, negatively impact our financial results. If banks, mobile phone operators and content providers experience decreased demand for their products and services, or if the locations where we provide services decrease in number, we will process fewer transactions, resulting in lower revenues. In addition, a recessionary economic environment could reduce the level of transactions taking place on our networks, which will have a negative impact on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 w:name="page28"/>
    <w:bookmarkEnd w:id="27"/>
    <w:p>
      <w:pPr>
        <w:jc w:val="both"/>
        <w:spacing w:after="0" w:line="308" w:lineRule="auto"/>
        <w:rPr>
          <w:sz w:val="20"/>
          <w:szCs w:val="20"/>
          <w:color w:val="auto"/>
        </w:rPr>
      </w:pPr>
      <w:r>
        <w:rPr>
          <w:rFonts w:ascii="Arial" w:cs="Arial" w:eastAsia="Arial" w:hAnsi="Arial"/>
          <w:sz w:val="16"/>
          <w:szCs w:val="16"/>
          <w:color w:val="auto"/>
        </w:rPr>
        <w:t>Our experience is that the level of transactions on our networks is also subject to substantial seasonal variation. In the EFT Processing Segment, mostly in Europe, we usually experience our heaviest demand for dynamic currency conversion during the third quarter of the fiscal year, coinciding with the tourism season in Europe. As a result, our revenues earned in the third quarter of the year will usually be greater than other quarters of the fiscal year. Additionally, transaction levels have consistently been higher in the fourth quarter of the fiscal year due to increased use of ATMs, prepaid products and money transfer services during the holiday season. Generally, the level of transactions drops in the first quarter, during which transaction levels are generally the lowest we experience during the year, which reduces the level of revenues that we record. In the Money Transfer Segment, we experience increased transaction levels during the May through October time frame, coinciding with certain holidays and the increase in worker migration patterns. As a result of these seasonal variations, our quarterly operating results may fluctuate materially and could lead to volatility in the price of our shares.</w:t>
      </w:r>
    </w:p>
    <w:p>
      <w:pPr>
        <w:spacing w:after="0" w:line="31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Additionally, economic or political instability, wars, civil unrest, terrorism, epidemics and natural disasters may make money transfers to, from or within a particular country more difficult. The inability to timely complete money transfers could adversely affect our business.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Economic cycles may lead us to recognize impairment charges related to long-lived assets and goodwill recorded in connection with our acquisitions, which would adversely impact our results of operations. Our total assets include approximately $739.4 million, or 16% of total assets, in goodwill and acquired intangible assets recorded as a result of acquisitions. We assess our goodwill, intangible assets and other long-lived assets as and when required by accounting principles generally accepted in the U.S. to determine whether they are impaired. We have had material impairment write-downs of goodwill and acquired intangible assets in the past and we may have additional impairment write-downs in the future. If operating results in any of our key markets, including Australia, Germany, Greece, Malaysia, India, New Zealand, the U.S., U.K., Poland and Romania, deteriorate or our plans do not progress as expected when we acquired these entities, or if capital markets depress our value or that of similar companies, we may be required to record additional impairment write-downs of goodwill, intangible assets or other long-lived assets. This could have a material adverse effect on our results of operations and financial condition.</w:t>
      </w:r>
    </w:p>
    <w:p>
      <w:pPr>
        <w:spacing w:after="0" w:line="203" w:lineRule="exact"/>
        <w:rPr>
          <w:sz w:val="20"/>
          <w:szCs w:val="20"/>
          <w:color w:val="auto"/>
        </w:rPr>
      </w:pPr>
    </w:p>
    <w:p>
      <w:pPr>
        <w:jc w:val="both"/>
        <w:spacing w:after="0" w:line="365" w:lineRule="auto"/>
        <w:rPr>
          <w:sz w:val="20"/>
          <w:szCs w:val="20"/>
          <w:color w:val="auto"/>
        </w:rPr>
      </w:pPr>
      <w:r>
        <w:rPr>
          <w:rFonts w:ascii="Arial" w:cs="Arial" w:eastAsia="Arial" w:hAnsi="Arial"/>
          <w:sz w:val="16"/>
          <w:szCs w:val="16"/>
          <w:b w:val="1"/>
          <w:bCs w:val="1"/>
          <w:color w:val="auto"/>
        </w:rPr>
        <w:t>We have a substantial amount of debt and other contractual commitments, and while the cost of servicing those obligations is not expected to adversely affect our business, the risk could increase if we incur more debt. We may be required to prepay our obligations under the credit facility.</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2021, total liabilities were $3,488.8 million, of which $1,420.1 million represents long-term debt obligations, and total assets were $4,744.3 million.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including ATM network cash, which we may not be able to obtain. The level of our indebtedness could have important consequences to investors, including the following:</w:t>
      </w:r>
    </w:p>
    <w:p>
      <w:pPr>
        <w:spacing w:after="0" w:line="272" w:lineRule="exact"/>
        <w:rPr>
          <w:sz w:val="20"/>
          <w:szCs w:val="20"/>
          <w:color w:val="auto"/>
        </w:rPr>
      </w:pPr>
    </w:p>
    <w:p>
      <w:pPr>
        <w:ind w:left="620" w:right="320" w:hanging="314"/>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pacing w:after="0" w:line="8" w:lineRule="exact"/>
        <w:rPr>
          <w:rFonts w:ascii="Arial" w:cs="Arial" w:eastAsia="Arial" w:hAnsi="Arial"/>
          <w:sz w:val="18"/>
          <w:szCs w:val="18"/>
          <w:color w:val="auto"/>
        </w:rPr>
      </w:pPr>
    </w:p>
    <w:p>
      <w:pPr>
        <w:ind w:left="620" w:right="300" w:hanging="314"/>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portion of our cash flows must be dedicated to the payment of principal and interest on our indebtedness and other obligations and will not be available for use in our business;</w:t>
      </w:r>
    </w:p>
    <w:p>
      <w:pPr>
        <w:spacing w:after="0" w:line="8" w:lineRule="exact"/>
        <w:rPr>
          <w:rFonts w:ascii="Arial" w:cs="Arial" w:eastAsia="Arial" w:hAnsi="Arial"/>
          <w:sz w:val="18"/>
          <w:szCs w:val="18"/>
          <w:color w:val="auto"/>
        </w:rPr>
      </w:pPr>
    </w:p>
    <w:p>
      <w:pPr>
        <w:ind w:left="620" w:hanging="314"/>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level of indebtedness could limit our flexibility in planning for, or reacting to, changes in our business and the markets in which we operate;</w:t>
      </w:r>
    </w:p>
    <w:p>
      <w:pPr>
        <w:spacing w:after="0" w:line="86" w:lineRule="exact"/>
        <w:rPr>
          <w:rFonts w:ascii="Arial" w:cs="Arial" w:eastAsia="Arial" w:hAnsi="Arial"/>
          <w:sz w:val="16"/>
          <w:szCs w:val="16"/>
          <w:color w:val="auto"/>
        </w:rPr>
      </w:pPr>
    </w:p>
    <w:p>
      <w:pPr>
        <w:ind w:left="620" w:right="400" w:hanging="314"/>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level of indebtedness will make us more vulnerable to changes in general economic conditions and/or a downturn in our business, thereby making it more difficult for us to satisfy our obligations; and</w:t>
      </w:r>
    </w:p>
    <w:p>
      <w:pPr>
        <w:spacing w:after="0" w:line="8" w:lineRule="exact"/>
        <w:rPr>
          <w:rFonts w:ascii="Arial" w:cs="Arial" w:eastAsia="Arial" w:hAnsi="Arial"/>
          <w:sz w:val="18"/>
          <w:szCs w:val="18"/>
          <w:color w:val="auto"/>
        </w:rPr>
      </w:pPr>
    </w:p>
    <w:p>
      <w:pPr>
        <w:ind w:left="620" w:right="340" w:hanging="314"/>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a portion of our debt bears interest at a variable rate of interest, our actual debt service obligations could increase as a result of adverse changes in interest rates.</w:t>
      </w:r>
    </w:p>
    <w:p>
      <w:pPr>
        <w:spacing w:after="0" w:line="34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jc w:val="both"/>
        <w:spacing w:after="0" w:line="272" w:lineRule="auto"/>
        <w:rPr>
          <w:sz w:val="20"/>
          <w:szCs w:val="20"/>
          <w:color w:val="auto"/>
        </w:rPr>
      </w:pPr>
      <w:r>
        <w:rPr>
          <w:rFonts w:ascii="Arial" w:cs="Arial" w:eastAsia="Arial" w:hAnsi="Arial"/>
          <w:sz w:val="18"/>
          <w:szCs w:val="18"/>
          <w:color w:val="auto"/>
        </w:rPr>
        <w:t>Restrictive covenants in our credit facilities may adversely affect us. Our Credit Facility (as defined below) contains two financial covenants that we must meet as defined in the agreement: (1) Consolidated Total Leverage Ratio, and (2) Consolidated Interest Coverage Ratio. To remain in compliance with our debt covenants, we may be required to increase Earnings Before Interest, Taxes, Depreciation and Amortization ("EBITDA"), repay debt, or both. We cannot assure you that we will have sufficient assets, liquidity or EBITDA to meet or avoid these obligations, which could have an adverse impact on our financial condition.</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ability to secure additional financing for growth or to refinance any of our existing debt is also dependent upon the availability of credit in the marketplace, which has experienced severe disruptions in the past. If we are unable to secure additional financing or such financing is not available at acceptable terms, we may be unable to secure financing for growth or refinance our debt obligations, if necessary.</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8"/>
          <w:szCs w:val="18"/>
          <w:b w:val="1"/>
          <w:bCs w:val="1"/>
          <w:color w:val="auto"/>
        </w:rPr>
        <w:t>Because we derive our revenues from a multitude of countries with different currencies, our business may be adversely affected by local inflation and foreign currency exchange rates and policies.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report our results in U.S. dollars, although a majority of our income is realized in foreign currencies. As exchange rates among the U.S. dollar, the euro, and other currencies fluctuate, the impact of these fluctuations may have a material adverse effect on our results of operations or financial condition as reported in U.S. dollars.</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 significant number of our ATMs are located in countries in the European Union that use the euro. From time to time, some of these countries, have considered leaving the European Union and adopting another currency. If such an event were to occur, the conversion of cash that we hold in banks and in our ATM network in that country from euros to another currency could have an adverse effect on our financial condition or results of operations, either from initial conversion or from subsequent changes in currency exchange rates. The magnitude of this risk increases when cash balances in our ATM network increase during the tourism season.</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or in an online account and we typically deliver funds denominated in a different, destination country currency. Although we use foreign currency derivative contracts to mitigate a portion of this risk, we cannot eliminate all of the exposure to the impact of changes in foreign currency exchange rates for the period between collection and disbursement of the money transfers.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CYBER, PHYSICAL ASSET, AND DATA SECURITY</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8"/>
          <w:szCs w:val="18"/>
          <w:b w:val="1"/>
          <w:bCs w:val="1"/>
          <w:color w:val="auto"/>
        </w:rPr>
        <w:t>Our business may be adversely affected if recent developments to applicable data protection regulations in the European Union require us to cease the transfer of personal data from the European Union to the United States.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July 2020, the European Court of Justice invalidated the EU-US Privacy Shield as a lawful mechanism for transferring personal data to the US as a result of concerns related to surveillance by law enforcement agencies and a lack of judicial redress by individuals in the EU (known as the “Schrems II” decision). Euronet has relied on an alternate mechanism of personal data transfer, called the Standard Contractual Clauses (“SCCs”), since the enforcement of GDPR in 2018. In November 2020, the European Data Protection Board issued a series of recommendations regarding supplementary measures to the SCCs, which Euronet is currently implementing. Our money transfer business relies on the transfer of personal data of individuals in the EU to the US to enable payment of money remittance transactions to beneficiaries through our correspondent network. If we are unable to transfer personal data from the EU to the US or other countries where we operate, then it could affect the manner in which we provide our services and adversely affect our financial results.</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networks and telecommunications connections, significant technical disruptions to these systems would adversely affect our revenues and financial results.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Our business involves the operation and maintenance of sophisticated computer networks and telecommunications connections with financial institutions, mobile phone operators, other content providers, retailers and agents. This, in turn, requires the maintenance of computer equipment and infrastructure, including telecommunications and electrical systems, and the integration and enhancement of complex software applications. There are operational risks inherent in this type of business that can result in the temporary shutdown of part or all of our processing systems, such as failure of electrical supply, failure of computer hardware, security breaches and software errors. Any operational problem in our processing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jc w:val="both"/>
        <w:ind w:right="20"/>
        <w:spacing w:after="0" w:line="297" w:lineRule="auto"/>
        <w:rPr>
          <w:sz w:val="20"/>
          <w:szCs w:val="20"/>
          <w:color w:val="auto"/>
        </w:rPr>
      </w:pPr>
      <w:r>
        <w:rPr>
          <w:rFonts w:ascii="Arial" w:cs="Arial" w:eastAsia="Arial" w:hAnsi="Arial"/>
          <w:sz w:val="18"/>
          <w:szCs w:val="18"/>
          <w:b w:val="1"/>
          <w:bCs w:val="1"/>
          <w:color w:val="auto"/>
        </w:rPr>
        <w:t>We are subject to security breaches of our systems. Any such breach may cause us to incur financial losses, liability, harm to our reputation, litigation, regulatory enforcement actions and limitations on our ability to conduct our businesses.</w:t>
      </w:r>
    </w:p>
    <w:p>
      <w:pPr>
        <w:spacing w:after="0" w:line="18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capture, transmit, handle and store sensitive information in conducting and managing electronic, financial and mobile transactions, such as card information, PIN numbers and personal information of various types. These businesses involve certain inherent security risks, in particular: the risk of electronic interception and theft of the information for use in fraudulent or other card transactions by persons outside the Company, including third party vendors or by our own employees; and the use of fraudulent cards on our network of owned or outsourced ATMs and POS devices.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decreases security risks, they cannot be eliminated entirely as criminal elements apply increasingly sophisticated technology to attempt to obtain unauthorized access to the information handled by ATM, money transfer and electronic financial transaction networks. Our services and infrastructure are increasingly reliant on the Internet. Computer networks and the Internet are vulnerable to unauthorized access, computer viruses and other disruptive problems such as denial of service attacks or other cyber-attacks carried out by cyber criminals or state-sponsored actors. Other potential attacks include attempts to obtain unauthorized access to confidential information or destroy data, often through the introduction of computer viruses, ransomware or malware, cyber-attacks and other means, which are constantly evolving and difficult to detect. Those same parties may also attempt to fraudulently induce employees, customers, vendors, or other users of our systems through phishing schemes or other methods to disclose sensitive information in order to gain access to our data or that of our customers or clients. In addition, the cost and timeframes required for implementation of new technology may result in a time lag between availability of such technology and our adoption of it. Further, our controls, procedures and technology may not be able to detect when there is a breach, causing a delay in our ability to mitigate it. As previously disclosed in our SEC filings, we have been the subject of computer security breaches, and we cannot exclude the possibility of additional breaches in the future.</w:t>
      </w:r>
    </w:p>
    <w:p>
      <w:pPr>
        <w:spacing w:after="0" w:line="14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limits that may leave us bearing some or all of any losses arising from security breaches.</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also collect, transfer and retain personal data as part of our money transfer business. These activities are subject to certain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customer information. Under state, federal and foreign laws requiring consumer notification of security breaches, the costs to remediate security breaches can be substantial. Breaches of our security policies or applicable legal requirements resulting in a compromise of customer data could expose us to regulatory enforcement action, subject us to litigation, limit our ability to provide money transfer services and/or cause harm to our reputation.</w:t>
      </w:r>
    </w:p>
    <w:p>
      <w:pPr>
        <w:spacing w:after="0" w:line="206"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In addition to electronic fraud issues and breaches of our systems, the possible theft and vandalism of ATMs or cash in the ATMs present risks for our ATM business. We install ATMs at high-traffic sites and consequently our ATMs are exposed to theft and vandalism, and to attacks whereby the security of the ATM is breached electronically by transmitting a command to the ATM to dispense cash without a card being present. We constantly monitor ATM security and take measures to protect our systems from such attacks and other breaches, but we cannot be certain that our measures will be effective against new, rapidly developing methods used by criminal elements. Although we are insured against such risks, deductibles, exclusions or limitations in such insurance may leave us bearing some or all of any losses arising from theft or vandalism of ATMs or loss of cash due to security breaches of our ATM networks. In addition, we have experienced increases in claims under our insurance, which has increased our insurance premiums.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Failures of third-party service providers we rely upon could lead to financial loss.</w:t>
      </w:r>
    </w:p>
    <w:p>
      <w:pPr>
        <w:spacing w:after="0" w:line="1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rely on third party service providers to support key portions of our operations. We also rely on third party service providers to provide part or all of certain services we deliver to customers. While we have selected these third-party vendors carefully, we do not control their actions. A failure of these services by a third party could have a material impact upon our delivery of services to customers. Such a failure could lead to damage claims, loss of customers, and reputational harm, depending on the duration and severity of the failure. Third parties perform significant operational services on our behalf. These third-party vendors are subject to similar risks as us relating to cybersecurity, breakdowns or failures of their own systems or employees. One or more of our vendors may experience a cybersecurity event or operational disruption and, if any such event does occur, it may not be adequately addressed, either operationally or financially, by the third-party vendor. Certain of our vendors may have limited indemnification obligations or may not have the financial capacity to satisfy their indemnification obligations. If a critical vendor is unable to meet our needs in a timely manner or if the services or products provided by such a vendor are terminated or otherwise delayed and if we are not able to develop alternative sources for these services and products quickly and cost-effectively, our customers could be negatively impacted and it could have a material adverse effect on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COMPETITIVE LANDSCAPE</w:t>
      </w:r>
    </w:p>
    <w:p>
      <w:pPr>
        <w:spacing w:after="0" w:line="25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Our competition in the EFT Processing Segment, epay Segment and Money Transfer Segment includes large, well-financed companies and financial institutions larger than us with earlier entry into the market. As a result, we may lack the financial resources and access to capital needed to capture increased market share.</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 xml:space="preserve">EFT Processing Segment </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do,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18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i w:val="1"/>
          <w:iCs w:val="1"/>
          <w:color w:val="auto"/>
        </w:rPr>
        <w:t xml:space="preserve">epay Segment </w:t>
      </w:r>
      <w:r>
        <w:rPr>
          <w:rFonts w:ascii="Arial" w:cs="Arial" w:eastAsia="Arial" w:hAnsi="Arial"/>
          <w:sz w:val="17"/>
          <w:szCs w:val="17"/>
          <w:color w:val="auto"/>
        </w:rPr>
        <w:t>- We face competition in the epay business in all of our markets. A few multinational companies operate in several of our markets, and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therefore compete with them in a number of countries. In other markets, our competition is from smaller, local companies. Major retailers with high volumes are in a position to demand a larger share of margin/commissions or to negotiate directly with the content providers, which may compress our margins. Additionally, certain of our content providers, including mobile phone operators have entered into direct contracts with retailers and/or have developed processing technology that diminishes or eliminates the need for intermediate processors and distributors.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Money Transfer Segment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primary competitors in the money transfer and bill payment business include other large money transfer companies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electronic money transmitters, as well as certain major national and regional banks, financial institutions and independent sales organizations. Our competitors include The Western Union Company and MoneyGram International Inc. The Western Union Company has a significant competitive advantage due to its greater resources and access to capital for expansion.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web-based services and digital currencies. Our continued growth depends upon our ability to compete effectively with these alternative technologies.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Developments in payments could materially reduce our transaction levels and revenues.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Certain developments in the field of payments may reduce the need for ATMs, prepaid product POS terminals and money transfer agents. An example of this type of development is the use of near field technology in retail transactions, which if widely accepted in a market reduces the need for cash and can negatively impact the level of ATM transactions in that market. Advances in biometric payment solutions could have similar adverse impacts.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mobile phone industry is a rapidly evolving area, in which technological developments, in particular the development of new billing models and distribution methods or services, may affect the demand for other services in a dramatic way. The development of any new models or technology that reduce the need or demand for prepaid mobile airtime could materially and adversely affect our business.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8"/>
          <w:szCs w:val="18"/>
          <w:b w:val="1"/>
          <w:bCs w:val="1"/>
          <w:color w:val="auto"/>
        </w:rPr>
        <w:t>Competition in our EFT Processing Segment has increased over the last several years, increasing the risk that certain of our long-term bank outsourcing contracts may be terminated or not renewed upon expiration.</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GOVERNANCE MATTERS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Various provisions of our certificate of incorporation and bylaws and of Delaware corporate law may discourage, delay or prevent a change in control or takeover attempt of our company by a third party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116" w:lineRule="exact"/>
        <w:rPr>
          <w:sz w:val="20"/>
          <w:szCs w:val="20"/>
          <w:color w:val="auto"/>
        </w:rPr>
      </w:pPr>
    </w:p>
    <w:p>
      <w:pPr>
        <w:ind w:left="540"/>
        <w:spacing w:after="0" w:line="258" w:lineRule="auto"/>
        <w:rPr>
          <w:sz w:val="20"/>
          <w:szCs w:val="20"/>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classification of our directors into three classes with respect to the time for which they hold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7"/>
          <w:szCs w:val="17"/>
          <w:color w:val="auto"/>
        </w:rPr>
        <w:t>supermajority voting requirements to amend the provision in our certificate of incorporation providing for the classification of our directors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-84455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three such classes;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non-cumulative voting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860"/>
        <w:spacing w:after="0" w:line="281" w:lineRule="auto"/>
        <w:rPr>
          <w:sz w:val="20"/>
          <w:szCs w:val="20"/>
          <w:color w:val="auto"/>
        </w:rPr>
      </w:pPr>
      <w:r>
        <w:rPr>
          <w:rFonts w:ascii="Arial" w:cs="Arial" w:eastAsia="Arial" w:hAnsi="Arial"/>
          <w:sz w:val="16"/>
          <w:szCs w:val="16"/>
          <w:color w:val="auto"/>
        </w:rPr>
        <w:t>control by our board of directors of the size of our board of directors; limitations on the ability of stockholders to call special meetings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-97155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an exclusive forum bylaw provision for all internal corporate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7"/>
          <w:szCs w:val="17"/>
          <w:color w:val="auto"/>
        </w:rPr>
        <w:t>Additionally, we are authorized to issue up to a total of 90 million shares of common stock, potentially diluting equity ownership of current holders and the share price of our common stock. 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use in additional stock incentive programs and (iv) other bona fide purposes. Our Board of Directors may issue the available authorized shares of common stock without notice to, or further action by, our stockholders, unless stockholder approval is required by law or the rules of the Nasdaq Global Select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An additional 13.5 million shares of common stock, representing approximately 26% of the shares outstanding as of December 31, 2021,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2021, we had 4.3 million and 0.5 million options and restricted stock awards outstanding, respectively, held by our directors, officers and employees, which entitle these holders to acquire an equal number of shares of our common stock. Of this amount, 1.5 million options are vested and exercisable as of December 31, 2021. Approximately 5.8 million additional shares of our common stock may be issued in connection with our stock incentive and employee stock purchase plans. Accordingly, based on current trading prices of our common stock, approximately 2.0 million shares could potentially be added to our total current common stock outstanding through the exercise of options and the vesting of restricted stock awards, which could adversely impact the trading price for our stock.</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Of the 4.8 million total options and restricted stock awards outstanding, an aggregate of 2.0 million options and restricted stock awards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award arrangements would be freely tradable in the public market. Over the course of time, all of the issued shares have the potential to be publicly traded, perhaps in large blocks.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Upon the occurrence of certain events, another 2.8 million shares of common stock could be issued upon conversion of the Company's convertible notes issued in March 2019; in certain situations, the number of shares issuable could be higher. While we have stated that we intend to settle any conversion of these notes by issuing cash for the principal value of the notes and issuing shares of common stock for the conversion value in excess of the principal, which would significantly reduce the number of shares issued upon conversion, if our financial condition significantly and adversely changes, we may not be able to settle as intended should the notes be converted.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KEY PERSONNEL</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8"/>
          <w:szCs w:val="18"/>
          <w:b w:val="1"/>
          <w:bCs w:val="1"/>
          <w:color w:val="auto"/>
        </w:rPr>
        <w:t>Retaining the founder and key executives of our company, and of companies that we acquire, and finding and retaining qualified personnel is important to our continued success, and any inability to attract and retain such personnel could harm our operations.</w:t>
      </w:r>
    </w:p>
    <w:p>
      <w:pPr>
        <w:spacing w:after="0" w:line="140"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development and implementation of our strategy has depended in large part on the co-founder of our company, Michael J. Brown. The retention of Mr. Brown is important to our continued success. In addition, the success of the expansion of businesses that we acquire may depend in large part upon the retention of the founders or leaders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executive offices are located in Leawood, Kansas. As of December 31, 2021, we also have 36 principal offices in Europe, 14 in Asia Pacific, 10 in North America, three in the Middle East, two in South America and one in Africa. Our office leases generally provide for initial terms ranging from two to twelve years.</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processing centers for the EFT Processing Segment are located in Germany, Hungary, India, China, and Pakistan. Processing centers we operate for the epay Segment are located in the U.K., Germany, Italy, and the U.S. Our processing centers for the Money Transfer Segment are located in the U.S., the U.K., New Zealand, and Malaysia.</w:t>
      </w:r>
    </w:p>
    <w:p>
      <w:pPr>
        <w:spacing w:after="0" w:line="1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All of our processing centers are leased and have off-site real time backup processing centers that are capable of providing full or partial processing services in the event of failure of the primary processing centers.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discussion regarding litigation in Part II, Item 8 - Financial Statements and Supplementary Data and Note 19, Litigation and Contingencies, to the Consolidated Financial Statements included elsewhere in this report is incorporated herein by reference.</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Currently, there are no legal or regulatory proceedings that management believes, either individually or in the aggregate, would have a material adverse effect upon the Consolidated Financial Statements of the Company. In accordance with U.S. Generally Accepted Accounting Principles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rFonts w:ascii="Arial" w:cs="Arial" w:eastAsia="Arial" w:hAnsi="Arial"/>
          <w:sz w:val="18"/>
          <w:szCs w:val="18"/>
          <w:b w:val="1"/>
          <w:bCs w:val="1"/>
          <w:color w:val="auto"/>
        </w:rPr>
        <w:t xml:space="preserve">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$0.02 par value per share, is quoted on the Nasdaq Global Select Market under the symbol EEFT.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Since our inception, no dividends have been paid on our common stock. We do not intend to distribute dividends for the foreseeable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5"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At December 31, 2021, we had 51 stockholders of record of our Common Stock, and none of our Preferred Stock was outstanding. This figure does not include an estimate of the indeterminate number of beneficial holders whose shares may be held of record by brokerage firms and clearing agencies.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Private Placements and Issuances of Equity</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During 2021, we did not issue any equity securities that were not registered under the Securities Act of 1933, which have not been previously reported in a Quarterly Report on Form 10-Q or a Current Report on Form 8-K.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following graph compares Euronet Worldwide Inc.’s annual percentage change in cumulative total return on common shares over the past five years with the cumulative total return of companies comprising the Nasdaq Composite index and the Nasdaq US Benchmark Financial Services TR Index. This presentation assumes that $100 was invested in shares of the relevant issuers on December 31, 2016, and that dividends received were immediately invested in additional shares. The graph plots the value of the initial $100 investment at one-year intervals for the fiscal years shown. The Nasdaq Composite index replaces the CRSP Nasdaq Stock Market (US Companies) Index and the Nasdaq US Benchmark Financial Services TR Index replaces the CRSP Nasdaq Financial Index in this analysis and going forward, as the CRSP Index data is no longer accessible. The CRSP indexes have been included with data through 2020.</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92710</wp:posOffset>
            </wp:positionV>
            <wp:extent cx="4286250" cy="2177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8625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Refer to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Note 16, Stock Plans, and Part III, Item 12, </w:t>
      </w:r>
      <w:r>
        <w:rPr>
          <w:rFonts w:ascii="Arial" w:cs="Arial" w:eastAsia="Arial" w:hAnsi="Arial"/>
          <w:sz w:val="18"/>
          <w:szCs w:val="18"/>
          <w:i w:val="1"/>
          <w:iCs w:val="1"/>
          <w:color w:val="auto"/>
        </w:rPr>
        <w:t>Security Ownership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Beneficial Owners and Management and Related Stockholder Matters, </w:t>
      </w:r>
      <w:r>
        <w:rPr>
          <w:rFonts w:ascii="Arial" w:cs="Arial" w:eastAsia="Arial" w:hAnsi="Arial"/>
          <w:sz w:val="18"/>
          <w:szCs w:val="18"/>
          <w:color w:val="auto"/>
        </w:rPr>
        <w:t>for information related to our equity compensation plans.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Stock Repurchases</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provides information with respect to shares of the Company's Common Stock that were purchased during the three months ended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Maximum Dollar Value of</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2"/>
                <w:szCs w:val="12"/>
                <w:color w:val="auto"/>
              </w:rPr>
            </w:pPr>
          </w:p>
        </w:tc>
        <w:tc>
          <w:tcPr>
            <w:tcW w:w="17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Average Price Paid per</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7"/>
              </w:rPr>
              <w:t>Share</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Programs (in thousands) (1)</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 October 31, 2021</w:t>
            </w: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November 1 - November 30, 2021</w:t>
            </w:r>
          </w:p>
        </w:tc>
        <w:tc>
          <w:tcPr>
            <w:tcW w:w="150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110.56</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139,435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 December 31, 2021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117.20</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322,236</w:t>
            </w:r>
          </w:p>
        </w:tc>
        <w:tc>
          <w:tcPr>
            <w:tcW w:w="0" w:type="dxa"/>
            <w:vAlign w:val="bottom"/>
          </w:tcPr>
          <w:p>
            <w:pPr>
              <w:spacing w:after="0"/>
              <w:rPr>
                <w:sz w:val="1"/>
                <w:szCs w:val="1"/>
                <w:color w:val="auto"/>
              </w:rPr>
            </w:pPr>
          </w:p>
        </w:tc>
      </w:tr>
      <w:tr>
        <w:trPr>
          <w:trHeight w:val="257"/>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8"/>
        <w:spacing w:after="0" w:line="296"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February 26, 2020, the Company put a repurchase program in place to repurchase up to $250 million in value, but not more than 5.0 million shares of common stock through February 28, 2022. On December 8, 2021, the Company put a repurchase program in place to repurchase up to $300 million in value, but not more than 5.0 million shares of common stock through December 8, 2023. Repurchases under the programs may take place in the open market or in privately negotiated transactions, including derivative transactions, and may be made under a Rule 10b5-1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rFonts w:ascii="Arial" w:cs="Arial" w:eastAsia="Arial" w:hAnsi="Arial"/>
          <w:sz w:val="18"/>
          <w:szCs w:val="18"/>
          <w:b w:val="1"/>
          <w:bCs w:val="1"/>
          <w:color w:val="auto"/>
        </w:rPr>
        <w:t xml:space="preserve"> Reserved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rFonts w:ascii="Arial" w:cs="Arial" w:eastAsia="Arial" w:hAnsi="Arial"/>
          <w:sz w:val="18"/>
          <w:szCs w:val="18"/>
          <w:b w:val="1"/>
          <w:bCs w:val="1"/>
          <w:color w:val="auto"/>
        </w:rPr>
        <w:t xml:space="preserve"> Management's Discussion and Analysis of Financial Condition and Results of Operations</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accompanying notes included elsewhere in this Annual Report on Form 10-K. This section of this Form 10-K generally discusses 2021 and 2020 items and year-to-year comparisons between 2021 and 2020. Discussions of 2019 items and year-to-year comparisons between 2020 and 2019 that are not included in this Form 10-K can be found in "Management's Discussion and Analysis of Financial Condition and Results of Operations" in Part II, Item 7 of our Annual Report on Form 10-K for the fiscal year ended December 31, 2020.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75"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color w:val="auto"/>
        </w:rPr>
        <w:t>Euronet is a leading electronic payments provider. We offer payment and transaction processing and distribution solutions to financial institutions, retailers, service providers and individual consumers. Our primary product offerings include comprehensive ATM,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359" w:lineRule="exact"/>
        <w:rPr>
          <w:sz w:val="20"/>
          <w:szCs w:val="20"/>
          <w:color w:val="auto"/>
        </w:rPr>
      </w:pPr>
    </w:p>
    <w:p>
      <w:pPr>
        <w:jc w:val="both"/>
        <w:ind w:firstLine="8"/>
        <w:spacing w:after="0" w:line="272" w:lineRule="auto"/>
        <w:tabs>
          <w:tab w:leader="none" w:pos="1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42,713 ATMs and approximately 438,000 POS terminals across Europe, the Middle East, Africa, Asia Pacific, and the United States. We provide comprehensive electronic payment solutions consisting of ATM cash withdrawal and deposit services, ATM network participation, outsourced ATM and POS management solutions, credit, debit and prepaid card outsourcing, DCC, and other value added services. Through this segment, we also offer a suite of integrated electronic financial transaction software solutions for electronic payment and transaction delivery systems.</w:t>
      </w:r>
    </w:p>
    <w:p>
      <w:pPr>
        <w:spacing w:after="0" w:line="204" w:lineRule="exact"/>
        <w:rPr>
          <w:rFonts w:ascii="Arial" w:cs="Arial" w:eastAsia="Arial" w:hAnsi="Arial"/>
          <w:sz w:val="18"/>
          <w:szCs w:val="18"/>
          <w:color w:val="auto"/>
        </w:rPr>
      </w:pPr>
    </w:p>
    <w:p>
      <w:pPr>
        <w:jc w:val="both"/>
        <w:ind w:firstLine="8"/>
        <w:spacing w:after="0" w:line="329" w:lineRule="auto"/>
        <w:tabs>
          <w:tab w:leader="none" w:pos="19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epay Segment, which provides distribution, processing and collection services for prepaid mobile airtime and other electronic content. We operate a network of approximately 775,000 POS terminals providing electronic processing of prepaid mobile airtime top-up services and other electronic content in Europe, the Middle East, Asia Pacific, the United States and South America. We also provide vouchers and physical gift fulfillment services in Europe.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p>
      <w:pPr>
        <w:jc w:val="both"/>
        <w:ind w:firstLine="8"/>
        <w:spacing w:after="0" w:line="269" w:lineRule="auto"/>
        <w:tabs>
          <w:tab w:leader="none" w:pos="22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Money Transfer Segment, which provides global consumer-to-consumer money transfer services, primarily under the brand names Ria, IME, AFEX, and xe and global account-to-account money transfer services under the brand name xe. We offer services under the brand names Ria and IME through a network of sending agents, Company-owned stores (primarily in North America, Europe and Malaysia) and our websites (riamoneytransfer.com and online.imeremit.com), disbursing money transfers through a worldwide correspondent network that includes approximately 510,000 locations. xe is a provider of foreign currency exchange information and offers money transfer services on its currency data websites (xe.com and x-rates.com).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xe brand, we offer cash management solutions and foreign currency risk management services to small-to-medium-sized businesses.</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14 in Asia Pacific, 10 in North America, three in the Middle East, two in South America and one in Africa. Our executive offices are located in Leawood, Kansas, USA. With approximately 73% of our revenues denominated in currencies other than the U.S. dollar, any significant changes in foreign currency exchange rates will likely have a significant impact on our results of operations (for a further discussion, see Item 1A - Risk Factors and Item 7A - Quantitative and Qualitative Disclosures About Market Risk).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14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20% of total consolidated revenues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2021,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34% of total consolidated revenues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as compared with other electronic products has decreased over time, and digital media content now produces approximately 70% of epay Segment revenues. Other electronic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Money Transfer Segment </w:t>
      </w:r>
      <w:r>
        <w:rPr>
          <w:rFonts w:ascii="Arial" w:cs="Arial" w:eastAsia="Arial" w:hAnsi="Arial"/>
          <w:sz w:val="16"/>
          <w:szCs w:val="16"/>
          <w:color w:val="auto"/>
        </w:rPr>
        <w:t>— Revenues in the Money Transfer Segment, which represented approximately 46% of total consolidated revenues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2021,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and xe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jc w:val="both"/>
        <w:spacing w:after="0" w:line="269" w:lineRule="auto"/>
        <w:rPr>
          <w:sz w:val="20"/>
          <w:szCs w:val="20"/>
          <w:color w:val="auto"/>
        </w:rPr>
      </w:pPr>
      <w:r>
        <w:rPr>
          <w:rFonts w:ascii="Arial" w:cs="Arial" w:eastAsia="Arial" w:hAnsi="Arial"/>
          <w:sz w:val="18"/>
          <w:szCs w:val="18"/>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2026.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global product markets 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p>
    <w:p>
      <w:pPr>
        <w:spacing w:after="0" w:line="204" w:lineRule="exact"/>
        <w:rPr>
          <w:sz w:val="20"/>
          <w:szCs w:val="20"/>
          <w:color w:val="auto"/>
        </w:rPr>
      </w:pPr>
    </w:p>
    <w:p>
      <w:pPr>
        <w:jc w:val="both"/>
        <w:ind w:firstLine="8"/>
        <w:spacing w:after="0" w:line="299" w:lineRule="auto"/>
        <w:tabs>
          <w:tab w:leader="none" w:pos="19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EFT Processing Segment opportunities include physical expansion into target markets, developing value added products or services, increasing high value DCC and surcharge transactions and efficiently leveraging our portfolio of software solutions. Our opportunities are dependent on renewing and expanding our card acceptance, ATM and POS management and outsourcing, cash supply and other commercial agreements with customers and financial institutions. Operational challenges in the EFT Processing Segment include obtaining and maintaining the required licenses and sponsorship agreements in</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markets in which we operate and navigating frequently changing rules imposed by international card organizations, such as Visa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Mastercard</w:t>
      </w:r>
      <w:r>
        <w:rPr>
          <w:rFonts w:ascii="Arial" w:cs="Arial" w:eastAsia="Arial" w:hAnsi="Arial"/>
          <w:sz w:val="28"/>
          <w:szCs w:val="28"/>
          <w:color w:val="auto"/>
          <w:vertAlign w:val="superscript"/>
        </w:rPr>
        <w:t>®</w:t>
      </w:r>
      <w:r>
        <w:rPr>
          <w:rFonts w:ascii="Arial" w:cs="Arial" w:eastAsia="Arial" w:hAnsi="Arial"/>
          <w:sz w:val="17"/>
          <w:szCs w:val="17"/>
          <w:color w:val="auto"/>
        </w:rPr>
        <w:t>, that govern ATM interchange fees, direct access fees and other restrictions. Our profitability is dependent on the laws and regulations that govern DCC transactions, specifically in the E.U., as well as the laws and regulations of each country that we operate in that may impact the volume of cross-border and cross-currency transactions. The timing and amount of revenues in the EFT Processing Segment is uncertain and unpredictable due to inherent limitations in managing our estate of ATMs, which is dependent on contracts that cover large numbers of ATMs, which are complicated by legal and regulatory considerations of local countries, as well as our customers' decisions whether to outsource ATMs.</w:t>
      </w:r>
    </w:p>
    <w:p>
      <w:pPr>
        <w:spacing w:after="0" w:line="211" w:lineRule="exact"/>
        <w:rPr>
          <w:sz w:val="20"/>
          <w:szCs w:val="20"/>
          <w:color w:val="auto"/>
        </w:rPr>
      </w:pPr>
    </w:p>
    <w:p>
      <w:pPr>
        <w:jc w:val="both"/>
        <w:ind w:firstLine="8"/>
        <w:spacing w:after="0" w:line="287" w:lineRule="auto"/>
        <w:tabs>
          <w:tab w:leader="none" w:pos="19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epay Segment opportunities include renewing existing and negotiating new agreements in target markets in which we operate, primarily with mobile operators, digital content providers, financial institutions and retailers. The overall growth rate in the prepaid mobile phone and digital media content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jc w:val="both"/>
        <w:spacing w:after="0" w:line="308" w:lineRule="auto"/>
        <w:rPr>
          <w:sz w:val="20"/>
          <w:szCs w:val="20"/>
          <w:color w:val="auto"/>
        </w:rPr>
      </w:pPr>
      <w:r>
        <w:rPr>
          <w:rFonts w:ascii="Arial" w:cs="Arial" w:eastAsia="Arial" w:hAnsi="Arial"/>
          <w:sz w:val="16"/>
          <w:szCs w:val="16"/>
          <w:color w:val="auto"/>
        </w:rPr>
        <w:t>3)The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 segments and our penetration into high growth money transfer corridors. The challenges inherit in these opportunities include maintaining compliance with all regulatory requirements, maintaining all required 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 and the money transfer markets can significantly impact our ability to grow the number of transactions on our network.</w:t>
      </w:r>
    </w:p>
    <w:p>
      <w:pPr>
        <w:spacing w:after="0" w:line="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8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outbreak of the COVID-19 (coronavirus) pandemic has resulted in varying degrees of border and business closures, travel restrictions and other social distancing orders in most of the countries where we operate during the years ended December 31, 2021 and 2020. These types of orders were first put into effect in the first half of 2020. As the number and rate of new cases has fluctuated in various locations around the global, the closures, restrictions and other social distancing orders have been modified, rescinded and/or re-imposed. Although vaccines for COVID-19 are widely available in the U.S. and the European Union, their availability is still limited in many parts of the world where we operate. In addition, the rate of acceptance and long term effectiveness of the vaccines, especially against new variants, are still unknown. The EFT Segment has experienced declines in certain transaction volumes due to these restrictions, especially high-margin cross-border transactions. The epay Segment has experienced the impacts of consumer movement restrictions in certain markets, while other markets have been positively impacted where we have a higher mix of digital distribution or a higher concentration of retailers that are deemed essential and have remained open during the pandemic. The Money Transfer Segment continues to be impacted by the pandemic-related restrictions in certain markets that limit customers' ability to access our network of company-owned stores and agents.</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response to the COVID-19 pandemic driven impacts, we implemented several key measures to offset the impact across the business, including re-negotiating certain third party contracts, reducing travel and decreasing capital expenditures.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Operating Income For The Years Ended December 31, 2021 a</w:t>
      </w:r>
      <w:r>
        <w:rPr>
          <w:rFonts w:ascii="Arial" w:cs="Arial" w:eastAsia="Arial" w:hAnsi="Arial"/>
          <w:sz w:val="18"/>
          <w:szCs w:val="18"/>
          <w:color w:val="auto"/>
        </w:rPr>
        <w:t>nd</w:t>
      </w:r>
      <w:r>
        <w:rPr>
          <w:rFonts w:ascii="Arial" w:cs="Arial" w:eastAsia="Arial" w:hAnsi="Arial"/>
          <w:sz w:val="18"/>
          <w:szCs w:val="18"/>
          <w:b w:val="1"/>
          <w:bCs w:val="1"/>
          <w:color w:val="auto"/>
        </w:rPr>
        <w:t xml:space="preserve"> 2020</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Revenues</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Operating Income (Expense)</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591,138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468,726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(66,711)</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epay</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1,011,482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835,517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123,037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96,678</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1,400,957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1,183,849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119,595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59,709</w:t>
            </w:r>
          </w:p>
        </w:tc>
        <w:tc>
          <w:tcPr>
            <w:tcW w:w="0" w:type="dxa"/>
            <w:vAlign w:val="bottom"/>
          </w:tcPr>
          <w:p>
            <w:pPr>
              <w:spacing w:after="0"/>
              <w:rPr>
                <w:sz w:val="1"/>
                <w:szCs w:val="1"/>
                <w:color w:val="auto"/>
              </w:rPr>
            </w:pPr>
          </w:p>
        </w:tc>
      </w:tr>
      <w:tr>
        <w:trPr>
          <w:trHeight w:val="250"/>
        </w:trPr>
        <w:tc>
          <w:tcPr>
            <w:tcW w:w="4300" w:type="dxa"/>
            <w:vAlign w:val="bottom"/>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3,003,577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2,488,092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242,131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89,676</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(43,054)</w:t>
            </w:r>
          </w:p>
        </w:tc>
        <w:tc>
          <w:tcPr>
            <w:tcW w:w="0" w:type="dxa"/>
            <w:vAlign w:val="bottom"/>
          </w:tcPr>
          <w:p>
            <w:pPr>
              <w:spacing w:after="0"/>
              <w:rPr>
                <w:sz w:val="1"/>
                <w:szCs w:val="1"/>
                <w:color w:val="auto"/>
              </w:rPr>
            </w:pPr>
          </w:p>
        </w:tc>
      </w:tr>
      <w:tr>
        <w:trPr>
          <w:trHeight w:val="237"/>
        </w:trPr>
        <w:tc>
          <w:tcPr>
            <w:tcW w:w="4300" w:type="dxa"/>
            <w:vAlign w:val="bottom"/>
          </w:tcPr>
          <w:p>
            <w:pPr>
              <w:ind w:left="380"/>
              <w:spacing w:after="0"/>
              <w:rPr>
                <w:sz w:val="20"/>
                <w:szCs w:val="20"/>
                <w:color w:val="auto"/>
              </w:rPr>
            </w:pPr>
            <w:r>
              <w:rPr>
                <w:rFonts w:ascii="Arial" w:cs="Arial" w:eastAsia="Arial" w:hAnsi="Arial"/>
                <w:sz w:val="18"/>
                <w:szCs w:val="18"/>
                <w:color w:val="auto"/>
              </w:rPr>
              <w:t>Total</w:t>
            </w:r>
          </w:p>
        </w:tc>
        <w:tc>
          <w:tcPr>
            <w:tcW w:w="19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2,995,443</w:t>
            </w:r>
          </w:p>
        </w:tc>
        <w:tc>
          <w:tcPr>
            <w:tcW w:w="100" w:type="dxa"/>
            <w:vAlign w:val="bottom"/>
          </w:tcPr>
          <w:p>
            <w:pPr>
              <w:spacing w:after="0"/>
              <w:rPr>
                <w:sz w:val="20"/>
                <w:szCs w:val="20"/>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2,482,700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184,016</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46,622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3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Summary</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annual consolidated revenues increased by 21% for 2021 compared to 2020. The increase in revenues for 2021 was primarily due to the easing of COVID-19 related travel restrictions in 2021 compared to 2020, which led to an increase in demand for DCC, domestic and international surcharge and other value added services in our EFT Processing Segment as well as growth in the number of money transfers processed by the core Ria business and the number of transactions processed by our epay subsidiaries.</w:t>
      </w:r>
    </w:p>
    <w:p>
      <w:pPr>
        <w:spacing w:after="0" w:line="11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Our annual consolidated operating income increased by 295% for 2021 compared to 2020. The increase in operating income for 2021 was primarily due to the increases in transaction volume across all three segments and corresponding increase in revenues, a $106.6 million decrease in non-cash impairment of goodwill and acquired intangible assets, partially offset by a $38.6 million increase in non-cash impairment of contract assets, and increases in stock-based compensation and selling general and administrative expenses.</w:t>
      </w:r>
    </w:p>
    <w:p>
      <w:pPr>
        <w:spacing w:after="0" w:line="12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Net income attributable to Euronet for 2021 was $70.7 million, or $1.32 per diluted share compared to a net loss to Euronet for 2020 of $3.4 million, or $0.06 per diluted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Considering the results by country and the associated functional currency, our 2021 consolidated operating income was approximately 2.1% higher due to changes in foreign currency exchange rates when compared to 2020. If significant, in our discussion we will refer to the impact of fluctuations in foreign currency exchange rates in our comparison of operating segment results.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during 2021 and 2020, of the currencies of the countries in which we have our most significant operations: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4"/>
              </w:rPr>
              <w:t>Average Translation Rate Year Ended</w:t>
            </w:r>
          </w:p>
        </w:tc>
        <w:tc>
          <w:tcPr>
            <w:tcW w:w="1420" w:type="dxa"/>
            <w:vAlign w:val="bottom"/>
          </w:tcPr>
          <w:p>
            <w:pPr>
              <w:spacing w:after="0"/>
              <w:rPr>
                <w:sz w:val="14"/>
                <w:szCs w:val="14"/>
                <w:color w:val="auto"/>
              </w:rPr>
            </w:pPr>
          </w:p>
        </w:tc>
      </w:tr>
      <w:tr>
        <w:trPr>
          <w:trHeight w:val="192"/>
        </w:trPr>
        <w:tc>
          <w:tcPr>
            <w:tcW w:w="35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rPr>
              <w:t>2021 Increase</w:t>
            </w:r>
          </w:p>
        </w:tc>
      </w:tr>
      <w:tr>
        <w:trPr>
          <w:trHeight w:val="209"/>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Currency</w:t>
            </w:r>
          </w:p>
        </w:tc>
        <w:tc>
          <w:tcPr>
            <w:tcW w:w="3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4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Percent</w:t>
            </w: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0.7513</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0.6904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British pound</w:t>
            </w:r>
          </w:p>
        </w:tc>
        <w:tc>
          <w:tcPr>
            <w:tcW w:w="37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1.3755</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1.2835</w:t>
            </w: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0.7979</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0.7464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euro</w:t>
            </w:r>
          </w:p>
        </w:tc>
        <w:tc>
          <w:tcPr>
            <w:tcW w:w="37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1.1830</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1.1412</w:t>
            </w: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Hungarian forint</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0.0033</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0.0033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Indian rupee</w:t>
            </w:r>
          </w:p>
        </w:tc>
        <w:tc>
          <w:tcPr>
            <w:tcW w:w="37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0.0135</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0.0135</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Malaysian ringgit</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0.2415</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0.2383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New Zealand dollar</w:t>
            </w:r>
          </w:p>
        </w:tc>
        <w:tc>
          <w:tcPr>
            <w:tcW w:w="37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0.7073</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0.6504</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0.2595</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0.2571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3500" w:type="dxa"/>
            <w:vAlign w:val="bottom"/>
          </w:tcPr>
          <w:p>
            <w:pPr>
              <w:spacing w:after="0"/>
              <w:rPr>
                <w:sz w:val="24"/>
                <w:szCs w:val="24"/>
                <w:color w:val="auto"/>
              </w:rPr>
            </w:pPr>
          </w:p>
        </w:tc>
        <w:tc>
          <w:tcPr>
            <w:tcW w:w="3460" w:type="dxa"/>
            <w:vAlign w:val="bottom"/>
          </w:tcPr>
          <w:p>
            <w:pPr>
              <w:jc w:val="right"/>
              <w:ind w:right="115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350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Comparison of Operating Results For The Years Ended December 31, 2021 and 2020 - By Operating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operations for our EFT Processing Segment for the years ended December 31, 2021 and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2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0"/>
              </w:rPr>
              <w:t>Increase (Decrease)</w:t>
            </w:r>
          </w:p>
        </w:tc>
        <w:tc>
          <w:tcPr>
            <w:tcW w:w="100" w:type="dxa"/>
            <w:vAlign w:val="bottom"/>
          </w:tcPr>
          <w:p>
            <w:pPr>
              <w:spacing w:after="0"/>
              <w:rPr>
                <w:sz w:val="13"/>
                <w:szCs w:val="13"/>
                <w:color w:val="auto"/>
              </w:rPr>
            </w:pPr>
          </w:p>
        </w:tc>
        <w:tc>
          <w:tcPr>
            <w:tcW w:w="13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2"/>
              </w:rPr>
              <w:t>Increase (Decrease)</w:t>
            </w:r>
          </w:p>
        </w:tc>
        <w:tc>
          <w:tcPr>
            <w:tcW w:w="0" w:type="dxa"/>
            <w:vAlign w:val="bottom"/>
          </w:tcPr>
          <w:p>
            <w:pPr>
              <w:spacing w:after="0"/>
              <w:rPr>
                <w:sz w:val="1"/>
                <w:szCs w:val="1"/>
                <w:color w:val="auto"/>
              </w:rPr>
            </w:pPr>
          </w:p>
        </w:tc>
      </w:tr>
      <w:tr>
        <w:trPr>
          <w:trHeight w:val="192"/>
        </w:trPr>
        <w:tc>
          <w:tcPr>
            <w:tcW w:w="5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591,138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468,726</w:t>
            </w:r>
          </w:p>
        </w:tc>
        <w:tc>
          <w:tcPr>
            <w:tcW w:w="3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122,412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3"/>
        </w:trPr>
        <w:tc>
          <w:tcPr>
            <w:tcW w:w="57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354,254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0"/>
        </w:trPr>
        <w:tc>
          <w:tcPr>
            <w:tcW w:w="578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98,584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7,058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0"/>
        </w:trPr>
        <w:tc>
          <w:tcPr>
            <w:tcW w:w="578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3"/>
                <w:szCs w:val="23"/>
                <w:color w:val="auto"/>
              </w:rPr>
            </w:pPr>
          </w:p>
        </w:tc>
        <w:tc>
          <w:tcPr>
            <w:tcW w:w="1300" w:type="dxa"/>
            <w:vAlign w:val="bottom"/>
          </w:tcPr>
          <w:p>
            <w:pPr>
              <w:jc w:val="right"/>
              <w:ind w:right="14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90,969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84,025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591,639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535,437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56,202</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7"/>
        </w:trPr>
        <w:tc>
          <w:tcPr>
            <w:tcW w:w="5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Operating loss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(66,711)</w:t>
            </w:r>
          </w:p>
        </w:tc>
        <w:tc>
          <w:tcPr>
            <w:tcW w:w="3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Transactions processed (millions)</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Active ATMs as of December 31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2"/>
        </w:trPr>
        <w:tc>
          <w:tcPr>
            <w:tcW w:w="5780" w:type="dxa"/>
            <w:vAlign w:val="bottom"/>
          </w:tcPr>
          <w:p>
            <w:pPr>
              <w:ind w:left="180"/>
              <w:spacing w:after="0"/>
              <w:rPr>
                <w:sz w:val="20"/>
                <w:szCs w:val="20"/>
                <w:color w:val="auto"/>
              </w:rPr>
            </w:pPr>
            <w:r>
              <w:rPr>
                <w:rFonts w:ascii="Arial" w:cs="Arial" w:eastAsia="Arial" w:hAnsi="Arial"/>
                <w:sz w:val="18"/>
                <w:szCs w:val="18"/>
                <w:color w:val="auto"/>
              </w:rPr>
              <w:t>Average active ATMs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9"/>
        </w:trPr>
        <w:tc>
          <w:tcPr>
            <w:tcW w:w="5780" w:type="dxa"/>
            <w:vAlign w:val="bottom"/>
          </w:tcPr>
          <w:p>
            <w:pPr>
              <w:spacing w:after="0" w:line="189" w:lineRule="exact"/>
              <w:rPr>
                <w:sz w:val="20"/>
                <w:szCs w:val="20"/>
                <w:color w:val="auto"/>
              </w:rPr>
            </w:pPr>
            <w:r>
              <w:rPr>
                <w:rFonts w:ascii="Arial" w:cs="Arial" w:eastAsia="Arial" w:hAnsi="Arial"/>
                <w:sz w:val="18"/>
                <w:szCs w:val="18"/>
                <w:color w:val="auto"/>
              </w:rPr>
              <w:t>_________________</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n/m: not meaningful</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EFT Processing Segment total revenues were $591.1 million for the year ended December 31, 2021, an increase of $122.4 million or 26% compared to the same period in 2020. Beginning in the late first quarter of 2020, the COVID-19 related government-imposed border and business closures, travel restrictions and other orders significantly reduced tourism throughout Europe, which led to a significant decrease in high-margin cross-border transactions (DCC) and surcharge transactions from March through December of 2020. During 2021, we began increasing our estate of active ATMs as certain countries began easing COVID-19 restrictions; however, remaining cross-border travel patterns prevented our volume of DCC and surcharge transactions from returning to pre-COVID-19 levels. Revenues increased for the year ended December 31, 2021 compared to the same period in 2020 as cross-border travel and corresponding DCC and surcharge revenues increased, partially offset by the year ended December 31, 2020 including two months of pre-COVID-19 level DCC and surcharge transaction volumes compared to the year ended December 31, 2021 which had various levels of restrictions throughout the entire period. Foreign currency movements increased revenues by approximately $12.3 million for the year ended December 31, 2021, compared to the same period in 2020.</w:t>
      </w:r>
    </w:p>
    <w:p>
      <w:pPr>
        <w:spacing w:after="0" w:line="10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Average monthly revenues per ATM increased to $1,188 for the year ended December 31, 2021 compared to $927 for the same period in 2020. Revenues per transaction was $0.14 for both years ended December 31, 2021 and 2020. For the year ended December 31, 2021, the average monthly revenues per ATM increased primarily due to the lower average ATM count in Asia Pacific, partially offset by increases in Europe, as we modified our estate of ATMs beginning in the second quarter of 2020 and DCC and international surcharge transactions began to recover from 2020 volumes.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EFT Processing Segment direct operating costs were $354.3 million for the year ended December 31, 2021, an increase of $51.6 million or 17% compared to the same period in 2020.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 involved with POS DCC transactions. For the year ended December 31, 2021, the increase in direct operating costs was primarily due to the increase in transaction volumes, and costs associated with modifying our estate of ATMs. Foreign currency movements increased direct operating costs by approximately $7.6 million for the year ended December 31, 2021 compared to the same period in 2020.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Gross profit, which is calculated as revenues less direct operating costs, less acquired contract cost impairments, was $236.9 million for the year ended December 31, 2021, an increase of $70.8 million or 43% compared to $166.1 million for the same period in 2020. Gross profit as a percentage of revenues (“gross margin”) increased to 40.1% for the year ended December 31, 2021, compared to 35.4% for the same period in 2020. For the year ended December 31, 2021, the increase in gross profit and gross margin was primarily driven by the increase in cross-border transactions and overall increase in transaction volumes.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7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Salaries and benefits expenses were $98.6 million for the year ended December 31, 2021, an increase of $7.1 million or 8% compared to the same period in 2020. The increase in salaries and benefits for the year ended December 31, 2021 compared to the same period in 2020 was primarily driven by an increase in bonus expense and a $2.3 million increase from foreign currency movements in the countries where we employ our workforce. As a percentage of revenues, these expenses decreased to 16.7% for the year ended December 31, 2021, compared to 19.5% for the same period in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Selling, general and administrative expenses were $47.8 million for the year ended December 31, 2021, an increase of $12.4 million or 35% compared to the same period in 2020. The increase in these expenses is primarily driven by a $5.3 million increase in professional fees and a $2.4 million increase from foreign currency movements. As a percentage of revenues, these expenses increased to 8.1% for the year ended December 31, 2021, compared to 7.5% for the same period in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Due to the economic impacts of the COVID-19 pandemic, the Company recorded a $21.9 million non-cash goodwill impairment charge related to two reporting units during the second quarter of 2020. A $14.0 million non-cash goodwill impairment charge was recorded for Innova as a result of the decline in value added tax, or VAT, refund activity directly related to the decline in international tourism within the European Union, and a $7.9 million non-cash goodwill impairment charge was recorded for Pure Commerce related to the decline in international tourism in Asia Pacific.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Depreciation and amortization expenses were $91.0 million for the year ended December 31, 2021, an increase of $6.9 million or 8% compared to the same period in 2020. Foreign currency movements increased these expenses by $2.2 million for the year ended December 31, 2021, compared to the same period in 2020, with the remainder of the increase driven by the acquisition of additional ATMs and software assets. As a percentage of revenues, these expenses decreased to 15.4% for the year ended December 31, 2021, compared to 17.9% for the same period in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EFT Processing Segment had operating losses of $0.5 million for the year ended December 31, 2021, a decrease of $66.2 million or 99% compared to the same period in 2020. Operating income (loss) as a percentage of revenues (“operating margin”) decreased to (0.1%) for the year ended December 31, 2021, compared to (14.2%) for the same period in 2020. Operating (loss) per transaction was less than ($0.01) for the year ended December 31, 2021, compared to ($0.02) for the same period in 2020. For the year ended December 31, 2021, the decrease in operating loss and increase in operating margin was primarily driven by the easing of COVID-19 restrictions in limited regions where we operate and the $21.9 million decrease in non-cash goodwill impairment charges, partially offset by the decrease in tourism in the months of January and February 2021 compared to the same periods in the prior period.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epay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30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Year-over-Year Change</w:t>
            </w:r>
          </w:p>
        </w:tc>
      </w:tr>
      <w:tr>
        <w:trPr>
          <w:trHeight w:val="399"/>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Increase Amount</w:t>
            </w:r>
          </w:p>
        </w:tc>
        <w:tc>
          <w:tcPr>
            <w:tcW w:w="120" w:type="dxa"/>
            <w:vAlign w:val="bottom"/>
            <w:tcBorders>
              <w:top w:val="single" w:sz="8" w:color="auto"/>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Increase Percent</w:t>
            </w:r>
          </w:p>
        </w:tc>
      </w:tr>
      <w:tr>
        <w:trPr>
          <w:trHeight w:val="269"/>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1,011,482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835,517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175,965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7"/>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760,891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630,391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64,769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14,682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5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63"/>
        </w:trPr>
        <w:tc>
          <w:tcPr>
            <w:tcW w:w="5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888,445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738,839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149,606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97"/>
        </w:trPr>
        <w:tc>
          <w:tcPr>
            <w:tcW w:w="58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123,037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96,678</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26,359</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(billions)</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7"/>
        </w:trPr>
        <w:tc>
          <w:tcPr>
            <w:tcW w:w="5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epay Segment total revenues were $1,011.5 million for the year ended December 31, 2021, an increase of $176.0 million or 21% compared to the same period in 2020. The increase in revenues was primarily due to an increase in the number of transactions processed driven by continued digital media growth. Foreign currency movements increased revenues by approximately $22.4 million for the year ended December 31, 2021, compared to the same period in 2020. The epay segment was impacted by COVID-19 pandemic-driven government-imposed lockdowns and business closures, primarily at retail outlets, which were offset by increases in digital media offerings in Asia and revenues derived from businesses that were classified as essential and remained open during the pandemic.</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Revenues per transaction decreased to $0.32 for the year ended December 31, 2021, compared to $0.35 for the same period in 2020. The decrease in revenues per transaction was primarily driven by the increase in the number of mobile transactions processed in a region where we generally earn lower revenues per transaction.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epay Segment direct operating costs were $760.9 million for the year ended December 31, 2021, an increase of $130.5 million or 21% compared to the same period in 2020. Direct operating costs primarily consist of the commissions paid to retail merchants for the distribution and sale of prepaid mobile airtime and other prepaid products, expenses incurred to operate POS terminals and the cost of vouchers sold and physical gifts fulfilled. The increase in direct operating costs was primarily due to the increase in transaction volumes of low-value mobile top-up transactions, an increase in retailer commissions and the U.S. dollar weakening against key foreign currencies during 2021. Foreign currency movements increased direct operating costs by approximately $16.5 million for the year ended December 31, 2021, compared to the same period in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Gross profit was $250.6 million for the year ended December 31, 2021, an increase of $45.5 million or 22% compared to $205.1 million for the same period in 2020. Gross margin increased to 24.8% for the year ended December 31, 2021, compared to 24.6% for the same period in 2020. The increase in gross profit and gross margin is primarily driven by the increase in transaction volumes.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Salaries and benefits</w:t>
      </w:r>
    </w:p>
    <w:p>
      <w:pPr>
        <w:spacing w:after="0" w:line="36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Salaries and benefits expenses were $79.5 million for the year ended December 31, 2021, an increase of $14.7 million or 23% compared to the same period in 2020. The increase in salaries and benefits was primarily driven by an increase in headcount to support the growth of the business and an increase in bonus expense. Foreign currency movements in the countries where we employ our workforce increased these expenses by $2.4 million for the year ended December 31, 2021, compared to the same period in 2020. As a percentage of revenues, these expenses increased to 7.9% for the year ended December 31, 2021, compared to 7.8% for the year ended December 31, 2020.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Selling, general and administrative expenses were $39.6 million for the year ended December 31, 2021, an increase of $3.8 million or 11% compared to the same period in 2020. Foreign currency movements increased these expenses by $1.2 million for the year ended December 31, 2021, compared to the same period in 2020. As a percentage of revenues, these expenses decreased to 3.9% for the year ended December 31, 2021, compared to 4.3% for the same period in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Depreciation and amortization expenses were $8.5 million for the year ended December 31, 2021, an increase of $0.6 million or 8% compared to the same period in 2020. Depreciation and amortization expense primarily represents depreciation of POS terminals we install in retail stores and amortization of acquired intangible assets. As a percentage of revenues, these expenses decreased to 0.8% for the year ended December 31, 2021, compared to 0.9% for the same period in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epay Segment operating income was $123.0 million for the year ended December 31, 2021, an increase of $26.4 million or 27% compared to the same period in 2020. Operating margin increased to 12.2% for the year ended December 31, 2021, compared to 11.6% for the same period in 2020. Operating income per transaction was $0.04 for both years ended December 31, 2021 and 2020. The increases in operating income and operating margin for the year ended December 31, 2021 compared to the same period in 2020 was primarily due to an increase in the number of higher-margin digital media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Money Transfer Segment for the years ended December 31, 2021 and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2480" w:type="dxa"/>
            <w:vAlign w:val="bottom"/>
            <w:gridSpan w:val="3"/>
          </w:tcPr>
          <w:p>
            <w:pPr>
              <w:jc w:val="right"/>
              <w:ind w:right="54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73"/>
              <w:spacing w:after="0" w:line="153" w:lineRule="exact"/>
              <w:rPr>
                <w:sz w:val="20"/>
                <w:szCs w:val="20"/>
                <w:color w:val="auto"/>
              </w:rPr>
            </w:pPr>
            <w:r>
              <w:rPr>
                <w:rFonts w:ascii="Arial" w:cs="Arial" w:eastAsia="Arial" w:hAnsi="Arial"/>
                <w:sz w:val="14"/>
                <w:szCs w:val="14"/>
                <w:b w:val="1"/>
                <w:bCs w:val="1"/>
                <w:color w:val="auto"/>
              </w:rPr>
              <w:t>Increase</w:t>
            </w: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
              <w:spacing w:after="0" w:line="153" w:lineRule="exact"/>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92"/>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(Decrease) Amount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1,400,957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1,183,849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217,108</w:t>
            </w:r>
          </w:p>
        </w:tc>
        <w:tc>
          <w:tcPr>
            <w:tcW w:w="14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7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793,218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144,185</w:t>
            </w:r>
          </w:p>
        </w:tc>
        <w:tc>
          <w:tcPr>
            <w:tcW w:w="14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4720" w:type="dxa"/>
            <w:vAlign w:val="bottom"/>
          </w:tcPr>
          <w:p>
            <w:pPr>
              <w:ind w:left="180"/>
              <w:spacing w:after="0"/>
              <w:rPr>
                <w:sz w:val="20"/>
                <w:szCs w:val="20"/>
                <w:color w:val="auto"/>
              </w:rPr>
            </w:pPr>
            <w:r>
              <w:rPr>
                <w:rFonts w:ascii="Arial" w:cs="Arial" w:eastAsia="Arial" w:hAnsi="Arial"/>
                <w:sz w:val="18"/>
                <w:szCs w:val="18"/>
                <w:color w:val="auto"/>
              </w:rPr>
              <w:t>Acquired contract cost impairment</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38,634</w:t>
            </w:r>
          </w:p>
        </w:tc>
        <w:tc>
          <w:tcPr>
            <w:tcW w:w="100" w:type="dxa"/>
            <w:vAlign w:val="bottom"/>
          </w:tcPr>
          <w:p>
            <w:pPr>
              <w:spacing w:after="0"/>
              <w:rPr>
                <w:sz w:val="23"/>
                <w:szCs w:val="23"/>
                <w:color w:val="auto"/>
              </w:rPr>
            </w:pPr>
          </w:p>
        </w:tc>
        <w:tc>
          <w:tcPr>
            <w:tcW w:w="1360" w:type="dxa"/>
            <w:vAlign w:val="bottom"/>
          </w:tcPr>
          <w:p>
            <w:pPr>
              <w:jc w:val="right"/>
              <w:ind w:right="18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255,816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42,305</w:t>
            </w:r>
          </w:p>
        </w:tc>
        <w:tc>
          <w:tcPr>
            <w:tcW w:w="14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47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157,955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142,161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15,794</w:t>
            </w:r>
          </w:p>
        </w:tc>
        <w:tc>
          <w:tcPr>
            <w:tcW w:w="1460" w:type="dxa"/>
            <w:vAlign w:val="bottom"/>
            <w:gridSpan w:val="2"/>
          </w:tcPr>
          <w:p>
            <w:pPr>
              <w:jc w:val="right"/>
              <w:ind w:right="2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35,739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460" w:type="dxa"/>
            <w:vAlign w:val="bottom"/>
            <w:tcBorders>
              <w:bottom w:val="single" w:sz="8" w:color="CCEEFF"/>
            </w:tcBorders>
            <w:gridSpan w:val="2"/>
          </w:tcPr>
          <w:p>
            <w:pPr>
              <w:jc w:val="right"/>
              <w:ind w:right="2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1,281,362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1,124,140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157,222</w:t>
            </w:r>
          </w:p>
        </w:tc>
        <w:tc>
          <w:tcPr>
            <w:tcW w:w="14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3"/>
        </w:trPr>
        <w:tc>
          <w:tcPr>
            <w:tcW w:w="472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119,595</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59,709</w:t>
            </w:r>
          </w:p>
        </w:tc>
        <w:tc>
          <w:tcPr>
            <w:tcW w:w="100" w:type="dxa"/>
            <w:vAlign w:val="bottom"/>
          </w:tcPr>
          <w:p>
            <w:pPr>
              <w:spacing w:after="0"/>
              <w:rPr>
                <w:sz w:val="24"/>
                <w:szCs w:val="24"/>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59,886</w:t>
            </w:r>
          </w:p>
        </w:tc>
        <w:tc>
          <w:tcPr>
            <w:tcW w:w="1460" w:type="dxa"/>
            <w:vAlign w:val="bottom"/>
            <w:gridSpan w:val="2"/>
          </w:tcPr>
          <w:p>
            <w:pPr>
              <w:jc w:val="right"/>
              <w:ind w:right="2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Transactions processed (millions)</w:t>
            </w:r>
          </w:p>
        </w:tc>
        <w:tc>
          <w:tcPr>
            <w:tcW w:w="9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60" w:type="dxa"/>
            <w:vAlign w:val="bottom"/>
            <w:tcBorders>
              <w:top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9"/>
        </w:trPr>
        <w:tc>
          <w:tcPr>
            <w:tcW w:w="47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Money Transfer Segment total revenues were $1,401.0 million for the year ended December 31, 2021, an increase of $217.1 million or 18% compared to the same period in 2020. The increase in revenues was primarily due to increases in U.S. outbound and international-originated money transfers, partially offset by decreases in the U.S. domestic business and transactions in the Middle East region. Revenues per transaction increased to $10.37 for the year ended December 31, 2021, compared to $10.16 for the same period in 2020. Foreign currency movements increased revenues by approximately $30.3 million for the year ended December 31, 2021, compared to the same period in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Money Transfer Segment direct operating costs were $793.2 million for the year ended December 31, 2021, an increase of $144.2 million or 22% compared to the same period in 2020.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U.S. outbound and international-originated money transfer transactions and corresponding increase in agent commissions. Foreign currency movements increased direct operating costs by approximately $15.3 million for the year ended December 31, 2021, compared to the same period in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contract cost impairment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fourth quarter of 2021, we identified certain contract assets that had a carrying balance greater than the estimated remaining cash flows in the contracts and recorded a corresponding $38.6 million non-cash impairment of costs to fulfill a contract. The impairment charge is the result of lower-than-expected customer transaction volumes related to these specific contracts, stemming primarily from COVID-19 related disruptions. These charges are included in the gross profit calculation.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Gross profit was $569.1 million for the year ended December 31, 2021, an increase of $34.3 million or 6% compared to $534.8 million for the same period in 2020. Gross margin decreased to 40.6% for the year ended December 31, 2021, compared to 45.2% for the same period in 2020. The increase in gross profit was primarily attributable to the increase in transaction volume and the decrease in gross margin is primarily attributable to the $38.6 million non-cash contract asset impairment charge and the increased agent commissions for the year ended December 31, 2021 compared to the same period in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Salaries and benefits expenses were $255.8 million for the year ended December 31, 2021, an increase of $42.3 million or 20% compared to the same period in 2020. The increase in salaries and benefits was primarily driven by an increase in headcount to support the growth of the business and an increase in bonus expense. Foreign currency movements in the countries where we employ our workforce increased these expenses by $6.1 million for the year ended December 31, 2021, compared to the same period in 2020. As a percentage of revenues, these expenses increased to 18.3% for the year ended December 31, 2021, compared to 18.0% for the same period in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Selling, general and administrative expenses were $158.0 million for the year ended December 31, 2021, an increase of $15.8 million or 11% compared to the same period in 2020. The increase in these expenses is primarily driven by an increase in marketing expenses, professional fees and travel related expenses. Foreign currency movements increased these expenses by $3.6 million for the year ended December 31, 2021, compared to the same period in 2020. As a percentage of revenues, these expenses decreased to 11.3% for the year ended December 31, 2021, compared to 12.0% for the same period in 2020.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Goodwill and acquired intangible assets impairment</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Due to the economic impacts of the COVID-19 pandemic, the Company recorded an $82.7 million non-cash goodwill impairment charge related to the xe reporting unit during the second quarter of 2020. The non-cash goodwill impairment charge was recorded for xe as a result of declines in the international payments business stemming from economic uncertainty. During the second half of 2020, a $2.0 million non-cash acquired intangible asset impairment charge was recorded for xe on previously acquired customer relationship intangible assets due to the discontinuation of trading with certain customers during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Depreciation and amortization expenses were $35.7 million for the year ended December 31, 2021, an increase of $1.0 million or 3% compared to the same period in 2020. Depreciation and amortization primarily represents amortization of acquired intangible assets and depreciation of money transfer terminals, computers and software, leasehold improvements and office equipment. As a percentage of revenues, these expenses decreased to 2.6% for the year ended December 31, 2021, compared to 2.9% for the same period in 2020.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Money Transfer Segment operating income was $119.6 million for the year ended December 31, 2021, an increase of $59.9 million or 100% compared to the same period in 2020. Operating margin increased to 8.5% for the year ended December 31, 2021, compared to 5.0% for the same period in 2020. Operating income per transaction increased to $0.89 for the year ended December 31, 2021, compared to $0.51 for the same period in 2020. The increase in operating income, operating margin and operating income per transaction for the year ended December 31, 2021 compared to the same period in 2020 was primarily driven by the decrease in non-cash goodwill impairment charges, and an increase in transaction volume, specifically the higher margin transactions for U.S. outbound and international-originated money transfers, partially offset by the increase in agent commissions, $38.6 million non-cash contract asset impairment and an increase in headcount to support the growth of the business.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Corporate Services for the years ended December 31, 2021 and 2020: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240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28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w w:val="93"/>
              </w:rPr>
              <w:t>Increase (Decrease)</w:t>
            </w:r>
          </w:p>
        </w:tc>
        <w:tc>
          <w:tcPr>
            <w:tcW w:w="13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16,652</w:t>
            </w: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(1,724)</w:t>
            </w: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57"/>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58,115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43,054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15,061</w:t>
            </w:r>
          </w:p>
        </w:tc>
        <w:tc>
          <w:tcPr>
            <w:tcW w:w="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Total Corporate operating expenses were $58.1 million for the year ended December 31, 2021, an increase of $15.1 million or 35%, compared to the same period in 2020. The increase is primarily due to a $14.6 million increase in share based compensation for the year ended December 31, 2021, compared to the same period in 2020.</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Other Expense,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6"/>
                <w:szCs w:val="16"/>
                <w:color w:val="auto"/>
              </w:rPr>
            </w:pPr>
          </w:p>
        </w:tc>
        <w:tc>
          <w:tcPr>
            <w:tcW w:w="236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3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w w:val="95"/>
              </w:rPr>
              <w:t>(Decrease) Amount</w:t>
            </w:r>
          </w:p>
        </w:tc>
        <w:tc>
          <w:tcPr>
            <w:tcW w:w="80" w:type="dxa"/>
            <w:vAlign w:val="bottom"/>
            <w:tcBorders>
              <w:top w:val="single" w:sz="8" w:color="auto"/>
            </w:tcBorders>
            <w:vMerge w:val="restart"/>
          </w:tcPr>
          <w:p>
            <w:pPr>
              <w:spacing w:after="0"/>
              <w:rPr>
                <w:sz w:val="13"/>
                <w:szCs w:val="13"/>
                <w:color w:val="auto"/>
              </w:rPr>
            </w:pPr>
          </w:p>
        </w:tc>
        <w:tc>
          <w:tcPr>
            <w:tcW w:w="1360" w:type="dxa"/>
            <w:vAlign w:val="bottom"/>
            <w:tcBorders>
              <w:top w:val="single" w:sz="8" w:color="auto"/>
            </w:tcBorders>
          </w:tcPr>
          <w:p>
            <w:pPr>
              <w:jc w:val="right"/>
              <w:ind w:right="335"/>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7"/>
              </w:rPr>
              <w:t>(Decrease) Percent</w:t>
            </w:r>
          </w:p>
        </w:tc>
        <w:tc>
          <w:tcPr>
            <w:tcW w:w="0" w:type="dxa"/>
            <w:vAlign w:val="bottom"/>
          </w:tcPr>
          <w:p>
            <w:pPr>
              <w:spacing w:after="0"/>
              <w:rPr>
                <w:sz w:val="1"/>
                <w:szCs w:val="1"/>
                <w:color w:val="auto"/>
              </w:rPr>
            </w:pPr>
          </w:p>
        </w:tc>
      </w:tr>
      <w:tr>
        <w:trPr>
          <w:trHeight w:val="270"/>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(36,604)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(1,594)</w:t>
            </w:r>
          </w:p>
        </w:tc>
        <w:tc>
          <w:tcPr>
            <w:tcW w:w="136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0"/>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loss, net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70"/>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Other gains, net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c>
          <w:tcPr>
            <w:tcW w:w="13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net</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recorded a net foreign currency exchange loss of $10.9 million for the year ended December 31, 2021, compared to a net foreign currency exchange loss of $3.8 million for the same period in 2020. These realized and unrealized foreign currency exchange losses reflect the fluctuation in the value of the U.S. dollar against the currencies of the countries in which we operated during the respective periods.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rates as reported and as adjusted are calculated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Year Ended December 31,</w:t>
            </w:r>
          </w:p>
        </w:tc>
      </w:tr>
      <w:tr>
        <w:trPr>
          <w:trHeight w:val="250"/>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135,675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8,171</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(65,088)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(11,475)</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70,587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(3,304)</w:t>
            </w: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83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r>
      <w:tr>
        <w:trPr>
          <w:trHeight w:val="237"/>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135,675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8,171</w:t>
            </w:r>
          </w:p>
        </w:tc>
      </w:tr>
      <w:tr>
        <w:trPr>
          <w:trHeight w:val="243"/>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Adjust: Goodwill and acquired intangible assets impairment</w:t>
            </w:r>
          </w:p>
        </w:tc>
        <w:tc>
          <w:tcPr>
            <w:tcW w:w="34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(106,602)</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 Acquired contract cost impairment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Adjust: Other gains, net</w:t>
            </w:r>
          </w:p>
        </w:tc>
        <w:tc>
          <w:tcPr>
            <w:tcW w:w="34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869</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 Foreign currency exchange (loss) gain, net</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(10,866)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(3,756)</w:t>
            </w:r>
          </w:p>
        </w:tc>
      </w:tr>
      <w:tr>
        <w:trPr>
          <w:trHeight w:val="297"/>
        </w:trPr>
        <w:tc>
          <w:tcPr>
            <w:tcW w:w="83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before income taxes, as adjusted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185,116</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117,660</w:t>
            </w:r>
          </w:p>
        </w:tc>
      </w:tr>
      <w:tr>
        <w:trPr>
          <w:trHeight w:val="237"/>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(65,088)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(11,475)</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Adjust: Income tax benefit attributable to foreign currency exchange loss, net</w:t>
            </w:r>
          </w:p>
        </w:tc>
        <w:tc>
          <w:tcPr>
            <w:tcW w:w="34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4,055</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 as adjusted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(66,804)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(15,530)</w:t>
            </w: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Effective income tax rate, as adjusted</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calculate our effective income tax rate by dividing income tax expense by pre-tax book income. Our effective income tax rates were 48.0% and 140.4% for the years ended December 31, 2021 and 2020, respectively. The effective income tax rates were significantly influenced by the impact of the goodwill and acquired intangible asset impairment, acquired contract cost impairment, and foreign currency exchange gains (losses). Excluding foreign currency exchange gains (losses), goodwill and acquired intangible asset impairment, and acquired contract cost impairment items from pre-tax income, as well as the related tax effects for these items, our adjusted effective income tax rates were 36.1% and 13.2% for the years ended December 31, 2021 and 2020, respectively.</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effective income tax rate, as adjusted, for 2021 was higher than the applicable statutory income tax rate of 21% as a result of an increase in the valuation allowance related to the projected utilization of U.S. tax benefits, the non-recognition of tax benefits from losses in certain foreign countries where we have a limited history of profitable earnings and certain foreign earnings being subject to higher local statutory tax rates. The effective income tax rate, as adjusted, for 2020 was lower than the applicable statutory income tax rate of 21% primarily because of the release of unrecognized tax benefits for the completion of foreign country tax audits.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determine income tax expense based upon enacted tax laws applicable in each of the taxing jurisdictions where we conduct business. Based on our interpretation of such laws, and considering the evidence of available facts and circumstances and baseline operating forecasts, we have accrued the estimated income tax effects of certain transactions, business ventures, contract and organizational structures, and the estimated future reversal of timing differences. Should a taxing jurisdiction change its laws or dispute our conclusions, or should management become aware of new facts or other evidence that could alter our conclusions, the resulting impact to our estimates could have a material adverse effect on our results of operations and financial condition.</w:t>
      </w:r>
    </w:p>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Income before income taxes, as adjusted, income tax expense, as adjusted and effective income tax rate, as adjusted, are non-U.S. GAAP financial measures that management believes are useful for understanding why our effective income tax rates are significantly different than would be expected. These non-U.S. GAAP measures are used by management to conduct and evaluate its business during its regular review of operating results for the periods presented.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both"/>
        <w:spacing w:after="0" w:line="311" w:lineRule="auto"/>
        <w:rPr>
          <w:sz w:val="20"/>
          <w:szCs w:val="20"/>
          <w:color w:val="auto"/>
        </w:rPr>
      </w:pPr>
      <w:r>
        <w:rPr>
          <w:rFonts w:ascii="Arial" w:cs="Arial" w:eastAsia="Arial" w:hAnsi="Arial"/>
          <w:sz w:val="16"/>
          <w:szCs w:val="16"/>
          <w:color w:val="auto"/>
        </w:rPr>
        <w:t>Our total liability for uncertain tax positions under Accounting Standards Codification ("ASC") 740-10-25 and -30 was $41.0 million as of December 31, 2021. 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 twelve months, as a result of the resolution of audit examinations and expirations of certain statutes of limitations and, accordingly, materially affect our Consolidated Financial Statements. At this time, it is not possible to estimate the range of change due to the uncertainty of potential outcomes.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Noncontrolling Interests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Noncontrolling interests represent the elimination of net income or loss attributable to the minority shareholders' portion of the following consolidated subsidiaries that are not wholly owned: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Percent Owned</w:t>
            </w:r>
          </w:p>
        </w:tc>
        <w:tc>
          <w:tcPr>
            <w:tcW w:w="10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Segment - Country</w:t>
            </w:r>
          </w:p>
        </w:tc>
      </w:tr>
      <w:tr>
        <w:trPr>
          <w:trHeight w:val="249"/>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epay - Spain</w:t>
            </w:r>
          </w:p>
        </w:tc>
      </w:tr>
      <w:tr>
        <w:trPr>
          <w:trHeight w:val="243"/>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EFT - China</w:t>
            </w: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 Pakistan</w:t>
            </w:r>
          </w:p>
        </w:tc>
      </w:tr>
      <w:tr>
        <w:trPr>
          <w:trHeight w:val="243"/>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Euronet Infinitium Solutions</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1"/>
                <w:szCs w:val="21"/>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EFT - India</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Net income attributable to Euronet was $70.7 million for the year ended December 31, 2021, an increase of $74.1 million compared to the net loss in the same period in 2020. For the year ended December 31, 2021, the increase in net income was primarily attributable to the $150.5 million increase in gross profit driven by an increase in transaction volumes across all three segments and $106.0 million decrease in non-cash goodwill and intangible assets impairment charges, partially offset by an $80.7 million increase in salaries and benefits, a $53.6 million increase in income tax expense, a $30.3 million increase in selling, general and administrative expenses, an $8.7 million increase in depreciation and amortization expenses, a $7.1 million increase in foreign currency exchange losses, and an increase in other expenses aggregating $2.0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Adjustment</w:t>
      </w:r>
    </w:p>
    <w:p>
      <w:pPr>
        <w:spacing w:after="0" w:line="21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Translation gains and losses are the result of translating our foreign entities' balance sheets from local functional currency to the U.S. dollar reporting currency prior to consolidation and are recorded in comprehensive (loss) income.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We recorded a net loss on translation adjustments of $78.5 million for 2021 and a net gain of $70.8 million for 2020. During 2021, the U.S. dollar strengthened compared to key foreign currencies, resulting in translation losses which were recorded in comprehensive (loss) income. In 2020, the U.S. dollar weakened compared to key foreign currencies, resulting in translation gains which were recorded in comprehensive (loss) income.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2021, we had working capital of $1,455.8 million, which is calculated as the difference between total current assets and total current liabilities, compared to working capital of $1,510.5 million as of December 31, 2020. The decrease in working capital was primarily due to the $159.8 million decrease in cash and cash equivalents, $77.5 million decrease in prepaid expenses and other current assets, $45.9 million increase in trade accounts payable, $22.7 million increase in income taxes payable, and $2.9 million aggregate increase in other working capital balances, offset by the $132.3 million increase in ATM cash, $85.5 million increase in trade accounts receivable, and $36.3 million decrease in accrued expenses and other current liabilities. Our ratio of current assets to current liabilities was 1.79 and 1.81 at December 31, 2021 and December 31, 2020, respectively.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9" w:name="page50"/>
    <w:bookmarkEnd w:id="49"/>
    <w:p>
      <w:pPr>
        <w:jc w:val="both"/>
        <w:spacing w:after="0" w:line="306" w:lineRule="auto"/>
        <w:rPr>
          <w:sz w:val="20"/>
          <w:szCs w:val="20"/>
          <w:color w:val="auto"/>
        </w:rPr>
      </w:pPr>
      <w:r>
        <w:rPr>
          <w:rFonts w:ascii="Arial" w:cs="Arial" w:eastAsia="Arial" w:hAnsi="Arial"/>
          <w:sz w:val="16"/>
          <w:szCs w:val="16"/>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facilities and cash flows from operations. As of December 31, 2021, we had approximately $543.4 million of our own cash in use or designated for use in our ATM network, which is recorded in ATM cash on Euronet's Consolidated Balance Sheet. ATM cash increased $132.3 million from $411.1 million as of December 31, 2020 to $543.4 million as of December 31, 2021 as a result of the 13% increase in the number of active ATMs as of December 31, 2021 compared to December 31, 2020.</w:t>
      </w:r>
    </w:p>
    <w:p>
      <w:pPr>
        <w:spacing w:after="0" w:line="13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The Company has $1,260.5 million of unrestricted cash as of December 31, 2021 compared to $1,420.3 million as of December 31, 2020. The decrease in unrestricted cash was primarily due to the $132.3 million increase in ATM cash as unrestricted cash was utilized to fill the additional active ATMs, the $227.8 million of shares repurchased under stock repurchase programs, and $92.2 million of capital expenditures, partially offset by the $406.6 million of cash provided by operating activities. Including the $543.4 million of cash in ATMs at December 31, 2021, the Company has access to $1,803.9 million in available cash, and $689.3 million available under the Credit Facility with no significant long-term debt principal payments until October 2023.</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March 2021, the Company entered into an agreement to purchase the Piraeus Bank Merchant Acquiring business of Piraeus Bank for €300 million, or approximately $360 million. The closing is targeted for the first half of 2022 and is subject to regulatory approvals, finalization of the commercial agreements, and customary closing conditions. The Company expects to finance the purchase price using cash on hand. See Note 6, Acquisitions, to our Consolidated Financial Statements for additional information.</w:t>
      </w:r>
    </w:p>
    <w:p>
      <w:pPr>
        <w:spacing w:after="0" w:line="19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had cash, cash equivalents and restricted cash of $2,086.1 million as of December 31, 2021, of which $1,558.2 million was held outside of the U.S. and is expected to be indefinitely reinvested for continued use in foreign operations. Repatriation of these assets to the U.S. could have negative tax consequences.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identifies cash and cash equivalents provided by/(used in) our operating, investing and financing activities for the years ended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(in thousands):</w:t>
      </w:r>
    </w:p>
    <w:p>
      <w:pPr>
        <w:spacing w:after="0" w:line="210"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37465</wp:posOffset>
            </wp:positionV>
            <wp:extent cx="18084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Liquidity</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provided by (used 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406,576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253,505</w:t>
            </w: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(105,531)</w:t>
            </w:r>
          </w:p>
        </w:tc>
      </w:tr>
      <w:tr>
        <w:trPr>
          <w:trHeight w:val="270"/>
        </w:trPr>
        <w:tc>
          <w:tcPr>
            <w:tcW w:w="836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(212,236)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35,398</w:t>
            </w:r>
          </w:p>
        </w:tc>
      </w:tr>
      <w:tr>
        <w:trPr>
          <w:trHeight w:val="27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 changes on cash and cash equivalents and restricted cash</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98,757</w:t>
            </w:r>
          </w:p>
        </w:tc>
      </w:tr>
      <w:tr>
        <w:trPr>
          <w:trHeight w:val="257"/>
        </w:trPr>
        <w:tc>
          <w:tcPr>
            <w:tcW w:w="8360" w:type="dxa"/>
            <w:vAlign w:val="bottom"/>
          </w:tcPr>
          <w:p>
            <w:pPr>
              <w:ind w:left="20"/>
              <w:spacing w:after="0"/>
              <w:rPr>
                <w:sz w:val="20"/>
                <w:szCs w:val="20"/>
                <w:color w:val="auto"/>
              </w:rPr>
            </w:pPr>
            <w:r>
              <w:rPr>
                <w:rFonts w:ascii="Arial" w:cs="Arial" w:eastAsia="Arial" w:hAnsi="Arial"/>
                <w:sz w:val="18"/>
                <w:szCs w:val="18"/>
                <w:color w:val="auto"/>
              </w:rPr>
              <w:t>(Decrease) increase in cash and cash equivalents and restricted cash</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282,129</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Cash flows provided by operating activities were $406.6 million for the year ended December 31, 2021 compared to $253.5 million for the same period in 2020. The increase in operating cash flows was primarily due to the increase in net income and fluctuations in working capital mainly associated with the timing of the settlement processes with content providers in the epay Segment, with correspondents in the Money Transfer Segment, and with card organizations and banks in the EFT Processing Segment.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Investing activity cash flow</w:t>
      </w:r>
    </w:p>
    <w:p>
      <w:pPr>
        <w:spacing w:after="0" w:line="200" w:lineRule="exact"/>
        <w:rPr>
          <w:sz w:val="20"/>
          <w:szCs w:val="20"/>
          <w:color w:val="auto"/>
        </w:rPr>
      </w:pP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Cash flows used in investing activities were $98.1 million for the year ended December 31, 2021 compared to $105.5 million for the same period in 2020. We used $92.2 million for purchases of property and equipment for the year ended December 31, 2021 compared to $97.6 million for the same period in 2020. Cash used for software development and other investing activities totaled $5.9 million and $7.8 million for the year ended December 31, 2021 and 2020,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Cash flows used in financing activities were $212.2 million for the year ended December 31, 2021 compared to cash flows provided by financing activities of $35.4 million for the same period in 2020. The increase in cash used in financing activities is primarily the result of the $13.0 million net borrowings on debt obligations for the year ended December 31, 2021 compared to $265.2 million for the same period in 2020. We repurchased $229.9 million of common stock during the year ended December 31, 2021 compared to repurchases of $241.5 million for the same period in 2020. $2.1 million of share repurchases during the year ended December 31, 2021 were in connection with the settlement of Restricted Stock Unit awards and the exercise of option awards in certain countries in which we operate. We received proceeds of $10.8 million and $18.1 million during the year ended December 31, 2021 and 2020, respectively, for the issuance of stock in connection with our Stock Incentive 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On October 17, 2018, the Company entered into a $1.0 billion unsecured credit agreement (the "Credit Facility") that expires on October 17, 2023. The Credit Facility allows for borrowings in Australian dollars, British pounds sterling, Canadian dollars, Czech koruna, Danish krone, euro, Hungarian forints, Japanese yen, New Zealand dollars, Norwegian krone, Polish zlotys, Swedish krona, Swiss francs, and U.S. dollars. The Credit Facility contains a $200 million sublimit for the issuance of letters of credit, a $50 million sublimit for U.S. dollar swingline loans, and a $90 million sublimit for certain foreign currencies swingline loans.</w:t>
      </w:r>
    </w:p>
    <w:p>
      <w:pPr>
        <w:spacing w:after="0" w:line="25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As of December 31, 2021, fees and interest on borrowings are based upon the Company's corporate credit rating (as defined in the Credit Facility) and are based, in the case of letter of credit fees, on a margin, and in the case of interest, on a margin over the London InterBank Offered Rate ("LIBOR") or a margin over the base rate, as selected by us, with the applicable margin ranging from 1.125% to 2.0% (or 0.175% to 1.0% for base rate loans).</w:t>
      </w:r>
    </w:p>
    <w:p>
      <w:pPr>
        <w:spacing w:after="0" w:line="1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As of December 31, 2021, we had $283.4 million of borrowings and $57.3 million of stand-by letters of credit outstanding under the Credit Facility. The remaining $689.3 million under the Credit Facility was available for borrowing. As of December 31, 2021, the weighted average interest rate under the Credit Facility was 1.2%, excluding amortization of deferred financing costs.</w:t>
      </w:r>
    </w:p>
    <w:p>
      <w:pPr>
        <w:spacing w:after="0" w:line="20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u w:val="single" w:color="auto"/>
          <w:color w:val="auto"/>
        </w:rPr>
        <w:t>Convertible debt</w:t>
      </w:r>
      <w:r>
        <w:rPr>
          <w:rFonts w:ascii="Arial" w:cs="Arial" w:eastAsia="Arial" w:hAnsi="Arial"/>
          <w:sz w:val="16"/>
          <w:szCs w:val="16"/>
          <w:color w:val="auto"/>
        </w:rPr>
        <w:t xml:space="preserve"> - On March 18, 2019, we completed the sale of $525.0 million in principal amount of Convertible Senior Notes due 2049 (“Convertible Notes”). As of December 31, 2021 the carrying value of the Convertible Notes was $468.2 million. The Convertible Notes were issued pursuant to an indenture, dated as of March 18, 2019 (the “Indenture”), by and between the Company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the Company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1" w:name="page52"/>
    <w:bookmarkEnd w:id="51"/>
    <w:p>
      <w:pPr>
        <w:jc w:val="both"/>
        <w:spacing w:after="0" w:line="272" w:lineRule="auto"/>
        <w:rPr>
          <w:sz w:val="20"/>
          <w:szCs w:val="20"/>
          <w:color w:val="auto"/>
        </w:rPr>
      </w:pPr>
      <w:r>
        <w:rPr>
          <w:rFonts w:ascii="Arial" w:cs="Arial" w:eastAsia="Arial" w:hAnsi="Arial"/>
          <w:sz w:val="18"/>
          <w:szCs w:val="18"/>
          <w:u w:val="single" w:color="auto"/>
          <w:color w:val="auto"/>
        </w:rPr>
        <w:t>Senior Notes</w:t>
      </w:r>
      <w:r>
        <w:rPr>
          <w:rFonts w:ascii="Arial" w:cs="Arial" w:eastAsia="Arial" w:hAnsi="Arial"/>
          <w:sz w:val="18"/>
          <w:szCs w:val="18"/>
          <w:color w:val="auto"/>
        </w:rPr>
        <w:t xml:space="preserve"> - On May 22, 2019, the Company completed the sale of €600 million ($669.9 million) aggregate principal amount of Senior Notes that expire in May 2026 (the “Senior Notes”). The Senior Notes accrue interest at a rate of 1.375% per year, payable annually in arrears commencing May 22, 2020, until maturity or earlier redemption. As of December 31, 2021, the Company has outstanding €600 million ($682.1 million) principal amount of the Senior Notes. In addition, the Company may redeem some or all of these notes on or after February 22, 2026 at their principal amount plus any accrued and unpaid interest.</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have available credit lines and overdraft facilities to generally supplement short-term working capital requirements, when necessary. There were $0.9 million outstanding under these other obligation arrangements as of both December 31, 2021 and December 31,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2021 were $92.2 million. These capital expenditures were primarily for the purchase of ATMs to expand our IAD network in Europe, the purchase and installation of ATMs in key under-penetrated markets, the purchase of POS terminals for the epay and Money Transfer Segments, and office, data center and company store computer equipment and software. Total capital expenditures for 2022 are currently estimated to be approximately $95 million to $100 million.</w:t>
      </w:r>
    </w:p>
    <w:p>
      <w:pPr>
        <w:spacing w:after="0" w:line="2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u w:val="single" w:color="auto"/>
          <w:color w:val="auto"/>
        </w:rPr>
        <w:t>Contractual lease obligations</w:t>
      </w:r>
      <w:r>
        <w:rPr>
          <w:rFonts w:ascii="Arial" w:cs="Arial" w:eastAsia="Arial" w:hAnsi="Arial"/>
          <w:sz w:val="18"/>
          <w:szCs w:val="18"/>
          <w:color w:val="auto"/>
        </w:rPr>
        <w:t xml:space="preserve"> — The Company has entered into contractually binding operating and finance lease commitments to operate the business. Operating lease expenses were $55.6 million and $83.1 million for the years ended December 31, 2021 and 2020, respectively. Finance lease expenses were not material for 2021 or 2020. For additional information on operating and finance lease obligations, see Note 13, Leases, to the Consolidated Financial Statements.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Credit Facility and other existing and potential future financings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Board of Directors had authorized a stock repurchase program allowing Euronet to repurchase up to $375 million in value or 10.0 million shares of stock through March 31, 2020. The Company repurchased all $375 million of stock under this program. On March 11, 2019, in connection with the issuance of the Convertible Notes, the Board of Directors authorized an additional repurchase program of $120 million in value of the Company's common stock through March 11, 2021. The Company repurchased $110.6 million of stock under this program. On February 26, 2020, the Company put a repurchase program in place to repurchase up to $250 million in value, but not more than 5.0 million shares of common stock through February 28, 2022. The Company has repurchased $227.8 million of stock under this program. On December 8, 2021, the Company put a repurchase program in place to repurchase up to $300 million in value, but not more than 5.0 million shares of common stock through December 8, 2023. For the year ended December 31, 2021, the Company repurchased 2.0 million shares under the repurchase programs at a weighted average purchase price of $113.88 for a total value of $227.8 million. Repurchases under the programs may take place in the open market or in privately negotiated transactions, including derivative transactions, and may be made under a Rule 10b5-1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certain significant off-balance sheet items described in Note 20, Commitments, to the Consolidated Financial Statements. 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To date, we are not aware of any significant claims made by the indemnified parties or parties to whom we have provided guarantees on behalf of our subsidiaries and, accordingly, no liabilities have been recorded as of December 31,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preparation of financial statements in conformity with U.S. GAAP which requires management to make estimates, judgments and assumptions that affect the amounts reported in the Consolidated Financial Statements and accompanying notes. Management considers an accounting policy and estimate to be critical if it requires the use of assumptions that were uncertain at the time the estimate was made and if changes in the estimate or selection of a different estimate could have a material effect on the Company's financial condition and results of operations. Our most critical estimates and assumptions are used for computing income taxes, allocating the purchase price to assets acquired and liabilities assumed in acquisitions, and potential impairment of intangible assets and goodwill.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materially from these estimates. For a summary of all of the Company's significant accounting policies, see Note 3, Summary of Significant Accounting Policies and Practices, to the accompanying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The deferred income tax effects of transactions reported in different periods for financial reporting and income tax return purposes are recorded under the asset and liability method prescribed under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This method gives consideration to the future tax consequences of deferred income or expense items and immediately recognizes changes in income tax laws upon enactment. The consolidated statement of operations effect is generally derived from changes in deferred income taxes, net of valuation allowances, on the balance sheet as measured by differences in the book and tax bases of our assets and liabilities.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entity's, or group of entities', ability to generate sufficient taxable income within an appropriate period, in a specific tax jurisdiction.</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assessing the recognition of deferred tax assets, we consider whether it is more likely than not that some portion or all of the deferred tax assets will be realized. As more fully described in Note 14, Income Taxes, to the Consolidated Financial Statements, gross deferred tax assets were $270.9 million as of December 31, 2021, partially offset by a valuation allowance of $100.5 million. The ultimate realization of deferred tax assets is dependent upon the generation of future taxable income during the periods in which those temporary differences become deductible. We make judgments and estimates on the scheduled reversal of deferred tax liabilities, historical and projected future taxable income in each country in which we operate, and tax planning strategies in making this assessment.</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2021.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both"/>
        <w:spacing w:after="0" w:line="292" w:lineRule="auto"/>
        <w:rPr>
          <w:sz w:val="20"/>
          <w:szCs w:val="20"/>
          <w:color w:val="auto"/>
        </w:rPr>
      </w:pPr>
      <w:r>
        <w:rPr>
          <w:rFonts w:ascii="Arial" w:cs="Arial" w:eastAsia="Arial" w:hAnsi="Arial"/>
          <w:sz w:val="17"/>
          <w:szCs w:val="17"/>
          <w:color w:val="auto"/>
        </w:rPr>
        <w:t>Additionally, we follow the provisions of ASC 740-10-25 and -30 to account for uncertainty in income tax positions. Applying the standard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we allocate the acquisition purchase price of an acquired entity to the assets acquired, including identifiable intangibles, and liabilities assumed based on their estimated fair values at the date of acquisition. Management applies various valuation methodologies to these acquired assets and assumed liabilities which often involve a significant degree of judgment, particularly when liquid markets do not exist for the particular item being valued. Examples of such items include loans, deposits, identifiable intangible assets and certain other assets and liabilities acquired or assumed in business combinations. Management uses significant estimates and assumptions to value such items, including, projected cash flows and discount rates. For larger or more complex acquisitions, we generally obtain third-party valuations to assist us in estimating fair values. The use of different valuation techniques and assumptions could change the amounts and useful lives assigned to the assets and liabilities acquired and related amortization expense.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9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In accordance with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(“ASC 350”)</w:t>
      </w:r>
      <w:r>
        <w:rPr>
          <w:rFonts w:ascii="Arial" w:cs="Arial" w:eastAsia="Arial" w:hAnsi="Arial"/>
          <w:sz w:val="16"/>
          <w:szCs w:val="16"/>
          <w:i w:val="1"/>
          <w:iCs w:val="1"/>
          <w:color w:val="auto"/>
        </w:rPr>
        <w:t>,</w:t>
      </w:r>
      <w:r>
        <w:rPr>
          <w:rFonts w:ascii="Arial" w:cs="Arial" w:eastAsia="Arial" w:hAnsi="Arial"/>
          <w:sz w:val="16"/>
          <w:szCs w:val="16"/>
          <w:color w:val="auto"/>
        </w:rPr>
        <w:t xml:space="preserve"> we evaluate the carrying value of our indefinite-lived assets, including goodwill, at least annually or more frequently whenever events or changes in circumstances indicate that the asset may be impaired, or in the case of goodwill, that the fair value of the reporting unit may be less than its carrying amount. Our annual impairment tests are performed during the fourth quarter and are performed at the reporting unit level. Our annual process for evaluating goodwill allows us to perform a qualitative assessment for all reporting units, and then perform a quantitative goodwill impairment test for those reporting units in which it is deemed necessary. The qualitative factors evaluated by the Company include: economic conditions of the local business environment, overall financial performance, sensitivity analysis from the most recent quantitative test, and other entity specific factors as deemed appropriate. If we determine a quantitative goodwill impairment test is appropriate, the test involves comparing the fair value of a reporting unit to its carrying amount, including goodwill, after any long-lived asset impairment charges. Generally, the fair value is determined using discounted projected future cash flows and market multiple of earnings. If the carrying amount of the reporting unit exceeds the fair value of the reporting unit, a goodwill impairment loss is recognized in an amount equal to the excess.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assumptions could change, which may result in the recording of material non-cash impairment charges during the year in which these determinations take place.</w:t>
      </w:r>
    </w:p>
    <w:p>
      <w:pPr>
        <w:spacing w:after="0" w:line="12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COVID-19 pandemic and subsequent mitigation efforts, which included global business shutdowns, the closing of borders and the implementation of mandatory social distancing requirements, created an unprecedented disruption to our business beginning in the first half of 2020. These mitigation efforts coupled with the negative economic impacts to the tourism industry caused some of our reporting units to either have a temporary or sustained decline in revenues and earnings and necessitated changes to our forecasted outlook. We determined the totality of these events constituted a triggering event that required us to perform an interim goodwill impairment assessment as of June 1, 2020. We concluded a triggering event had occurred for six reporting units, resulting in quantitative impairment tests. Three reporting units are within the EFT segment, two reporting units are within the Money Transfer segment, and one reporting unit is within the epay segment.</w:t>
      </w:r>
    </w:p>
    <w:p>
      <w:pPr>
        <w:spacing w:after="0" w:line="20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The fair value of these reporting units were determined using weighted results from the discounted cash flow model ("DCF model") and guideline public company method ("Market Approach model"). A number of significant assumptions and estimates are involved in the application of the DCF model to forecast operating cash flows, including forecasted revenue, forecasted EBITDA margin, and discount rate. Significant assumptions and inputs in the Market Approach model are EBITDA, EBITDA market multiple, and the estimated control premium. The DCF Model and Market Approach Model utilize Level 3 inputs in the fair value hierarchy as they include unobservable inputs that require significant management assumptions.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results of the June 1, 2020 quantitative test were that three of the six reporting units’ fair value exceeded their respective carrying amounts. For the remaining three reporting units, the quantitative test indicated that the fair value of each of the reporting units was less than the respective carrying amounts. As a result, we recorded a non-cash goodwill impairment charge of $104.6 million with respect to the xe, Innova and Pure Commerce reporting units. A total of $21.9 million of the impairment charge was included within the EFT Segment, and $82.7 million of the impairment charge was included in the Money Transfer Segment.</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Subsequent to June 1, 2020 and through year-end 2021, including the fourth quarter annual impairment test, management monitored whether there were events or changes in circumstances that had occurred, at a reporting unit level, to indicate that goodwill was impaired or further impaired. There were no indications of impairment and no additional non-cash goodwill impairment charges were recorded.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4" w:name="page55"/>
    <w:bookmarkEnd w:id="54"/>
    <w:p>
      <w:pPr>
        <w:jc w:val="both"/>
        <w:spacing w:after="0" w:line="288" w:lineRule="auto"/>
        <w:rPr>
          <w:sz w:val="20"/>
          <w:szCs w:val="20"/>
          <w:color w:val="auto"/>
        </w:rPr>
      </w:pPr>
      <w:r>
        <w:rPr>
          <w:rFonts w:ascii="Arial" w:cs="Arial" w:eastAsia="Arial" w:hAnsi="Arial"/>
          <w:sz w:val="17"/>
          <w:szCs w:val="17"/>
          <w:color w:val="auto"/>
        </w:rPr>
        <w:t>Acquired finite-lived intangible assets are amortized over their estimated useful lives. We evaluate the recoverability of our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indicates that the carrying amount of intangible assets is not recoverable, the carrying amount of such assets is reduced to its fair value. In addition to the recoverability assessment, we routinely review the remaining estimated useful lives of our finite-lived intangible assets. If we reduce the estimated useful life assumption for any asset, the remaining unamortized balance would be amortized over the revised estimated useful life.</w:t>
      </w:r>
    </w:p>
    <w:p>
      <w:pPr>
        <w:spacing w:after="0" w:line="194"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As of December 31, 2021, the Consolidated Balance Sheet includes goodwill of $641.6 million and acquired intangible assets, net of accumulated amortization, of $97.8 million. For the year ended December 31, 2021, no impairment of goodwill or acquired intangible assets has been identified.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Item 8 of Part II, "Financial Statements and Supplementary Data - Note 3 - Summary of Significant Accounting Policies and Practices.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trends affecting 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trends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adequacy of capital to meet our capital requirements and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assumptions underlying our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repay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estimated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potential outcome of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expectations regarding the closing of any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government regulatory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expected effects of changes in laws or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impact of the COVID-19 pandemic, including its variants on our results of operations and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technological advances;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projected costs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COVID-19 pandemic; the effectiveness of vaccines and treatments against COVID-19 variants; the effects in Europe of the U.K.'s departure from the E.U. and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the European Union's General Data Protection Regulation and Second Revised Payment Service Directive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the cost of borrowing, availability of credit and terms of and compliance with debt covenants; and renewal of sources of funding as they expire and the availability of replacement funding and those factors referred to above and as set forth and more fully described in Part I, Item 1A — Risk Factors. Any forward-looking statements made in this Form 10-K speak only as of the date of this report. Except as required by law, we do not intend, and do not undertake, any obligation to update any forward looking statements to reflect future events or circumstances after the date of such statements.</w:t>
      </w:r>
    </w:p>
    <w:p>
      <w:pPr>
        <w:sectPr>
          <w:pgSz w:w="11900" w:h="16838" w:orient="portrait"/>
          <w:cols w:equalWidth="0" w:num="1">
            <w:col w:w="11240"/>
          </w:cols>
          <w:pgMar w:left="320" w:top="368" w:right="33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color w:val="auto"/>
        </w:rPr>
        <w:t>Item 7A. Quantitative and Qualitative Disclosures about Market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2021, our total debt outstanding, excluding unamortized debt issuance costs, was $1,434.6 million. Of this amount, $468.2 million, net of debt discounts, or 33% of our total debt obligations, relates to our contingent Convertible Notes that have a fixed coupon rate. Our $525.0 million outstanding principal amount of Convertible Notes accrue cash interest at a rate of 0.75% of the principal amount per annum. Based on quoted market prices, as of December 31, 2021, the fair value of our fixed rate Convertible Notes was $589.3 million, compared to a carrying value of $468.2 million. Interest expense for the Convertible Notes, including accretion and amortization of deferred debt issuance costs, has a weighted average interest rate of 4.4% annually. Further, as of December 31, 2021, we had $283.4 million outstanding under our Credit Facility, or 20% of our total debt obligations. Additionally, $682.1 million, or 47% of our total debt obligations, relates to Senior Notes having a fixed coupon rate. Our €600 million outstanding principal amount of Senior Notes accrue cash interest at a rate of 1.375% of the principal per annum. Based on quoted market prices, as of December 31, 2021, the fair value of our fixed rate Senior Notes was $696.1 million, compared to a carrying value of $682.1 million. The remaining $0.9 million, or less than 0.1% of our total debt obligations, is related to borrowings by certain subsidiaries to fund, from time to time, working capital requirements. These arrangements generally are due within one year and accrue interest at variable rates.</w:t>
      </w:r>
    </w:p>
    <w:p>
      <w:pPr>
        <w:spacing w:after="0" w:line="15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Additionally, as of December 31, 2021, we had approximately $7.0 million of finance leases with fixed payment and interest terms that expire between the years of 2022 and 2026.</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years ended December 31, 2021 and 2020, 73% and 71% of our revenues, respectively, were generated in non-U.S. dollar countries. We expect to continue generating a significant portion of our revenues in countries with currencies other than the U.S. dollar.</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December 31, 2021, we estimate that a 10% fluctuation in these foreign currency exchange rates would have the combined annualized effect on reported net income and working capital of approximately $40 million to $45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64"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(loss) income of approximately $165 million to $170 million as a result of the change in value of these items during translation to the U.S. dollar. For the fluctuations described above, a strengthening U.S. dollar produces a financial loss, while a weakening U.S. dollar produces a financial gain.</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p>
      <w:pPr>
        <w:jc w:val="both"/>
        <w:spacing w:after="0" w:line="314" w:lineRule="auto"/>
        <w:rPr>
          <w:sz w:val="20"/>
          <w:szCs w:val="20"/>
          <w:color w:val="auto"/>
        </w:rPr>
      </w:pPr>
      <w:r>
        <w:rPr>
          <w:rFonts w:ascii="Arial" w:cs="Arial" w:eastAsia="Arial" w:hAnsi="Arial"/>
          <w:sz w:val="16"/>
          <w:szCs w:val="16"/>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Operations. As of December 31, 2021, we had foreign currency derivative contracts outstanding with a notional value of $222.1 million, primarily in Australian dollars, British pounds, Canadian dollars, euros and Mexican pesos, that were not designated as hedges and mature within a few days.</w:t>
      </w:r>
    </w:p>
    <w:p>
      <w:pPr>
        <w:spacing w:after="0" w:line="13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Operations. As of December 31, 2021, we held foreign currency derivative contracts outstanding with a notional value of $1.0 billion, primarily in U.S. dollars, euros, British pounds, Australian dollars and New Zealand dollars, that were not designated as hedges and for which the majority mature within the next twelve months.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December 31, 2021, the Company had foreign currency forward contracts outstanding with a notional value of $216.1 million, primarily in euros.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See Note 12, Derivative Instruments and Hedging Activities to our Consolidated Financial Statements for additional information.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10720" w:type="dxa"/>
            <w:vAlign w:val="bottom"/>
            <w:gridSpan w:val="3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8"/>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76"/>
              </w:rPr>
              <w:t>Page</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422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Report of Independent Registered Public Accounting Firm</w:t>
              </w:r>
            </w:hyperlink>
          </w:p>
        </w:tc>
        <w:tc>
          <w:tcPr>
            <w:tcW w:w="6460" w:type="dxa"/>
            <w:vAlign w:val="bottom"/>
            <w:gridSpan w:val="5"/>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37"/>
        </w:trPr>
        <w:tc>
          <w:tcPr>
            <w:tcW w:w="40" w:type="dxa"/>
            <w:vAlign w:val="bottom"/>
          </w:tcPr>
          <w:p>
            <w:pPr>
              <w:spacing w:after="0"/>
              <w:rPr>
                <w:sz w:val="20"/>
                <w:szCs w:val="20"/>
                <w:color w:val="auto"/>
              </w:rPr>
            </w:pPr>
          </w:p>
        </w:tc>
        <w:tc>
          <w:tcPr>
            <w:tcW w:w="356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62">
              <w:r>
                <w:rPr>
                  <w:rFonts w:ascii="Arial" w:cs="Arial" w:eastAsia="Arial" w:hAnsi="Arial"/>
                  <w:sz w:val="18"/>
                  <w:szCs w:val="18"/>
                  <w:color w:val="0000EE"/>
                  <w:w w:val="96"/>
                </w:rPr>
                <w:t>CONSOLIDATED FINANCIAL STATEMENTS</w:t>
              </w:r>
            </w:hyperlink>
          </w:p>
        </w:tc>
        <w:tc>
          <w:tcPr>
            <w:tcW w:w="7120" w:type="dxa"/>
            <w:vAlign w:val="bottom"/>
            <w:gridSpan w:val="10"/>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36"/>
        </w:trPr>
        <w:tc>
          <w:tcPr>
            <w:tcW w:w="40" w:type="dxa"/>
            <w:vAlign w:val="bottom"/>
          </w:tcPr>
          <w:p>
            <w:pPr>
              <w:spacing w:after="0"/>
              <w:rPr>
                <w:sz w:val="20"/>
                <w:szCs w:val="20"/>
                <w:color w:val="auto"/>
              </w:rPr>
            </w:pPr>
          </w:p>
        </w:tc>
        <w:tc>
          <w:tcPr>
            <w:tcW w:w="10680" w:type="dxa"/>
            <w:vAlign w:val="bottom"/>
            <w:gridSpan w:val="3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BALANCE SHEETS</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680" w:type="dxa"/>
            <w:vAlign w:val="bottom"/>
            <w:gridSpan w:val="3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STATEMENTS OF OPERATIONS</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740" w:type="dxa"/>
            <w:vAlign w:val="bottom"/>
            <w:tcBorders>
              <w:bottom w:val="single" w:sz="8" w:color="0000EE"/>
            </w:tcBorders>
            <w:gridSpan w:val="29"/>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CONSOLIDATED STATEMENTS OF COMPREHENSIVE (LOSS) INCOME</w:t>
              </w:r>
            </w:hyperlink>
          </w:p>
        </w:tc>
        <w:tc>
          <w:tcPr>
            <w:tcW w:w="49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37"/>
        </w:trPr>
        <w:tc>
          <w:tcPr>
            <w:tcW w:w="40" w:type="dxa"/>
            <w:vAlign w:val="bottom"/>
          </w:tcPr>
          <w:p>
            <w:pPr>
              <w:spacing w:after="0"/>
              <w:rPr>
                <w:sz w:val="20"/>
                <w:szCs w:val="20"/>
                <w:color w:val="auto"/>
              </w:rPr>
            </w:pPr>
          </w:p>
        </w:tc>
        <w:tc>
          <w:tcPr>
            <w:tcW w:w="10680" w:type="dxa"/>
            <w:vAlign w:val="bottom"/>
            <w:gridSpan w:val="3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CHANGES IN EQUITY</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237"/>
        </w:trPr>
        <w:tc>
          <w:tcPr>
            <w:tcW w:w="40" w:type="dxa"/>
            <w:vAlign w:val="bottom"/>
          </w:tcPr>
          <w:p>
            <w:pPr>
              <w:spacing w:after="0"/>
              <w:rPr>
                <w:sz w:val="20"/>
                <w:szCs w:val="20"/>
                <w:color w:val="auto"/>
              </w:rPr>
            </w:pPr>
          </w:p>
        </w:tc>
        <w:tc>
          <w:tcPr>
            <w:tcW w:w="400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94"/>
              </w:rPr>
            </w:pPr>
            <w:hyperlink w:anchor="page67">
              <w:r>
                <w:rPr>
                  <w:rFonts w:ascii="Arial" w:cs="Arial" w:eastAsia="Arial" w:hAnsi="Arial"/>
                  <w:sz w:val="18"/>
                  <w:szCs w:val="18"/>
                  <w:color w:val="0000EE"/>
                  <w:w w:val="94"/>
                </w:rPr>
                <w:t>CONSOLIDATED STATEMENTS OF CASH FLOWS</w:t>
              </w:r>
            </w:hyperlink>
          </w:p>
        </w:tc>
        <w:tc>
          <w:tcPr>
            <w:tcW w:w="660" w:type="dxa"/>
            <w:vAlign w:val="bottom"/>
            <w:tcBorders>
              <w:top w:val="single" w:sz="8" w:color="0000EE"/>
            </w:tcBorders>
            <w:gridSpan w:val="4"/>
          </w:tcPr>
          <w:p>
            <w:pPr>
              <w:spacing w:after="0"/>
              <w:rPr>
                <w:sz w:val="20"/>
                <w:szCs w:val="20"/>
                <w:color w:val="auto"/>
              </w:rPr>
            </w:pPr>
          </w:p>
        </w:tc>
        <w:tc>
          <w:tcPr>
            <w:tcW w:w="6020" w:type="dxa"/>
            <w:vAlign w:val="bottom"/>
            <w:gridSpan w:val="2"/>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r>
        <w:trPr>
          <w:trHeight w:val="236"/>
        </w:trPr>
        <w:tc>
          <w:tcPr>
            <w:tcW w:w="40" w:type="dxa"/>
            <w:vAlign w:val="bottom"/>
          </w:tcPr>
          <w:p>
            <w:pPr>
              <w:spacing w:after="0"/>
              <w:rPr>
                <w:sz w:val="20"/>
                <w:szCs w:val="20"/>
                <w:color w:val="auto"/>
              </w:rPr>
            </w:pPr>
          </w:p>
        </w:tc>
        <w:tc>
          <w:tcPr>
            <w:tcW w:w="10680" w:type="dxa"/>
            <w:vAlign w:val="bottom"/>
            <w:gridSpan w:val="3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NOTES TO CONSOLIDATED FINANCIAL STATEMENTS</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37"/>
        </w:trPr>
        <w:tc>
          <w:tcPr>
            <w:tcW w:w="40" w:type="dxa"/>
            <w:vAlign w:val="bottom"/>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bottom w:val="single" w:sz="8" w:color="0000EE"/>
            </w:tcBorders>
          </w:tcPr>
          <w:p>
            <w:pPr>
              <w:ind w:left="20"/>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(1)</w:t>
              </w:r>
            </w:hyperlink>
          </w:p>
        </w:tc>
        <w:tc>
          <w:tcPr>
            <w:tcW w:w="980" w:type="dxa"/>
            <w:vAlign w:val="bottom"/>
            <w:tcBorders>
              <w:top w:val="single" w:sz="8" w:color="0000EE"/>
              <w:bottom w:val="single" w:sz="8" w:color="0000EE"/>
            </w:tcBorders>
            <w:gridSpan w:val="5"/>
          </w:tcPr>
          <w:p>
            <w:pPr>
              <w:ind w:left="20"/>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Organization</w:t>
              </w:r>
            </w:hyperlink>
          </w:p>
        </w:tc>
        <w:tc>
          <w:tcPr>
            <w:tcW w:w="3120" w:type="dxa"/>
            <w:vAlign w:val="bottom"/>
            <w:tcBorders>
              <w:top w:val="single" w:sz="8" w:color="0000EE"/>
            </w:tcBorders>
            <w:gridSpan w:val="19"/>
          </w:tcPr>
          <w:p>
            <w:pPr>
              <w:spacing w:after="0"/>
              <w:rPr>
                <w:sz w:val="20"/>
                <w:szCs w:val="20"/>
                <w:color w:val="auto"/>
              </w:rPr>
            </w:pPr>
          </w:p>
        </w:tc>
        <w:tc>
          <w:tcPr>
            <w:tcW w:w="6220" w:type="dxa"/>
            <w:vAlign w:val="bottom"/>
            <w:gridSpan w:val="4"/>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37"/>
        </w:trPr>
        <w:tc>
          <w:tcPr>
            <w:tcW w:w="160" w:type="dxa"/>
            <w:vAlign w:val="bottom"/>
            <w:gridSpan w:val="2"/>
          </w:tcPr>
          <w:p>
            <w:pPr>
              <w:spacing w:after="0"/>
              <w:rPr>
                <w:sz w:val="20"/>
                <w:szCs w:val="20"/>
                <w:color w:val="auto"/>
              </w:rPr>
            </w:pPr>
          </w:p>
        </w:tc>
        <w:tc>
          <w:tcPr>
            <w:tcW w:w="240" w:type="dxa"/>
            <w:vAlign w:val="bottom"/>
          </w:tcPr>
          <w:p>
            <w:pPr>
              <w:ind w:left="20"/>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(2)</w:t>
              </w:r>
            </w:hyperlink>
          </w:p>
        </w:tc>
        <w:tc>
          <w:tcPr>
            <w:tcW w:w="10320" w:type="dxa"/>
            <w:vAlign w:val="bottom"/>
            <w:gridSpan w:val="28"/>
          </w:tcPr>
          <w:p>
            <w:pPr>
              <w:ind w:left="20"/>
              <w:spacing w:after="0"/>
              <w:rPr>
                <w:rFonts w:ascii="Arial" w:cs="Arial" w:eastAsia="Arial" w:hAnsi="Arial"/>
                <w:sz w:val="18"/>
                <w:szCs w:val="18"/>
                <w:color w:val="0000EE"/>
              </w:rPr>
            </w:pPr>
            <w:hyperlink w:anchor="page69">
              <w:r>
                <w:rPr>
                  <w:rFonts w:ascii="Arial" w:cs="Arial" w:eastAsia="Arial" w:hAnsi="Arial"/>
                  <w:sz w:val="18"/>
                  <w:szCs w:val="18"/>
                  <w:color w:val="0000EE"/>
                </w:rPr>
                <w:t>Basis of Preparation</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0"/>
        </w:trPr>
        <w:tc>
          <w:tcPr>
            <w:tcW w:w="1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37"/>
        </w:trPr>
        <w:tc>
          <w:tcPr>
            <w:tcW w:w="160" w:type="dxa"/>
            <w:vAlign w:val="bottom"/>
            <w:gridSpan w:val="2"/>
          </w:tcPr>
          <w:p>
            <w:pPr>
              <w:spacing w:after="0"/>
              <w:rPr>
                <w:sz w:val="20"/>
                <w:szCs w:val="20"/>
                <w:color w:val="auto"/>
              </w:rPr>
            </w:pPr>
          </w:p>
        </w:tc>
        <w:tc>
          <w:tcPr>
            <w:tcW w:w="240" w:type="dxa"/>
            <w:vAlign w:val="bottom"/>
            <w:tcBorders>
              <w:bottom w:val="single" w:sz="8" w:color="0000EE"/>
            </w:tcBorders>
          </w:tcPr>
          <w:p>
            <w:pPr>
              <w:ind w:left="20"/>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(3)</w:t>
              </w:r>
            </w:hyperlink>
          </w:p>
        </w:tc>
        <w:tc>
          <w:tcPr>
            <w:tcW w:w="4260" w:type="dxa"/>
            <w:vAlign w:val="bottom"/>
            <w:tcBorders>
              <w:bottom w:val="single" w:sz="8" w:color="0000EE"/>
            </w:tcBorders>
            <w:gridSpan w:val="25"/>
          </w:tcPr>
          <w:p>
            <w:pPr>
              <w:ind w:left="20"/>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Summary of Significant Accounting Policies and Practices</w:t>
              </w:r>
            </w:hyperlink>
          </w:p>
        </w:tc>
        <w:tc>
          <w:tcPr>
            <w:tcW w:w="6060" w:type="dxa"/>
            <w:vAlign w:val="bottom"/>
            <w:gridSpan w:val="3"/>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36"/>
        </w:trPr>
        <w:tc>
          <w:tcPr>
            <w:tcW w:w="160" w:type="dxa"/>
            <w:vAlign w:val="bottom"/>
            <w:gridSpan w:val="2"/>
          </w:tcPr>
          <w:p>
            <w:pPr>
              <w:spacing w:after="0"/>
              <w:rPr>
                <w:sz w:val="20"/>
                <w:szCs w:val="20"/>
                <w:color w:val="auto"/>
              </w:rPr>
            </w:pPr>
          </w:p>
        </w:tc>
        <w:tc>
          <w:tcPr>
            <w:tcW w:w="240" w:type="dxa"/>
            <w:vAlign w:val="bottom"/>
            <w:tcBorders>
              <w:bottom w:val="single" w:sz="8" w:color="0000EE"/>
            </w:tcBorders>
          </w:tcPr>
          <w:p>
            <w:pPr>
              <w:ind w:left="20"/>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(4)</w:t>
              </w:r>
            </w:hyperlink>
          </w:p>
        </w:tc>
        <w:tc>
          <w:tcPr>
            <w:tcW w:w="2500" w:type="dxa"/>
            <w:vAlign w:val="bottom"/>
            <w:tcBorders>
              <w:bottom w:val="single" w:sz="8" w:color="0000EE"/>
            </w:tcBorders>
            <w:gridSpan w:val="15"/>
          </w:tcPr>
          <w:p>
            <w:pPr>
              <w:ind w:left="2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Settlement Assets and Obligations</w:t>
              </w:r>
            </w:hyperlink>
          </w:p>
        </w:tc>
        <w:tc>
          <w:tcPr>
            <w:tcW w:w="7820" w:type="dxa"/>
            <w:vAlign w:val="bottom"/>
            <w:gridSpan w:val="13"/>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237"/>
        </w:trPr>
        <w:tc>
          <w:tcPr>
            <w:tcW w:w="160" w:type="dxa"/>
            <w:vAlign w:val="bottom"/>
            <w:gridSpan w:val="2"/>
          </w:tcPr>
          <w:p>
            <w:pPr>
              <w:spacing w:after="0"/>
              <w:rPr>
                <w:sz w:val="20"/>
                <w:szCs w:val="20"/>
                <w:color w:val="auto"/>
              </w:rPr>
            </w:pPr>
          </w:p>
        </w:tc>
        <w:tc>
          <w:tcPr>
            <w:tcW w:w="240" w:type="dxa"/>
            <w:vAlign w:val="bottom"/>
          </w:tcPr>
          <w:p>
            <w:pPr>
              <w:ind w:left="20"/>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(5)</w:t>
              </w:r>
            </w:hyperlink>
          </w:p>
        </w:tc>
        <w:tc>
          <w:tcPr>
            <w:tcW w:w="10320" w:type="dxa"/>
            <w:vAlign w:val="bottom"/>
            <w:gridSpan w:val="28"/>
          </w:tcPr>
          <w:p>
            <w:pPr>
              <w:ind w:left="20"/>
              <w:spacing w:after="0"/>
              <w:rPr>
                <w:rFonts w:ascii="Arial" w:cs="Arial" w:eastAsia="Arial" w:hAnsi="Arial"/>
                <w:sz w:val="18"/>
                <w:szCs w:val="18"/>
                <w:color w:val="0000EE"/>
              </w:rPr>
            </w:pPr>
            <w:hyperlink w:anchor="page76">
              <w:r>
                <w:rPr>
                  <w:rFonts w:ascii="Arial" w:cs="Arial" w:eastAsia="Arial" w:hAnsi="Arial"/>
                  <w:sz w:val="18"/>
                  <w:szCs w:val="18"/>
                  <w:color w:val="0000EE"/>
                </w:rPr>
                <w:t>Stockholders' Equity</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37"/>
        </w:trPr>
        <w:tc>
          <w:tcPr>
            <w:tcW w:w="160" w:type="dxa"/>
            <w:vAlign w:val="bottom"/>
            <w:gridSpan w:val="2"/>
          </w:tcPr>
          <w:p>
            <w:pPr>
              <w:spacing w:after="0"/>
              <w:rPr>
                <w:sz w:val="20"/>
                <w:szCs w:val="20"/>
                <w:color w:val="auto"/>
              </w:rPr>
            </w:pPr>
          </w:p>
        </w:tc>
        <w:tc>
          <w:tcPr>
            <w:tcW w:w="240" w:type="dxa"/>
            <w:vAlign w:val="bottom"/>
            <w:tcBorders>
              <w:top w:val="single" w:sz="8" w:color="0000EE"/>
              <w:bottom w:val="single" w:sz="8" w:color="0000EE"/>
            </w:tcBorders>
          </w:tcPr>
          <w:p>
            <w:pPr>
              <w:ind w:left="20"/>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(6)</w:t>
              </w:r>
            </w:hyperlink>
          </w:p>
        </w:tc>
        <w:tc>
          <w:tcPr>
            <w:tcW w:w="940" w:type="dxa"/>
            <w:vAlign w:val="bottom"/>
            <w:tcBorders>
              <w:top w:val="single" w:sz="8" w:color="0000EE"/>
              <w:bottom w:val="single" w:sz="8" w:color="0000EE"/>
            </w:tcBorders>
            <w:gridSpan w:val="3"/>
          </w:tcPr>
          <w:p>
            <w:pPr>
              <w:ind w:left="20"/>
              <w:spacing w:after="0"/>
              <w:rPr>
                <w:rFonts w:ascii="Arial" w:cs="Arial" w:eastAsia="Arial" w:hAnsi="Arial"/>
                <w:sz w:val="18"/>
                <w:szCs w:val="18"/>
                <w:color w:val="0000EE"/>
                <w:w w:val="93"/>
              </w:rPr>
            </w:pPr>
            <w:hyperlink w:anchor="page77">
              <w:r>
                <w:rPr>
                  <w:rFonts w:ascii="Arial" w:cs="Arial" w:eastAsia="Arial" w:hAnsi="Arial"/>
                  <w:sz w:val="18"/>
                  <w:szCs w:val="18"/>
                  <w:color w:val="0000EE"/>
                  <w:w w:val="93"/>
                </w:rPr>
                <w:t>Acquisitions</w:t>
              </w:r>
            </w:hyperlink>
          </w:p>
        </w:tc>
        <w:tc>
          <w:tcPr>
            <w:tcW w:w="580" w:type="dxa"/>
            <w:vAlign w:val="bottom"/>
            <w:tcBorders>
              <w:top w:val="single" w:sz="8" w:color="0000EE"/>
            </w:tcBorders>
            <w:gridSpan w:val="8"/>
          </w:tcPr>
          <w:p>
            <w:pPr>
              <w:spacing w:after="0"/>
              <w:rPr>
                <w:sz w:val="20"/>
                <w:szCs w:val="20"/>
                <w:color w:val="auto"/>
              </w:rPr>
            </w:pPr>
          </w:p>
        </w:tc>
        <w:tc>
          <w:tcPr>
            <w:tcW w:w="8800" w:type="dxa"/>
            <w:vAlign w:val="bottom"/>
            <w:gridSpan w:val="17"/>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37"/>
        </w:trPr>
        <w:tc>
          <w:tcPr>
            <w:tcW w:w="160" w:type="dxa"/>
            <w:vAlign w:val="bottom"/>
            <w:gridSpan w:val="2"/>
          </w:tcPr>
          <w:p>
            <w:pPr>
              <w:spacing w:after="0"/>
              <w:rPr>
                <w:sz w:val="20"/>
                <w:szCs w:val="20"/>
                <w:color w:val="auto"/>
              </w:rPr>
            </w:pPr>
          </w:p>
        </w:tc>
        <w:tc>
          <w:tcPr>
            <w:tcW w:w="240" w:type="dxa"/>
            <w:vAlign w:val="bottom"/>
            <w:tcBorders>
              <w:bottom w:val="single" w:sz="8" w:color="0000EE"/>
            </w:tcBorders>
          </w:tcPr>
          <w:p>
            <w:pPr>
              <w:ind w:left="20"/>
              <w:spacing w:after="0"/>
              <w:rPr>
                <w:sz w:val="20"/>
                <w:szCs w:val="20"/>
                <w:color w:val="auto"/>
              </w:rPr>
            </w:pPr>
            <w:r>
              <w:rPr>
                <w:rFonts w:ascii="Arial" w:cs="Arial" w:eastAsia="Arial" w:hAnsi="Arial"/>
                <w:sz w:val="18"/>
                <w:szCs w:val="18"/>
                <w:color w:val="0000EE"/>
                <w:w w:val="90"/>
              </w:rPr>
              <w:t>(7)</w:t>
            </w:r>
          </w:p>
        </w:tc>
        <w:tc>
          <w:tcPr>
            <w:tcW w:w="1160" w:type="dxa"/>
            <w:vAlign w:val="bottom"/>
            <w:tcBorders>
              <w:bottom w:val="single" w:sz="8" w:color="0000EE"/>
            </w:tcBorders>
            <w:gridSpan w:val="8"/>
          </w:tcPr>
          <w:p>
            <w:pPr>
              <w:ind w:left="20"/>
              <w:spacing w:after="0"/>
              <w:rPr>
                <w:sz w:val="20"/>
                <w:szCs w:val="20"/>
                <w:color w:val="auto"/>
              </w:rPr>
            </w:pPr>
            <w:r>
              <w:rPr>
                <w:rFonts w:ascii="Arial" w:cs="Arial" w:eastAsia="Arial" w:hAnsi="Arial"/>
                <w:sz w:val="18"/>
                <w:szCs w:val="18"/>
                <w:color w:val="0000EE"/>
                <w:w w:val="87"/>
              </w:rPr>
              <w:t>Restricted Cash</w:t>
            </w:r>
          </w:p>
        </w:tc>
        <w:tc>
          <w:tcPr>
            <w:tcW w:w="9160" w:type="dxa"/>
            <w:vAlign w:val="bottom"/>
            <w:gridSpan w:val="20"/>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236"/>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29"/>
          </w:tcPr>
          <w:p>
            <w:pPr>
              <w:ind w:left="20"/>
              <w:spacing w:after="0"/>
              <w:rPr>
                <w:rFonts w:ascii="Arial" w:cs="Arial" w:eastAsia="Arial" w:hAnsi="Arial"/>
                <w:sz w:val="18"/>
                <w:szCs w:val="18"/>
                <w:color w:val="0000EE"/>
              </w:rPr>
            </w:pPr>
            <w:hyperlink w:anchor="page79">
              <w:r>
                <w:rPr>
                  <w:rFonts w:ascii="Arial" w:cs="Arial" w:eastAsia="Arial" w:hAnsi="Arial"/>
                  <w:sz w:val="18"/>
                  <w:szCs w:val="18"/>
                  <w:color w:val="0000EE"/>
                </w:rPr>
                <w:t>(8)</w:t>
              </w:r>
              <w:r>
                <w:rPr>
                  <w:rFonts w:ascii="Arial" w:cs="Arial" w:eastAsia="Arial" w:hAnsi="Arial"/>
                  <w:sz w:val="18"/>
                  <w:szCs w:val="18"/>
                  <w:u w:val="single" w:color="auto"/>
                  <w:color w:val="0000EE"/>
                </w:rPr>
                <w:t>Property</w:t>
              </w:r>
              <w:r>
                <w:rPr>
                  <w:rFonts w:ascii="Arial" w:cs="Arial" w:eastAsia="Arial" w:hAnsi="Arial"/>
                  <w:sz w:val="18"/>
                  <w:szCs w:val="18"/>
                  <w:color w:val="0000EE"/>
                </w:rPr>
                <w:t xml:space="preserve"> and Equipment, Net</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20"/>
        </w:trPr>
        <w:tc>
          <w:tcPr>
            <w:tcW w:w="1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37"/>
        </w:trPr>
        <w:tc>
          <w:tcPr>
            <w:tcW w:w="160" w:type="dxa"/>
            <w:vAlign w:val="bottom"/>
            <w:gridSpan w:val="2"/>
          </w:tcPr>
          <w:p>
            <w:pPr>
              <w:spacing w:after="0"/>
              <w:rPr>
                <w:sz w:val="20"/>
                <w:szCs w:val="20"/>
                <w:color w:val="auto"/>
              </w:rPr>
            </w:pPr>
          </w:p>
        </w:tc>
        <w:tc>
          <w:tcPr>
            <w:tcW w:w="240" w:type="dxa"/>
            <w:vAlign w:val="bottom"/>
          </w:tcPr>
          <w:p>
            <w:pPr>
              <w:ind w:left="20"/>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(9)</w:t>
              </w:r>
            </w:hyperlink>
          </w:p>
        </w:tc>
        <w:tc>
          <w:tcPr>
            <w:tcW w:w="10320" w:type="dxa"/>
            <w:vAlign w:val="bottom"/>
            <w:gridSpan w:val="28"/>
          </w:tcPr>
          <w:p>
            <w:pPr>
              <w:ind w:left="20"/>
              <w:spacing w:after="0"/>
              <w:rPr>
                <w:rFonts w:ascii="Arial" w:cs="Arial" w:eastAsia="Arial" w:hAnsi="Arial"/>
                <w:sz w:val="18"/>
                <w:szCs w:val="18"/>
                <w:color w:val="0000EE"/>
              </w:rPr>
            </w:pPr>
            <w:hyperlink w:anchor="page80">
              <w:r>
                <w:rPr>
                  <w:rFonts w:ascii="Arial" w:cs="Arial" w:eastAsia="Arial" w:hAnsi="Arial"/>
                  <w:sz w:val="18"/>
                  <w:szCs w:val="18"/>
                  <w:color w:val="0000EE"/>
                </w:rPr>
                <w:t>Goodwill and Acquired Intangible Assets, Net</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20"/>
        </w:trPr>
        <w:tc>
          <w:tcPr>
            <w:tcW w:w="16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37"/>
        </w:trPr>
        <w:tc>
          <w:tcPr>
            <w:tcW w:w="160" w:type="dxa"/>
            <w:vAlign w:val="bottom"/>
            <w:gridSpan w:val="2"/>
          </w:tcPr>
          <w:p>
            <w:pPr>
              <w:spacing w:after="0"/>
              <w:rPr>
                <w:sz w:val="20"/>
                <w:szCs w:val="20"/>
                <w:color w:val="auto"/>
              </w:rPr>
            </w:pPr>
          </w:p>
        </w:tc>
        <w:tc>
          <w:tcPr>
            <w:tcW w:w="340" w:type="dxa"/>
            <w:vAlign w:val="bottom"/>
            <w:tcBorders>
              <w:bottom w:val="single" w:sz="8" w:color="0000EE"/>
            </w:tcBorders>
            <w:gridSpan w:val="2"/>
          </w:tcPr>
          <w:p>
            <w:pPr>
              <w:ind w:left="20"/>
              <w:spacing w:after="0"/>
              <w:rPr>
                <w:rFonts w:ascii="Arial" w:cs="Arial" w:eastAsia="Arial" w:hAnsi="Arial"/>
                <w:sz w:val="18"/>
                <w:szCs w:val="18"/>
                <w:color w:val="0000EE"/>
                <w:w w:val="93"/>
              </w:rPr>
            </w:pPr>
            <w:hyperlink w:anchor="page81">
              <w:r>
                <w:rPr>
                  <w:rFonts w:ascii="Arial" w:cs="Arial" w:eastAsia="Arial" w:hAnsi="Arial"/>
                  <w:sz w:val="18"/>
                  <w:szCs w:val="18"/>
                  <w:color w:val="0000EE"/>
                  <w:w w:val="93"/>
                </w:rPr>
                <w:t>(10)</w:t>
              </w:r>
            </w:hyperlink>
          </w:p>
        </w:tc>
        <w:tc>
          <w:tcPr>
            <w:tcW w:w="3500" w:type="dxa"/>
            <w:vAlign w:val="bottom"/>
            <w:tcBorders>
              <w:bottom w:val="single" w:sz="8" w:color="0000EE"/>
            </w:tcBorders>
            <w:gridSpan w:val="20"/>
          </w:tcPr>
          <w:p>
            <w:pPr>
              <w:ind w:left="20"/>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Accrued Expenses and Other Current Liabilities</w:t>
              </w:r>
            </w:hyperlink>
          </w:p>
        </w:tc>
        <w:tc>
          <w:tcPr>
            <w:tcW w:w="6720" w:type="dxa"/>
            <w:vAlign w:val="bottom"/>
            <w:gridSpan w:val="7"/>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29"/>
          </w:tcPr>
          <w:p>
            <w:pPr>
              <w:ind w:left="20"/>
              <w:spacing w:after="0"/>
              <w:rPr>
                <w:rFonts w:ascii="Arial" w:cs="Arial" w:eastAsia="Arial" w:hAnsi="Arial"/>
                <w:sz w:val="18"/>
                <w:szCs w:val="18"/>
                <w:color w:val="0000EE"/>
              </w:rPr>
            </w:pPr>
            <w:hyperlink w:anchor="page82">
              <w:r>
                <w:rPr>
                  <w:rFonts w:ascii="Arial" w:cs="Arial" w:eastAsia="Arial" w:hAnsi="Arial"/>
                  <w:sz w:val="18"/>
                  <w:szCs w:val="18"/>
                  <w:color w:val="0000EE"/>
                </w:rPr>
                <w:t>(11) Debt Obligations</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0"/>
        </w:trPr>
        <w:tc>
          <w:tcPr>
            <w:tcW w:w="16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4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37"/>
        </w:trPr>
        <w:tc>
          <w:tcPr>
            <w:tcW w:w="160" w:type="dxa"/>
            <w:vAlign w:val="bottom"/>
            <w:gridSpan w:val="2"/>
          </w:tcPr>
          <w:p>
            <w:pPr>
              <w:spacing w:after="0"/>
              <w:rPr>
                <w:sz w:val="20"/>
                <w:szCs w:val="20"/>
                <w:color w:val="auto"/>
              </w:rPr>
            </w:pPr>
          </w:p>
        </w:tc>
        <w:tc>
          <w:tcPr>
            <w:tcW w:w="340" w:type="dxa"/>
            <w:vAlign w:val="bottom"/>
            <w:gridSpan w:val="2"/>
          </w:tcPr>
          <w:p>
            <w:pPr>
              <w:ind w:left="20"/>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(12)</w:t>
              </w:r>
            </w:hyperlink>
          </w:p>
        </w:tc>
        <w:tc>
          <w:tcPr>
            <w:tcW w:w="10220" w:type="dxa"/>
            <w:vAlign w:val="bottom"/>
            <w:gridSpan w:val="27"/>
          </w:tcPr>
          <w:p>
            <w:pPr>
              <w:ind w:left="20"/>
              <w:spacing w:after="0"/>
              <w:rPr>
                <w:rFonts w:ascii="Arial" w:cs="Arial" w:eastAsia="Arial" w:hAnsi="Arial"/>
                <w:sz w:val="18"/>
                <w:szCs w:val="18"/>
                <w:color w:val="0000EE"/>
              </w:rPr>
            </w:pPr>
            <w:hyperlink w:anchor="page84">
              <w:r>
                <w:rPr>
                  <w:rFonts w:ascii="Arial" w:cs="Arial" w:eastAsia="Arial" w:hAnsi="Arial"/>
                  <w:sz w:val="18"/>
                  <w:szCs w:val="18"/>
                  <w:color w:val="0000EE"/>
                </w:rPr>
                <w:t>Derivative Instruments and Hedging Activities</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236"/>
        </w:trPr>
        <w:tc>
          <w:tcPr>
            <w:tcW w:w="160" w:type="dxa"/>
            <w:vAlign w:val="bottom"/>
            <w:gridSpan w:val="2"/>
          </w:tcPr>
          <w:p>
            <w:pPr>
              <w:spacing w:after="0"/>
              <w:rPr>
                <w:sz w:val="20"/>
                <w:szCs w:val="20"/>
                <w:color w:val="auto"/>
              </w:rPr>
            </w:pPr>
          </w:p>
        </w:tc>
        <w:tc>
          <w:tcPr>
            <w:tcW w:w="340" w:type="dxa"/>
            <w:vAlign w:val="bottom"/>
            <w:tcBorders>
              <w:top w:val="single" w:sz="8" w:color="0000EE"/>
            </w:tcBorders>
            <w:gridSpan w:val="2"/>
          </w:tcPr>
          <w:p>
            <w:pPr>
              <w:ind w:left="20"/>
              <w:spacing w:after="0"/>
              <w:rPr>
                <w:rFonts w:ascii="Arial" w:cs="Arial" w:eastAsia="Arial" w:hAnsi="Arial"/>
                <w:sz w:val="18"/>
                <w:szCs w:val="18"/>
                <w:color w:val="0000EE"/>
                <w:w w:val="93"/>
              </w:rPr>
            </w:pPr>
            <w:hyperlink w:anchor="page87">
              <w:r>
                <w:rPr>
                  <w:rFonts w:ascii="Arial" w:cs="Arial" w:eastAsia="Arial" w:hAnsi="Arial"/>
                  <w:sz w:val="18"/>
                  <w:szCs w:val="18"/>
                  <w:color w:val="0000EE"/>
                  <w:w w:val="93"/>
                </w:rPr>
                <w:t>(13)</w:t>
              </w:r>
            </w:hyperlink>
          </w:p>
        </w:tc>
        <w:tc>
          <w:tcPr>
            <w:tcW w:w="3380" w:type="dxa"/>
            <w:vAlign w:val="bottom"/>
            <w:tcBorders>
              <w:top w:val="single" w:sz="8" w:color="0000EE"/>
            </w:tcBorders>
            <w:gridSpan w:val="19"/>
          </w:tcPr>
          <w:p>
            <w:pPr>
              <w:ind w:left="20"/>
              <w:spacing w:after="0"/>
              <w:rPr>
                <w:rFonts w:ascii="Arial" w:cs="Arial" w:eastAsia="Arial" w:hAnsi="Arial"/>
                <w:sz w:val="18"/>
                <w:szCs w:val="18"/>
                <w:color w:val="0000EE"/>
              </w:rPr>
            </w:pPr>
            <w:hyperlink w:anchor="page87">
              <w:r>
                <w:rPr>
                  <w:rFonts w:ascii="Arial" w:cs="Arial" w:eastAsia="Arial" w:hAnsi="Arial"/>
                  <w:sz w:val="18"/>
                  <w:szCs w:val="18"/>
                  <w:color w:val="0000EE"/>
                </w:rPr>
                <w:t>Leases</w:t>
              </w:r>
            </w:hyperlink>
          </w:p>
        </w:tc>
        <w:tc>
          <w:tcPr>
            <w:tcW w:w="6840" w:type="dxa"/>
            <w:vAlign w:val="bottom"/>
            <w:gridSpan w:val="8"/>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r>
      <w:tr>
        <w:trPr>
          <w:trHeight w:val="20"/>
        </w:trPr>
        <w:tc>
          <w:tcPr>
            <w:tcW w:w="16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64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37"/>
        </w:trPr>
        <w:tc>
          <w:tcPr>
            <w:tcW w:w="160" w:type="dxa"/>
            <w:vAlign w:val="bottom"/>
            <w:gridSpan w:val="2"/>
          </w:tcPr>
          <w:p>
            <w:pPr>
              <w:spacing w:after="0"/>
              <w:rPr>
                <w:sz w:val="20"/>
                <w:szCs w:val="20"/>
                <w:color w:val="auto"/>
              </w:rPr>
            </w:pPr>
          </w:p>
        </w:tc>
        <w:tc>
          <w:tcPr>
            <w:tcW w:w="340" w:type="dxa"/>
            <w:vAlign w:val="bottom"/>
            <w:tcBorders>
              <w:bottom w:val="single" w:sz="8" w:color="0000EE"/>
            </w:tcBorders>
            <w:gridSpan w:val="2"/>
          </w:tcPr>
          <w:p>
            <w:pPr>
              <w:ind w:left="20"/>
              <w:spacing w:after="0"/>
              <w:rPr>
                <w:rFonts w:ascii="Arial" w:cs="Arial" w:eastAsia="Arial" w:hAnsi="Arial"/>
                <w:sz w:val="18"/>
                <w:szCs w:val="18"/>
                <w:color w:val="0000EE"/>
                <w:w w:val="93"/>
              </w:rPr>
            </w:pPr>
            <w:hyperlink w:anchor="page89">
              <w:r>
                <w:rPr>
                  <w:rFonts w:ascii="Arial" w:cs="Arial" w:eastAsia="Arial" w:hAnsi="Arial"/>
                  <w:sz w:val="18"/>
                  <w:szCs w:val="18"/>
                  <w:color w:val="0000EE"/>
                  <w:w w:val="93"/>
                </w:rPr>
                <w:t>(14)</w:t>
              </w:r>
            </w:hyperlink>
          </w:p>
        </w:tc>
        <w:tc>
          <w:tcPr>
            <w:tcW w:w="1020" w:type="dxa"/>
            <w:vAlign w:val="bottom"/>
            <w:tcBorders>
              <w:bottom w:val="single" w:sz="8" w:color="0000EE"/>
            </w:tcBorders>
            <w:gridSpan w:val="5"/>
          </w:tcPr>
          <w:p>
            <w:pPr>
              <w:ind w:left="20"/>
              <w:spacing w:after="0"/>
              <w:rPr>
                <w:rFonts w:ascii="Arial" w:cs="Arial" w:eastAsia="Arial" w:hAnsi="Arial"/>
                <w:sz w:val="18"/>
                <w:szCs w:val="18"/>
                <w:color w:val="0000EE"/>
                <w:w w:val="86"/>
              </w:rPr>
            </w:pPr>
            <w:hyperlink w:anchor="page89">
              <w:r>
                <w:rPr>
                  <w:rFonts w:ascii="Arial" w:cs="Arial" w:eastAsia="Arial" w:hAnsi="Arial"/>
                  <w:sz w:val="18"/>
                  <w:szCs w:val="18"/>
                  <w:color w:val="0000EE"/>
                  <w:w w:val="86"/>
                </w:rPr>
                <w:t>Income Taxes</w:t>
              </w:r>
            </w:hyperlink>
          </w:p>
        </w:tc>
        <w:tc>
          <w:tcPr>
            <w:tcW w:w="9200" w:type="dxa"/>
            <w:vAlign w:val="bottom"/>
            <w:gridSpan w:val="22"/>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r>
      <w:tr>
        <w:trPr>
          <w:trHeight w:val="237"/>
        </w:trPr>
        <w:tc>
          <w:tcPr>
            <w:tcW w:w="160" w:type="dxa"/>
            <w:vAlign w:val="bottom"/>
            <w:gridSpan w:val="2"/>
          </w:tcPr>
          <w:p>
            <w:pPr>
              <w:spacing w:after="0"/>
              <w:rPr>
                <w:sz w:val="20"/>
                <w:szCs w:val="20"/>
                <w:color w:val="auto"/>
              </w:rPr>
            </w:pPr>
          </w:p>
        </w:tc>
        <w:tc>
          <w:tcPr>
            <w:tcW w:w="340" w:type="dxa"/>
            <w:vAlign w:val="bottom"/>
            <w:tcBorders>
              <w:bottom w:val="single" w:sz="8" w:color="0000EE"/>
            </w:tcBorders>
            <w:gridSpan w:val="2"/>
          </w:tcPr>
          <w:p>
            <w:pPr>
              <w:ind w:left="20"/>
              <w:spacing w:after="0"/>
              <w:rPr>
                <w:rFonts w:ascii="Arial" w:cs="Arial" w:eastAsia="Arial" w:hAnsi="Arial"/>
                <w:sz w:val="18"/>
                <w:szCs w:val="18"/>
                <w:color w:val="0000EE"/>
                <w:w w:val="93"/>
              </w:rPr>
            </w:pPr>
            <w:hyperlink w:anchor="page93">
              <w:r>
                <w:rPr>
                  <w:rFonts w:ascii="Arial" w:cs="Arial" w:eastAsia="Arial" w:hAnsi="Arial"/>
                  <w:sz w:val="18"/>
                  <w:szCs w:val="18"/>
                  <w:color w:val="0000EE"/>
                  <w:w w:val="93"/>
                </w:rPr>
                <w:t>(15)</w:t>
              </w:r>
            </w:hyperlink>
          </w:p>
        </w:tc>
        <w:tc>
          <w:tcPr>
            <w:tcW w:w="2560" w:type="dxa"/>
            <w:vAlign w:val="bottom"/>
            <w:tcBorders>
              <w:bottom w:val="single" w:sz="8" w:color="0000EE"/>
            </w:tcBorders>
            <w:gridSpan w:val="16"/>
          </w:tcPr>
          <w:p>
            <w:pPr>
              <w:ind w:left="20"/>
              <w:spacing w:after="0"/>
              <w:rPr>
                <w:rFonts w:ascii="Arial" w:cs="Arial" w:eastAsia="Arial" w:hAnsi="Arial"/>
                <w:sz w:val="18"/>
                <w:szCs w:val="18"/>
                <w:color w:val="0000EE"/>
                <w:w w:val="91"/>
              </w:rPr>
            </w:pPr>
            <w:hyperlink w:anchor="page93">
              <w:r>
                <w:rPr>
                  <w:rFonts w:ascii="Arial" w:cs="Arial" w:eastAsia="Arial" w:hAnsi="Arial"/>
                  <w:sz w:val="18"/>
                  <w:szCs w:val="18"/>
                  <w:color w:val="0000EE"/>
                  <w:w w:val="91"/>
                </w:rPr>
                <w:t>Valuation and Qualifying Accounts</w:t>
              </w:r>
            </w:hyperlink>
          </w:p>
        </w:tc>
        <w:tc>
          <w:tcPr>
            <w:tcW w:w="7660" w:type="dxa"/>
            <w:vAlign w:val="bottom"/>
            <w:gridSpan w:val="11"/>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36"/>
        </w:trPr>
        <w:tc>
          <w:tcPr>
            <w:tcW w:w="160" w:type="dxa"/>
            <w:vAlign w:val="bottom"/>
            <w:gridSpan w:val="2"/>
          </w:tcPr>
          <w:p>
            <w:pPr>
              <w:spacing w:after="0"/>
              <w:rPr>
                <w:sz w:val="20"/>
                <w:szCs w:val="20"/>
                <w:color w:val="auto"/>
              </w:rPr>
            </w:pPr>
          </w:p>
        </w:tc>
        <w:tc>
          <w:tcPr>
            <w:tcW w:w="340" w:type="dxa"/>
            <w:vAlign w:val="bottom"/>
            <w:tcBorders>
              <w:bottom w:val="single" w:sz="8" w:color="0000EE"/>
            </w:tcBorders>
            <w:gridSpan w:val="2"/>
          </w:tcPr>
          <w:p>
            <w:pPr>
              <w:ind w:left="20"/>
              <w:spacing w:after="0"/>
              <w:rPr>
                <w:rFonts w:ascii="Arial" w:cs="Arial" w:eastAsia="Arial" w:hAnsi="Arial"/>
                <w:sz w:val="18"/>
                <w:szCs w:val="18"/>
                <w:color w:val="0000EE"/>
                <w:w w:val="93"/>
              </w:rPr>
            </w:pPr>
            <w:hyperlink w:anchor="page94">
              <w:r>
                <w:rPr>
                  <w:rFonts w:ascii="Arial" w:cs="Arial" w:eastAsia="Arial" w:hAnsi="Arial"/>
                  <w:sz w:val="18"/>
                  <w:szCs w:val="18"/>
                  <w:color w:val="0000EE"/>
                  <w:w w:val="93"/>
                </w:rPr>
                <w:t>(16)</w:t>
              </w:r>
            </w:hyperlink>
          </w:p>
        </w:tc>
        <w:tc>
          <w:tcPr>
            <w:tcW w:w="860" w:type="dxa"/>
            <w:vAlign w:val="bottom"/>
            <w:tcBorders>
              <w:bottom w:val="single" w:sz="8" w:color="0000EE"/>
            </w:tcBorders>
            <w:gridSpan w:val="3"/>
          </w:tcPr>
          <w:p>
            <w:pPr>
              <w:ind w:left="20"/>
              <w:spacing w:after="0"/>
              <w:rPr>
                <w:rFonts w:ascii="Arial" w:cs="Arial" w:eastAsia="Arial" w:hAnsi="Arial"/>
                <w:sz w:val="18"/>
                <w:szCs w:val="18"/>
                <w:color w:val="0000EE"/>
                <w:w w:val="86"/>
              </w:rPr>
            </w:pPr>
            <w:hyperlink w:anchor="page94">
              <w:r>
                <w:rPr>
                  <w:rFonts w:ascii="Arial" w:cs="Arial" w:eastAsia="Arial" w:hAnsi="Arial"/>
                  <w:sz w:val="18"/>
                  <w:szCs w:val="18"/>
                  <w:color w:val="0000EE"/>
                  <w:w w:val="86"/>
                </w:rPr>
                <w:t>Stock Plans</w:t>
              </w:r>
            </w:hyperlink>
          </w:p>
        </w:tc>
        <w:tc>
          <w:tcPr>
            <w:tcW w:w="9360" w:type="dxa"/>
            <w:vAlign w:val="bottom"/>
            <w:gridSpan w:val="24"/>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r>
        <w:trPr>
          <w:trHeight w:val="237"/>
        </w:trPr>
        <w:tc>
          <w:tcPr>
            <w:tcW w:w="160" w:type="dxa"/>
            <w:vAlign w:val="bottom"/>
            <w:gridSpan w:val="2"/>
          </w:tcPr>
          <w:p>
            <w:pPr>
              <w:spacing w:after="0"/>
              <w:rPr>
                <w:sz w:val="20"/>
                <w:szCs w:val="20"/>
                <w:color w:val="auto"/>
              </w:rPr>
            </w:pPr>
          </w:p>
        </w:tc>
        <w:tc>
          <w:tcPr>
            <w:tcW w:w="340" w:type="dxa"/>
            <w:vAlign w:val="bottom"/>
            <w:tcBorders>
              <w:bottom w:val="single" w:sz="8" w:color="0000EE"/>
            </w:tcBorders>
            <w:gridSpan w:val="2"/>
          </w:tcPr>
          <w:p>
            <w:pPr>
              <w:ind w:left="20"/>
              <w:spacing w:after="0"/>
              <w:rPr>
                <w:rFonts w:ascii="Arial" w:cs="Arial" w:eastAsia="Arial" w:hAnsi="Arial"/>
                <w:sz w:val="18"/>
                <w:szCs w:val="18"/>
                <w:color w:val="0000EE"/>
                <w:w w:val="93"/>
              </w:rPr>
            </w:pPr>
            <w:hyperlink w:anchor="page96">
              <w:r>
                <w:rPr>
                  <w:rFonts w:ascii="Arial" w:cs="Arial" w:eastAsia="Arial" w:hAnsi="Arial"/>
                  <w:sz w:val="18"/>
                  <w:szCs w:val="18"/>
                  <w:color w:val="0000EE"/>
                  <w:w w:val="93"/>
                </w:rPr>
                <w:t>(17)</w:t>
              </w:r>
            </w:hyperlink>
          </w:p>
        </w:tc>
        <w:tc>
          <w:tcPr>
            <w:tcW w:w="2240" w:type="dxa"/>
            <w:vAlign w:val="bottom"/>
            <w:tcBorders>
              <w:bottom w:val="single" w:sz="8" w:color="0000EE"/>
            </w:tcBorders>
            <w:gridSpan w:val="13"/>
          </w:tcPr>
          <w:p>
            <w:pPr>
              <w:ind w:left="20"/>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Business Segment Information</w:t>
              </w:r>
            </w:hyperlink>
          </w:p>
        </w:tc>
        <w:tc>
          <w:tcPr>
            <w:tcW w:w="7980" w:type="dxa"/>
            <w:vAlign w:val="bottom"/>
            <w:gridSpan w:val="14"/>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237"/>
        </w:trPr>
        <w:tc>
          <w:tcPr>
            <w:tcW w:w="160" w:type="dxa"/>
            <w:vAlign w:val="bottom"/>
            <w:gridSpan w:val="2"/>
          </w:tcPr>
          <w:p>
            <w:pPr>
              <w:spacing w:after="0"/>
              <w:rPr>
                <w:sz w:val="20"/>
                <w:szCs w:val="20"/>
                <w:color w:val="auto"/>
              </w:rPr>
            </w:pPr>
          </w:p>
        </w:tc>
        <w:tc>
          <w:tcPr>
            <w:tcW w:w="340" w:type="dxa"/>
            <w:vAlign w:val="bottom"/>
            <w:gridSpan w:val="2"/>
          </w:tcPr>
          <w:p>
            <w:pPr>
              <w:ind w:left="20"/>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(18)</w:t>
              </w:r>
            </w:hyperlink>
          </w:p>
        </w:tc>
        <w:tc>
          <w:tcPr>
            <w:tcW w:w="10220" w:type="dxa"/>
            <w:vAlign w:val="bottom"/>
            <w:gridSpan w:val="27"/>
          </w:tcPr>
          <w:p>
            <w:pPr>
              <w:ind w:left="20"/>
              <w:spacing w:after="0"/>
              <w:rPr>
                <w:rFonts w:ascii="Arial" w:cs="Arial" w:eastAsia="Arial" w:hAnsi="Arial"/>
                <w:sz w:val="18"/>
                <w:szCs w:val="18"/>
                <w:color w:val="0000EE"/>
              </w:rPr>
            </w:pPr>
            <w:hyperlink w:anchor="page100">
              <w:r>
                <w:rPr>
                  <w:rFonts w:ascii="Arial" w:cs="Arial" w:eastAsia="Arial" w:hAnsi="Arial"/>
                  <w:sz w:val="18"/>
                  <w:szCs w:val="18"/>
                  <w:color w:val="0000EE"/>
                </w:rPr>
                <w:t>Financial Instruments and Fair Value Measurements</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r>
      <w:tr>
        <w:trPr>
          <w:trHeight w:val="236"/>
        </w:trPr>
        <w:tc>
          <w:tcPr>
            <w:tcW w:w="160" w:type="dxa"/>
            <w:vAlign w:val="bottom"/>
            <w:gridSpan w:val="2"/>
          </w:tcPr>
          <w:p>
            <w:pPr>
              <w:spacing w:after="0"/>
              <w:rPr>
                <w:sz w:val="20"/>
                <w:szCs w:val="20"/>
                <w:color w:val="auto"/>
              </w:rPr>
            </w:pPr>
          </w:p>
        </w:tc>
        <w:tc>
          <w:tcPr>
            <w:tcW w:w="340" w:type="dxa"/>
            <w:vAlign w:val="bottom"/>
            <w:tcBorders>
              <w:top w:val="single" w:sz="8" w:color="0000EE"/>
            </w:tcBorders>
            <w:gridSpan w:val="2"/>
          </w:tcPr>
          <w:p>
            <w:pPr>
              <w:ind w:left="20"/>
              <w:spacing w:after="0"/>
              <w:rPr>
                <w:rFonts w:ascii="Arial" w:cs="Arial" w:eastAsia="Arial" w:hAnsi="Arial"/>
                <w:sz w:val="18"/>
                <w:szCs w:val="18"/>
                <w:color w:val="0000EE"/>
                <w:w w:val="93"/>
              </w:rPr>
            </w:pPr>
            <w:hyperlink w:anchor="page101">
              <w:r>
                <w:rPr>
                  <w:rFonts w:ascii="Arial" w:cs="Arial" w:eastAsia="Arial" w:hAnsi="Arial"/>
                  <w:sz w:val="18"/>
                  <w:szCs w:val="18"/>
                  <w:color w:val="0000EE"/>
                  <w:w w:val="93"/>
                </w:rPr>
                <w:t>(19)</w:t>
              </w:r>
            </w:hyperlink>
          </w:p>
        </w:tc>
        <w:tc>
          <w:tcPr>
            <w:tcW w:w="3760" w:type="dxa"/>
            <w:vAlign w:val="bottom"/>
            <w:tcBorders>
              <w:top w:val="single" w:sz="8" w:color="0000EE"/>
            </w:tcBorders>
            <w:gridSpan w:val="22"/>
          </w:tcPr>
          <w:p>
            <w:pPr>
              <w:ind w:left="20"/>
              <w:spacing w:after="0"/>
              <w:rPr>
                <w:rFonts w:ascii="Arial" w:cs="Arial" w:eastAsia="Arial" w:hAnsi="Arial"/>
                <w:sz w:val="18"/>
                <w:szCs w:val="18"/>
                <w:color w:val="0000EE"/>
              </w:rPr>
            </w:pPr>
            <w:hyperlink w:anchor="page101">
              <w:r>
                <w:rPr>
                  <w:rFonts w:ascii="Arial" w:cs="Arial" w:eastAsia="Arial" w:hAnsi="Arial"/>
                  <w:sz w:val="18"/>
                  <w:szCs w:val="18"/>
                  <w:color w:val="0000EE"/>
                </w:rPr>
                <w:t>Litigation and Contingencies</w:t>
              </w:r>
            </w:hyperlink>
          </w:p>
        </w:tc>
        <w:tc>
          <w:tcPr>
            <w:tcW w:w="6460" w:type="dxa"/>
            <w:vAlign w:val="bottom"/>
            <w:gridSpan w:val="5"/>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237"/>
        </w:trPr>
        <w:tc>
          <w:tcPr>
            <w:tcW w:w="160" w:type="dxa"/>
            <w:vAlign w:val="bottom"/>
            <w:gridSpan w:val="2"/>
          </w:tcPr>
          <w:p>
            <w:pPr>
              <w:spacing w:after="0"/>
              <w:rPr>
                <w:sz w:val="20"/>
                <w:szCs w:val="20"/>
                <w:color w:val="auto"/>
              </w:rPr>
            </w:pPr>
          </w:p>
        </w:tc>
        <w:tc>
          <w:tcPr>
            <w:tcW w:w="340" w:type="dxa"/>
            <w:vAlign w:val="bottom"/>
            <w:tcBorders>
              <w:top w:val="single" w:sz="8" w:color="0000EE"/>
              <w:bottom w:val="single" w:sz="8" w:color="0000EE"/>
            </w:tcBorders>
            <w:gridSpan w:val="2"/>
          </w:tcPr>
          <w:p>
            <w:pPr>
              <w:ind w:left="20"/>
              <w:spacing w:after="0"/>
              <w:rPr>
                <w:rFonts w:ascii="Arial" w:cs="Arial" w:eastAsia="Arial" w:hAnsi="Arial"/>
                <w:sz w:val="18"/>
                <w:szCs w:val="18"/>
                <w:color w:val="0000EE"/>
                <w:w w:val="93"/>
              </w:rPr>
            </w:pPr>
            <w:hyperlink w:anchor="page102">
              <w:r>
                <w:rPr>
                  <w:rFonts w:ascii="Arial" w:cs="Arial" w:eastAsia="Arial" w:hAnsi="Arial"/>
                  <w:sz w:val="18"/>
                  <w:szCs w:val="18"/>
                  <w:color w:val="0000EE"/>
                  <w:w w:val="93"/>
                </w:rPr>
                <w:t>(20)</w:t>
              </w:r>
            </w:hyperlink>
          </w:p>
        </w:tc>
        <w:tc>
          <w:tcPr>
            <w:tcW w:w="1040" w:type="dxa"/>
            <w:vAlign w:val="bottom"/>
            <w:tcBorders>
              <w:top w:val="single" w:sz="8" w:color="0000EE"/>
              <w:bottom w:val="single" w:sz="8" w:color="0000EE"/>
            </w:tcBorders>
            <w:gridSpan w:val="6"/>
          </w:tcPr>
          <w:p>
            <w:pPr>
              <w:ind w:left="20"/>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Commitments</w:t>
              </w:r>
            </w:hyperlink>
          </w:p>
        </w:tc>
        <w:tc>
          <w:tcPr>
            <w:tcW w:w="1060" w:type="dxa"/>
            <w:vAlign w:val="bottom"/>
            <w:tcBorders>
              <w:top w:val="single" w:sz="8" w:color="0000EE"/>
            </w:tcBorders>
            <w:gridSpan w:val="6"/>
          </w:tcPr>
          <w:p>
            <w:pPr>
              <w:spacing w:after="0"/>
              <w:rPr>
                <w:sz w:val="20"/>
                <w:szCs w:val="20"/>
                <w:color w:val="auto"/>
              </w:rPr>
            </w:pPr>
          </w:p>
        </w:tc>
        <w:tc>
          <w:tcPr>
            <w:tcW w:w="8120" w:type="dxa"/>
            <w:vAlign w:val="bottom"/>
            <w:gridSpan w:val="15"/>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r>
      <w:tr>
        <w:trPr>
          <w:trHeight w:val="236"/>
        </w:trPr>
        <w:tc>
          <w:tcPr>
            <w:tcW w:w="160" w:type="dxa"/>
            <w:vAlign w:val="bottom"/>
            <w:gridSpan w:val="2"/>
          </w:tcPr>
          <w:p>
            <w:pPr>
              <w:spacing w:after="0"/>
              <w:rPr>
                <w:sz w:val="20"/>
                <w:szCs w:val="20"/>
                <w:color w:val="auto"/>
              </w:rPr>
            </w:pPr>
          </w:p>
        </w:tc>
        <w:tc>
          <w:tcPr>
            <w:tcW w:w="340" w:type="dxa"/>
            <w:vAlign w:val="bottom"/>
            <w:gridSpan w:val="2"/>
          </w:tcPr>
          <w:p>
            <w:pPr>
              <w:ind w:left="20"/>
              <w:spacing w:after="0"/>
              <w:rPr>
                <w:rFonts w:ascii="Arial" w:cs="Arial" w:eastAsia="Arial" w:hAnsi="Arial"/>
                <w:sz w:val="18"/>
                <w:szCs w:val="18"/>
                <w:color w:val="0000EE"/>
                <w:w w:val="93"/>
              </w:rPr>
            </w:pPr>
            <w:hyperlink w:anchor="page102">
              <w:r>
                <w:rPr>
                  <w:rFonts w:ascii="Arial" w:cs="Arial" w:eastAsia="Arial" w:hAnsi="Arial"/>
                  <w:sz w:val="18"/>
                  <w:szCs w:val="18"/>
                  <w:color w:val="0000EE"/>
                  <w:w w:val="93"/>
                </w:rPr>
                <w:t>(21)</w:t>
              </w:r>
            </w:hyperlink>
          </w:p>
        </w:tc>
        <w:tc>
          <w:tcPr>
            <w:tcW w:w="10220" w:type="dxa"/>
            <w:vAlign w:val="bottom"/>
            <w:gridSpan w:val="27"/>
          </w:tcPr>
          <w:p>
            <w:pPr>
              <w:ind w:left="20"/>
              <w:spacing w:after="0"/>
              <w:rPr>
                <w:rFonts w:ascii="Arial" w:cs="Arial" w:eastAsia="Arial" w:hAnsi="Arial"/>
                <w:sz w:val="18"/>
                <w:szCs w:val="18"/>
                <w:color w:val="0000EE"/>
              </w:rPr>
            </w:pPr>
            <w:hyperlink w:anchor="page102">
              <w:r>
                <w:rPr>
                  <w:rFonts w:ascii="Arial" w:cs="Arial" w:eastAsia="Arial" w:hAnsi="Arial"/>
                  <w:sz w:val="18"/>
                  <w:szCs w:val="18"/>
                  <w:color w:val="0000EE"/>
                </w:rPr>
                <w:t>Related Party Transactions</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r>
      <w:tr>
        <w:trPr>
          <w:trHeight w:val="520"/>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980" w:type="dxa"/>
            <w:vAlign w:val="bottom"/>
            <w:tcBorders>
              <w:top w:val="single" w:sz="8" w:color="0000EE"/>
            </w:tcBorders>
            <w:gridSpan w:val="11"/>
          </w:tcPr>
          <w:p>
            <w:pPr>
              <w:spacing w:after="0"/>
              <w:rPr>
                <w:sz w:val="24"/>
                <w:szCs w:val="24"/>
                <w:color w:val="auto"/>
              </w:rPr>
            </w:pPr>
          </w:p>
        </w:tc>
        <w:tc>
          <w:tcPr>
            <w:tcW w:w="3300" w:type="dxa"/>
            <w:vAlign w:val="bottom"/>
            <w:gridSpan w:val="15"/>
          </w:tcPr>
          <w:p>
            <w:pPr>
              <w:jc w:val="right"/>
              <w:ind w:right="60"/>
              <w:spacing w:after="0"/>
              <w:rPr>
                <w:sz w:val="20"/>
                <w:szCs w:val="20"/>
                <w:color w:val="auto"/>
              </w:rPr>
            </w:pPr>
            <w:r>
              <w:rPr>
                <w:rFonts w:ascii="Arial" w:cs="Arial" w:eastAsia="Arial" w:hAnsi="Arial"/>
                <w:sz w:val="18"/>
                <w:szCs w:val="18"/>
                <w:color w:val="auto"/>
              </w:rPr>
              <w:t>55</w:t>
            </w:r>
          </w:p>
        </w:tc>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8"/>
        </w:trPr>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9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 xml:space="preserve">We have audited the accompanying consolidated balance sheets of Euronet Worldwide, Inc. and subsidiaries (the Company) as of December 31, 2021 and 2020, the related consolidated statements of operations, comprehensive income (loss), changes in equity, and cash flows for each of the years in the three-year period ended December 31, 2021, and the related notes (collectively, the consolidated financial statements). We also have audited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88"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6"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matters or on the accounts or disclosures to which it relates.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Sufficiency of audit evidence over revenue</w:t>
      </w:r>
    </w:p>
    <w:p>
      <w:pPr>
        <w:spacing w:after="0" w:line="225" w:lineRule="exact"/>
        <w:rPr>
          <w:sz w:val="20"/>
          <w:szCs w:val="20"/>
          <w:color w:val="auto"/>
        </w:rPr>
      </w:pPr>
    </w:p>
    <w:p>
      <w:pPr>
        <w:jc w:val="both"/>
        <w:ind w:left="420"/>
        <w:spacing w:after="0" w:line="259" w:lineRule="auto"/>
        <w:rPr>
          <w:sz w:val="20"/>
          <w:szCs w:val="20"/>
          <w:color w:val="auto"/>
        </w:rPr>
      </w:pPr>
      <w:r>
        <w:rPr>
          <w:rFonts w:ascii="Arial" w:cs="Arial" w:eastAsia="Arial" w:hAnsi="Arial"/>
          <w:sz w:val="18"/>
          <w:szCs w:val="18"/>
          <w:color w:val="auto"/>
        </w:rPr>
        <w:t>As discussed in Note 3 to the consolidated financial statements, the Company earned $3.0 billion of revenue in 2021. The Company earned revenue by payment and transaction processing and distribution solutions to financial institutions, retailers, service providers and individual consumers (collectively services). The services were provided to customers in approximately 175 countries through 66 different business offices in 43 countries within 3 different reportable operating segments.</w:t>
      </w:r>
    </w:p>
    <w:p>
      <w:pPr>
        <w:spacing w:after="0" w:line="187" w:lineRule="exact"/>
        <w:rPr>
          <w:sz w:val="20"/>
          <w:szCs w:val="20"/>
          <w:color w:val="auto"/>
        </w:rPr>
      </w:pPr>
    </w:p>
    <w:p>
      <w:pPr>
        <w:jc w:val="both"/>
        <w:ind w:left="420"/>
        <w:spacing w:after="0" w:line="259" w:lineRule="auto"/>
        <w:rPr>
          <w:sz w:val="20"/>
          <w:szCs w:val="20"/>
          <w:color w:val="auto"/>
        </w:rPr>
      </w:pPr>
      <w:r>
        <w:rPr>
          <w:rFonts w:ascii="Arial" w:cs="Arial" w:eastAsia="Arial" w:hAnsi="Arial"/>
          <w:sz w:val="18"/>
          <w:szCs w:val="18"/>
          <w:color w:val="auto"/>
        </w:rPr>
        <w:t>We identified the evaluation of the sufficiency of audit evidence over revenue as a critical audit matter. The company’s geographical dispersion of services worldwide, amongst various business lines required especially subjective auditor judgment in evaluating the sufficiency of audit evidence over revenue. Further, our audit team consisted of auditors located in various countries worldwide. This required especially challenging auditor judgment in the level of audit procedures and supervision applied at each country.</w:t>
      </w:r>
    </w:p>
    <w:p>
      <w:pPr>
        <w:spacing w:after="0" w:line="187" w:lineRule="exact"/>
        <w:rPr>
          <w:sz w:val="20"/>
          <w:szCs w:val="20"/>
          <w:color w:val="auto"/>
        </w:rPr>
      </w:pPr>
    </w:p>
    <w:p>
      <w:pPr>
        <w:jc w:val="both"/>
        <w:ind w:left="420"/>
        <w:spacing w:after="0" w:line="263" w:lineRule="auto"/>
        <w:rPr>
          <w:sz w:val="20"/>
          <w:szCs w:val="20"/>
          <w:color w:val="auto"/>
        </w:rPr>
      </w:pPr>
      <w:r>
        <w:rPr>
          <w:rFonts w:ascii="Arial" w:cs="Arial" w:eastAsia="Arial" w:hAnsi="Arial"/>
          <w:sz w:val="18"/>
          <w:szCs w:val="18"/>
          <w:color w:val="auto"/>
        </w:rPr>
        <w:t>The following are the primary procedures we performed to address this critical audit matter. We applied auditor judgment to determine the nature and extent of procedures to be performed over revenue, including the determination of locations at which those procedures were to be performed. At each Company location selected, we:</w:t>
      </w:r>
    </w:p>
    <w:p>
      <w:pPr>
        <w:spacing w:after="0" w:line="184"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 evaluated the design and tested the operating effectiveness of certain internal controls related to the Company’s revenue process, including controls over the accurate recording of revenue amounts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assessed the training and experience of the auditors on our audit team that were in countries other than the United States</w:t>
      </w:r>
    </w:p>
    <w:p>
      <w:pPr>
        <w:spacing w:after="0" w:line="225"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 tested a sample of individual revenue transactions by comparing amounts recognized by the Company to relevant contracts and or payment and transaction support.</w:t>
      </w:r>
    </w:p>
    <w:p>
      <w:pPr>
        <w:spacing w:after="0" w:line="170"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We evaluated the sufficiency of audit evidence obtained over revenue by assessing the results of procedures performed, including the appropriateness of such evidence.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0" w:name="page61"/>
    <w:bookmarkEnd w:id="60"/>
    <w:p>
      <w:pPr>
        <w:jc w:val="center"/>
        <w:ind w:right="-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pacing w:after="0" w:line="23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61" w:name="page62"/>
    <w:bookmarkEnd w:id="61"/>
    <w:p>
      <w:pPr>
        <w:jc w:val="center"/>
        <w:ind w:right="40"/>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3"/>
        </w:trPr>
        <w:tc>
          <w:tcPr>
            <w:tcW w:w="8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7"/>
        </w:trPr>
        <w:tc>
          <w:tcPr>
            <w:tcW w:w="886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1,260,466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w w:val="97"/>
              </w:rPr>
              <w:t>1,420,255</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ATM cash</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411,054</w:t>
            </w:r>
          </w:p>
        </w:tc>
        <w:tc>
          <w:tcPr>
            <w:tcW w:w="0" w:type="dxa"/>
            <w:vAlign w:val="bottom"/>
          </w:tcPr>
          <w:p>
            <w:pPr>
              <w:spacing w:after="0"/>
              <w:rPr>
                <w:sz w:val="1"/>
                <w:szCs w:val="1"/>
                <w:color w:val="auto"/>
              </w:rPr>
            </w:pPr>
          </w:p>
        </w:tc>
      </w:tr>
      <w:tr>
        <w:trPr>
          <w:trHeight w:val="243"/>
        </w:trPr>
        <w:tc>
          <w:tcPr>
            <w:tcW w:w="886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 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1,102,389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1,140,875</w:t>
            </w:r>
          </w:p>
        </w:tc>
        <w:tc>
          <w:tcPr>
            <w:tcW w:w="0" w:type="dxa"/>
            <w:vAlign w:val="bottom"/>
          </w:tcPr>
          <w:p>
            <w:pPr>
              <w:spacing w:after="0"/>
              <w:rPr>
                <w:sz w:val="1"/>
                <w:szCs w:val="1"/>
                <w:color w:val="auto"/>
              </w:rPr>
            </w:pPr>
          </w:p>
        </w:tc>
      </w:tr>
      <w:tr>
        <w:trPr>
          <w:trHeight w:val="243"/>
        </w:trPr>
        <w:tc>
          <w:tcPr>
            <w:tcW w:w="8860" w:type="dxa"/>
            <w:vAlign w:val="bottom"/>
          </w:tcPr>
          <w:p>
            <w:pPr>
              <w:ind w:left="380"/>
              <w:spacing w:after="0"/>
              <w:rPr>
                <w:sz w:val="20"/>
                <w:szCs w:val="20"/>
                <w:color w:val="auto"/>
              </w:rPr>
            </w:pPr>
            <w:r>
              <w:rPr>
                <w:rFonts w:ascii="Arial" w:cs="Arial" w:eastAsia="Arial" w:hAnsi="Arial"/>
                <w:sz w:val="18"/>
                <w:szCs w:val="18"/>
                <w:color w:val="auto"/>
              </w:rPr>
              <w:t>Trade accounts receivable, net of credit loss allowance of $4,469 and $5,926</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203,010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117,517</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272,900</w:t>
            </w:r>
          </w:p>
        </w:tc>
        <w:tc>
          <w:tcPr>
            <w:tcW w:w="0" w:type="dxa"/>
            <w:vAlign w:val="bottom"/>
          </w:tcPr>
          <w:p>
            <w:pPr>
              <w:spacing w:after="0"/>
              <w:rPr>
                <w:sz w:val="1"/>
                <w:szCs w:val="1"/>
                <w:color w:val="auto"/>
              </w:rPr>
            </w:pPr>
          </w:p>
        </w:tc>
      </w:tr>
      <w:tr>
        <w:trPr>
          <w:trHeight w:val="237"/>
        </w:trPr>
        <w:tc>
          <w:tcPr>
            <w:tcW w:w="886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3,308,423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7"/>
              </w:rPr>
              <w:t>3,365,935</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right of use lease 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162,074</w:t>
            </w:r>
          </w:p>
        </w:tc>
        <w:tc>
          <w:tcPr>
            <w:tcW w:w="0" w:type="dxa"/>
            <w:vAlign w:val="bottom"/>
          </w:tcPr>
          <w:p>
            <w:pPr>
              <w:spacing w:after="0"/>
              <w:rPr>
                <w:sz w:val="1"/>
                <w:szCs w:val="1"/>
                <w:color w:val="auto"/>
              </w:rPr>
            </w:pPr>
          </w:p>
        </w:tc>
      </w:tr>
      <w:tr>
        <w:trPr>
          <w:trHeight w:val="243"/>
        </w:trPr>
        <w:tc>
          <w:tcPr>
            <w:tcW w:w="886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$532,631 and $490,429</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345,381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378,441</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641,605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665,821</w:t>
            </w:r>
          </w:p>
        </w:tc>
        <w:tc>
          <w:tcPr>
            <w:tcW w:w="0" w:type="dxa"/>
            <w:vAlign w:val="bottom"/>
          </w:tcPr>
          <w:p>
            <w:pPr>
              <w:spacing w:after="0"/>
              <w:rPr>
                <w:sz w:val="1"/>
                <w:szCs w:val="1"/>
                <w:color w:val="auto"/>
              </w:rPr>
            </w:pPr>
          </w:p>
        </w:tc>
      </w:tr>
      <w:tr>
        <w:trPr>
          <w:trHeight w:val="243"/>
        </w:trPr>
        <w:tc>
          <w:tcPr>
            <w:tcW w:w="8860" w:type="dxa"/>
            <w:vAlign w:val="bottom"/>
          </w:tcPr>
          <w:p>
            <w:pPr>
              <w:ind w:left="40"/>
              <w:spacing w:after="0"/>
              <w:rPr>
                <w:sz w:val="20"/>
                <w:szCs w:val="20"/>
                <w:color w:val="auto"/>
              </w:rPr>
            </w:pPr>
            <w:r>
              <w:rPr>
                <w:rFonts w:ascii="Arial" w:cs="Arial" w:eastAsia="Arial" w:hAnsi="Arial"/>
                <w:sz w:val="18"/>
                <w:szCs w:val="18"/>
                <w:color w:val="auto"/>
              </w:rPr>
              <w:t>Acquired intangible assets, net of accumulated amortization of $185,054 and $175,210</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97,793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121,883</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 of accumulated amortization of $62,349 and $55,710</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232,557</w:t>
            </w:r>
          </w:p>
        </w:tc>
        <w:tc>
          <w:tcPr>
            <w:tcW w:w="0" w:type="dxa"/>
            <w:vAlign w:val="bottom"/>
          </w:tcPr>
          <w:p>
            <w:pPr>
              <w:spacing w:after="0"/>
              <w:rPr>
                <w:sz w:val="1"/>
                <w:szCs w:val="1"/>
                <w:color w:val="auto"/>
              </w:rPr>
            </w:pPr>
          </w:p>
        </w:tc>
      </w:tr>
      <w:tr>
        <w:trPr>
          <w:trHeight w:val="237"/>
        </w:trPr>
        <w:tc>
          <w:tcPr>
            <w:tcW w:w="8860" w:type="dxa"/>
            <w:vAlign w:val="bottom"/>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4,744,276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7"/>
              </w:rPr>
              <w:t>4,926,711</w:t>
            </w:r>
          </w:p>
        </w:tc>
        <w:tc>
          <w:tcPr>
            <w:tcW w:w="0" w:type="dxa"/>
            <w:vAlign w:val="bottom"/>
          </w:tcPr>
          <w:p>
            <w:pPr>
              <w:spacing w:after="0"/>
              <w:rPr>
                <w:sz w:val="1"/>
                <w:szCs w:val="1"/>
                <w:color w:val="auto"/>
              </w:rPr>
            </w:pPr>
          </w:p>
        </w:tc>
      </w:tr>
      <w:tr>
        <w:trPr>
          <w:trHeight w:val="27"/>
        </w:trPr>
        <w:tc>
          <w:tcPr>
            <w:tcW w:w="8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1,102,389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1,140,875</w:t>
            </w:r>
          </w:p>
        </w:tc>
        <w:tc>
          <w:tcPr>
            <w:tcW w:w="0" w:type="dxa"/>
            <w:vAlign w:val="bottom"/>
          </w:tcPr>
          <w:p>
            <w:pPr>
              <w:spacing w:after="0"/>
              <w:rPr>
                <w:sz w:val="1"/>
                <w:szCs w:val="1"/>
                <w:color w:val="auto"/>
              </w:rPr>
            </w:pPr>
          </w:p>
        </w:tc>
      </w:tr>
      <w:tr>
        <w:trPr>
          <w:trHeight w:val="243"/>
        </w:trPr>
        <w:tc>
          <w:tcPr>
            <w:tcW w:w="886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193,529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147,593</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367,692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404,021</w:t>
            </w:r>
          </w:p>
        </w:tc>
        <w:tc>
          <w:tcPr>
            <w:tcW w:w="0" w:type="dxa"/>
            <w:vAlign w:val="bottom"/>
          </w:tcPr>
          <w:p>
            <w:pPr>
              <w:spacing w:after="0"/>
              <w:rPr>
                <w:sz w:val="1"/>
                <w:szCs w:val="1"/>
                <w:color w:val="auto"/>
              </w:rPr>
            </w:pPr>
          </w:p>
        </w:tc>
      </w:tr>
      <w:tr>
        <w:trPr>
          <w:trHeight w:val="243"/>
        </w:trPr>
        <w:tc>
          <w:tcPr>
            <w:tcW w:w="8860" w:type="dxa"/>
            <w:vAlign w:val="bottom"/>
          </w:tcPr>
          <w:p>
            <w:pPr>
              <w:ind w:left="380"/>
              <w:spacing w:after="0"/>
              <w:rPr>
                <w:sz w:val="20"/>
                <w:szCs w:val="20"/>
                <w:color w:val="auto"/>
              </w:rPr>
            </w:pPr>
            <w:r>
              <w:rPr>
                <w:rFonts w:ascii="Arial" w:cs="Arial" w:eastAsia="Arial" w:hAnsi="Arial"/>
                <w:sz w:val="18"/>
                <w:szCs w:val="18"/>
                <w:color w:val="auto"/>
              </w:rPr>
              <w:t>Current portion of operating lease obligations</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52,436</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43"/>
        </w:trPr>
        <w:tc>
          <w:tcPr>
            <w:tcW w:w="886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59,037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36,359</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73,360</w:t>
            </w:r>
          </w:p>
        </w:tc>
        <w:tc>
          <w:tcPr>
            <w:tcW w:w="0" w:type="dxa"/>
            <w:vAlign w:val="bottom"/>
          </w:tcPr>
          <w:p>
            <w:pPr>
              <w:spacing w:after="0"/>
              <w:rPr>
                <w:sz w:val="1"/>
                <w:szCs w:val="1"/>
                <w:color w:val="auto"/>
              </w:rPr>
            </w:pPr>
          </w:p>
        </w:tc>
      </w:tr>
      <w:tr>
        <w:trPr>
          <w:trHeight w:val="237"/>
        </w:trPr>
        <w:tc>
          <w:tcPr>
            <w:tcW w:w="886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1,852,641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7"/>
              </w:rPr>
              <w:t>1,855,441</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1,420,085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1,437,589</w:t>
            </w:r>
          </w:p>
        </w:tc>
        <w:tc>
          <w:tcPr>
            <w:tcW w:w="0" w:type="dxa"/>
            <w:vAlign w:val="bottom"/>
          </w:tcPr>
          <w:p>
            <w:pPr>
              <w:spacing w:after="0"/>
              <w:rPr>
                <w:sz w:val="1"/>
                <w:szCs w:val="1"/>
                <w:color w:val="auto"/>
              </w:rPr>
            </w:pPr>
          </w:p>
        </w:tc>
      </w:tr>
      <w:tr>
        <w:trPr>
          <w:trHeight w:val="243"/>
        </w:trPr>
        <w:tc>
          <w:tcPr>
            <w:tcW w:w="8860" w:type="dxa"/>
            <w:vAlign w:val="bottom"/>
          </w:tcPr>
          <w:p>
            <w:pPr>
              <w:ind w:left="40"/>
              <w:spacing w:after="0"/>
              <w:rPr>
                <w:sz w:val="20"/>
                <w:szCs w:val="20"/>
                <w:color w:val="auto"/>
              </w:rPr>
            </w:pPr>
            <w:r>
              <w:rPr>
                <w:rFonts w:ascii="Arial" w:cs="Arial" w:eastAsia="Arial" w:hAnsi="Arial"/>
                <w:sz w:val="18"/>
                <w:szCs w:val="18"/>
                <w:color w:val="auto"/>
              </w:rPr>
              <w:t>Operating lease obligations, net of current portion</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111,355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106,502</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37,875</w:t>
            </w:r>
          </w:p>
        </w:tc>
        <w:tc>
          <w:tcPr>
            <w:tcW w:w="0" w:type="dxa"/>
            <w:vAlign w:val="bottom"/>
          </w:tcPr>
          <w:p>
            <w:pPr>
              <w:spacing w:after="0"/>
              <w:rPr>
                <w:sz w:val="1"/>
                <w:szCs w:val="1"/>
                <w:color w:val="auto"/>
              </w:rPr>
            </w:pPr>
          </w:p>
        </w:tc>
      </w:tr>
      <w:tr>
        <w:trPr>
          <w:trHeight w:val="243"/>
        </w:trPr>
        <w:tc>
          <w:tcPr>
            <w:tcW w:w="88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58,166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43,401</w:t>
            </w:r>
          </w:p>
        </w:tc>
        <w:tc>
          <w:tcPr>
            <w:tcW w:w="0" w:type="dxa"/>
            <w:vAlign w:val="bottom"/>
          </w:tcPr>
          <w:p>
            <w:pPr>
              <w:spacing w:after="0"/>
              <w:rPr>
                <w:sz w:val="1"/>
                <w:szCs w:val="1"/>
                <w:color w:val="auto"/>
              </w:rPr>
            </w:pPr>
          </w:p>
        </w:tc>
      </w:tr>
      <w:tr>
        <w:trPr>
          <w:trHeight w:val="27"/>
        </w:trPr>
        <w:tc>
          <w:tcPr>
            <w:tcW w:w="8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3,488,752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3,480,808</w:t>
            </w:r>
          </w:p>
        </w:tc>
        <w:tc>
          <w:tcPr>
            <w:tcW w:w="0" w:type="dxa"/>
            <w:vAlign w:val="bottom"/>
          </w:tcPr>
          <w:p>
            <w:pPr>
              <w:spacing w:after="0"/>
              <w:rPr>
                <w:sz w:val="1"/>
                <w:szCs w:val="1"/>
                <w:color w:val="auto"/>
              </w:rPr>
            </w:pPr>
          </w:p>
        </w:tc>
      </w:tr>
      <w:tr>
        <w:trPr>
          <w:trHeight w:val="237"/>
        </w:trPr>
        <w:tc>
          <w:tcPr>
            <w:tcW w:w="8860" w:type="dxa"/>
            <w:vAlign w:val="bottom"/>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0 issued</w:t>
            </w: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Common Stock, $0.02 par value. 90,000,000 shares authorized; shares issued 63,779,009 and 63,366,010</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43"/>
        </w:trPr>
        <w:tc>
          <w:tcPr>
            <w:tcW w:w="88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1,274,118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w w:val="97"/>
              </w:rPr>
              <w:t>1,228,446</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shares issued 12,631,125 and 10,631,961</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(931,212)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(703,032)</w:t>
            </w:r>
          </w:p>
        </w:tc>
        <w:tc>
          <w:tcPr>
            <w:tcW w:w="0" w:type="dxa"/>
            <w:vAlign w:val="bottom"/>
          </w:tcPr>
          <w:p>
            <w:pPr>
              <w:spacing w:after="0"/>
              <w:rPr>
                <w:sz w:val="1"/>
                <w:szCs w:val="1"/>
                <w:color w:val="auto"/>
              </w:rPr>
            </w:pPr>
          </w:p>
        </w:tc>
      </w:tr>
      <w:tr>
        <w:trPr>
          <w:trHeight w:val="243"/>
        </w:trPr>
        <w:tc>
          <w:tcPr>
            <w:tcW w:w="886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1,083,882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w w:val="97"/>
              </w:rPr>
              <w:t>1,013,155</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(94,214)</w:t>
            </w:r>
          </w:p>
        </w:tc>
        <w:tc>
          <w:tcPr>
            <w:tcW w:w="0" w:type="dxa"/>
            <w:vAlign w:val="bottom"/>
          </w:tcPr>
          <w:p>
            <w:pPr>
              <w:spacing w:after="0"/>
              <w:rPr>
                <w:sz w:val="1"/>
                <w:szCs w:val="1"/>
                <w:color w:val="auto"/>
              </w:rPr>
            </w:pPr>
          </w:p>
        </w:tc>
      </w:tr>
      <w:tr>
        <w:trPr>
          <w:trHeight w:val="236"/>
        </w:trPr>
        <w:tc>
          <w:tcPr>
            <w:tcW w:w="886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1,255,481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7"/>
              </w:rPr>
              <w:t>1,445,622</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6"/>
        </w:trPr>
        <w:tc>
          <w:tcPr>
            <w:tcW w:w="886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1,255,524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7"/>
              </w:rPr>
              <w:t>1,445,903</w:t>
            </w:r>
          </w:p>
        </w:tc>
        <w:tc>
          <w:tcPr>
            <w:tcW w:w="0" w:type="dxa"/>
            <w:vAlign w:val="bottom"/>
          </w:tcPr>
          <w:p>
            <w:pPr>
              <w:spacing w:after="0"/>
              <w:rPr>
                <w:sz w:val="1"/>
                <w:szCs w:val="1"/>
                <w:color w:val="auto"/>
              </w:rPr>
            </w:pPr>
          </w:p>
        </w:tc>
      </w:tr>
      <w:tr>
        <w:trPr>
          <w:trHeight w:val="27"/>
        </w:trPr>
        <w:tc>
          <w:tcPr>
            <w:tcW w:w="8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4,744,276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4,926,711</w:t>
            </w:r>
          </w:p>
        </w:tc>
        <w:tc>
          <w:tcPr>
            <w:tcW w:w="0" w:type="dxa"/>
            <w:vAlign w:val="bottom"/>
          </w:tcPr>
          <w:p>
            <w:pPr>
              <w:spacing w:after="0"/>
              <w:rPr>
                <w:sz w:val="1"/>
                <w:szCs w:val="1"/>
                <w:color w:val="auto"/>
              </w:rPr>
            </w:pPr>
          </w:p>
        </w:tc>
      </w:tr>
      <w:tr>
        <w:trPr>
          <w:trHeight w:val="210"/>
        </w:trPr>
        <w:tc>
          <w:tcPr>
            <w:tcW w:w="8860" w:type="dxa"/>
            <w:vAlign w:val="bottom"/>
          </w:tcPr>
          <w:p>
            <w:pPr>
              <w:ind w:left="3220"/>
              <w:spacing w:after="0"/>
              <w:rPr>
                <w:sz w:val="20"/>
                <w:szCs w:val="20"/>
                <w:color w:val="auto"/>
              </w:rPr>
            </w:pPr>
            <w:r>
              <w:rPr>
                <w:rFonts w:ascii="Arial" w:cs="Arial" w:eastAsia="Arial" w:hAnsi="Arial"/>
                <w:sz w:val="18"/>
                <w:szCs w:val="18"/>
                <w:color w:val="auto"/>
              </w:rPr>
              <w:t>See accompanying notes to the Consolidated Financial Statements.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7"/>
          </w:tcPr>
          <w:p>
            <w:pPr>
              <w:jc w:val="right"/>
              <w:ind w:right="79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8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r>
      <w:tr>
        <w:trPr>
          <w:trHeight w:val="256"/>
        </w:trPr>
        <w:tc>
          <w:tcPr>
            <w:tcW w:w="7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7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2,995,443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2,482,700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2,750,109</w:t>
            </w:r>
          </w:p>
        </w:tc>
      </w:tr>
      <w:tr>
        <w:trPr>
          <w:trHeight w:val="223"/>
        </w:trPr>
        <w:tc>
          <w:tcPr>
            <w:tcW w:w="78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7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1,900,267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1,576,699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1,556,483</w:t>
            </w: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Acquired contract cost impairment</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404,142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394,744</w:t>
            </w: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251,933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221,614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211,944</w:t>
            </w: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135,754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127,021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111,744</w:t>
            </w:r>
          </w:p>
        </w:tc>
      </w:tr>
      <w:tr>
        <w:trPr>
          <w:trHeight w:val="250"/>
        </w:trPr>
        <w:tc>
          <w:tcPr>
            <w:tcW w:w="7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2,811,427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2,436,078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2,274,915</w:t>
            </w:r>
          </w:p>
        </w:tc>
      </w:tr>
      <w:tr>
        <w:trPr>
          <w:trHeight w:val="250"/>
        </w:trPr>
        <w:tc>
          <w:tcPr>
            <w:tcW w:w="7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184,016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475,194</w:t>
            </w:r>
          </w:p>
        </w:tc>
      </w:tr>
      <w:tr>
        <w:trPr>
          <w:trHeight w:val="23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1,969</w:t>
            </w: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(36,237)</w:t>
            </w: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Foreign currency exchange (loss) gain, net</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2,701</w:t>
            </w: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gains (losses), net</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r>
      <w:tr>
        <w:trPr>
          <w:trHeight w:val="250"/>
        </w:trPr>
        <w:tc>
          <w:tcPr>
            <w:tcW w:w="78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(41,387)</w:t>
            </w:r>
          </w:p>
        </w:tc>
      </w:tr>
      <w:tr>
        <w:trPr>
          <w:trHeight w:val="25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433,807</w:t>
            </w:r>
          </w:p>
        </w:tc>
      </w:tr>
      <w:tr>
        <w:trPr>
          <w:trHeight w:val="270"/>
        </w:trPr>
        <w:tc>
          <w:tcPr>
            <w:tcW w:w="7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(87,112)</w:t>
            </w:r>
          </w:p>
        </w:tc>
      </w:tr>
      <w:tr>
        <w:trPr>
          <w:trHeight w:val="25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346,695</w:t>
            </w:r>
          </w:p>
        </w:tc>
      </w:tr>
      <w:tr>
        <w:trPr>
          <w:trHeight w:val="270"/>
        </w:trPr>
        <w:tc>
          <w:tcPr>
            <w:tcW w:w="78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Less: Net loss (income) attributable to noncontrolling interests</w:t>
            </w: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r>
      <w:tr>
        <w:trPr>
          <w:trHeight w:val="236"/>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Euronet Worldwide,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346,749</w:t>
            </w:r>
          </w:p>
        </w:tc>
      </w:tr>
      <w:tr>
        <w:trPr>
          <w:trHeight w:val="20"/>
        </w:trPr>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7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 attributable to Euronet Worldwide, Inc. stockholders: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97"/>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6.49</w:t>
            </w:r>
          </w:p>
        </w:tc>
      </w:tr>
      <w:tr>
        <w:trPr>
          <w:trHeight w:val="210"/>
        </w:trPr>
        <w:tc>
          <w:tcPr>
            <w:tcW w:w="784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6.31</w:t>
            </w:r>
          </w:p>
        </w:tc>
      </w:tr>
      <w:tr>
        <w:trPr>
          <w:trHeight w:val="20"/>
        </w:trPr>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7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97"/>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52,585,674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52,659,551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53,449,834</w:t>
            </w:r>
          </w:p>
        </w:tc>
      </w:tr>
      <w:tr>
        <w:trPr>
          <w:trHeight w:val="210"/>
        </w:trPr>
        <w:tc>
          <w:tcPr>
            <w:tcW w:w="784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53,529,576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52,659,551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54,913,887</w:t>
            </w:r>
          </w:p>
        </w:tc>
      </w:tr>
      <w:tr>
        <w:trPr>
          <w:trHeight w:val="20"/>
        </w:trPr>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center"/>
        <w:spacing w:after="0" w:line="275" w:lineRule="auto"/>
        <w:rPr>
          <w:sz w:val="20"/>
          <w:szCs w:val="20"/>
          <w:color w:val="auto"/>
        </w:rPr>
      </w:pPr>
      <w:r>
        <w:rPr>
          <w:rFonts w:ascii="Arial" w:cs="Arial" w:eastAsia="Arial" w:hAnsi="Arial"/>
          <w:sz w:val="18"/>
          <w:szCs w:val="18"/>
          <w:b w:val="1"/>
          <w:bCs w:val="1"/>
          <w:color w:val="auto"/>
        </w:rPr>
        <w:t>EURONET WORLDWIDE, INC. AND SUBSIDIARIES CONSOLIDATED STATEMENTS OF COMPREHENSIVE (LOSS) INCOME (in thousands)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263"/>
        </w:trPr>
        <w:tc>
          <w:tcPr>
            <w:tcW w:w="77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r>
      <w:tr>
        <w:trPr>
          <w:trHeight w:val="270"/>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346,695</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Translation adjustment</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(13,894)</w:t>
            </w:r>
          </w:p>
        </w:tc>
      </w:tr>
      <w:tr>
        <w:trPr>
          <w:trHeight w:val="250"/>
        </w:trPr>
        <w:tc>
          <w:tcPr>
            <w:tcW w:w="7740" w:type="dxa"/>
            <w:vAlign w:val="bottom"/>
          </w:tcPr>
          <w:p>
            <w:pPr>
              <w:ind w:left="180"/>
              <w:spacing w:after="0"/>
              <w:rPr>
                <w:sz w:val="20"/>
                <w:szCs w:val="20"/>
                <w:color w:val="auto"/>
              </w:rPr>
            </w:pPr>
            <w:r>
              <w:rPr>
                <w:rFonts w:ascii="Arial" w:cs="Arial" w:eastAsia="Arial" w:hAnsi="Arial"/>
                <w:sz w:val="18"/>
                <w:szCs w:val="18"/>
                <w:color w:val="auto"/>
              </w:rPr>
              <w:t>Comprehensive (loss) income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332,801</w:t>
            </w:r>
          </w:p>
        </w:tc>
      </w:tr>
      <w:tr>
        <w:trPr>
          <w:trHeight w:val="270"/>
        </w:trPr>
        <w:tc>
          <w:tcPr>
            <w:tcW w:w="7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101</w:t>
            </w:r>
          </w:p>
        </w:tc>
      </w:tr>
      <w:tr>
        <w:trPr>
          <w:trHeight w:val="263"/>
        </w:trPr>
        <w:tc>
          <w:tcPr>
            <w:tcW w:w="7740" w:type="dxa"/>
            <w:vAlign w:val="bottom"/>
          </w:tcPr>
          <w:p>
            <w:pPr>
              <w:ind w:left="180"/>
              <w:spacing w:after="0"/>
              <w:rPr>
                <w:sz w:val="20"/>
                <w:szCs w:val="20"/>
                <w:color w:val="auto"/>
              </w:rPr>
            </w:pPr>
            <w:r>
              <w:rPr>
                <w:rFonts w:ascii="Arial" w:cs="Arial" w:eastAsia="Arial" w:hAnsi="Arial"/>
                <w:sz w:val="18"/>
                <w:szCs w:val="18"/>
                <w:color w:val="auto"/>
              </w:rPr>
              <w:t>Comprehensive (loss) income attributable to Euronet Worldwide, Inc.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(7,641)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67,277</w:t>
            </w:r>
          </w:p>
        </w:tc>
        <w:tc>
          <w:tcPr>
            <w:tcW w:w="120" w:type="dxa"/>
            <w:vAlign w:val="bottom"/>
          </w:tcPr>
          <w:p>
            <w:pPr>
              <w:spacing w:after="0"/>
              <w:rPr>
                <w:sz w:val="22"/>
                <w:szCs w:val="22"/>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332,902</w:t>
            </w: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(Common and</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Treasury)</w:t>
            </w:r>
          </w:p>
        </w:tc>
        <w:tc>
          <w:tcPr>
            <w:tcW w:w="16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51,819,998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1,104,264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(391,551)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960" w:type="dxa"/>
            <w:vAlign w:val="bottom"/>
          </w:tcPr>
          <w:p>
            <w:pPr>
              <w:jc w:val="right"/>
              <w:spacing w:after="0"/>
              <w:rPr>
                <w:sz w:val="20"/>
                <w:szCs w:val="20"/>
                <w:color w:val="auto"/>
              </w:rPr>
            </w:pPr>
            <w:r>
              <w:rPr>
                <w:rFonts w:ascii="Arial" w:cs="Arial" w:eastAsia="Arial" w:hAnsi="Arial"/>
                <w:sz w:val="18"/>
                <w:szCs w:val="18"/>
                <w:color w:val="auto"/>
              </w:rPr>
              <w:t>405,617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Issuance of convertible notes, net of tax</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71,659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(70,876)</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Redemptions and conversions of convertible notes, net of tax</w:t>
            </w:r>
          </w:p>
        </w:tc>
        <w:tc>
          <w:tcPr>
            <w:tcW w:w="960" w:type="dxa"/>
            <w:vAlign w:val="bottom"/>
          </w:tcPr>
          <w:p>
            <w:pPr>
              <w:jc w:val="right"/>
              <w:spacing w:after="0"/>
              <w:rPr>
                <w:sz w:val="20"/>
                <w:szCs w:val="20"/>
                <w:color w:val="auto"/>
              </w:rPr>
            </w:pPr>
            <w:r>
              <w:rPr>
                <w:rFonts w:ascii="Arial" w:cs="Arial" w:eastAsia="Arial" w:hAnsi="Arial"/>
                <w:sz w:val="18"/>
                <w:szCs w:val="18"/>
                <w:color w:val="auto"/>
              </w:rPr>
              <w:t>2,488,249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54,220,854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1,190,058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(463,704)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608,878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(2,095,683)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(239,763)</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Balance as of December 31, 2020</w:t>
            </w: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vMerge w:val="continue"/>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52,734,049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1,228,446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(703,032)</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(227,764)</w:t>
            </w:r>
          </w:p>
        </w:tc>
        <w:tc>
          <w:tcPr>
            <w:tcW w:w="0" w:type="dxa"/>
            <w:vAlign w:val="bottom"/>
          </w:tcPr>
          <w:p>
            <w:pPr>
              <w:spacing w:after="0"/>
              <w:rPr>
                <w:sz w:val="1"/>
                <w:szCs w:val="1"/>
                <w:color w:val="auto"/>
              </w:rPr>
            </w:pPr>
          </w:p>
        </w:tc>
      </w:tr>
      <w:tr>
        <w:trPr>
          <w:trHeight w:val="236"/>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December 31, 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51,147,884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1,274,118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(931,212)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5" w:name="page66"/>
    <w:bookmarkEnd w:id="65"/>
    <w:p>
      <w:pPr>
        <w:jc w:val="center"/>
        <w:spacing w:after="0" w:line="275" w:lineRule="auto"/>
        <w:rPr>
          <w:sz w:val="20"/>
          <w:szCs w:val="20"/>
          <w:color w:val="auto"/>
        </w:rPr>
      </w:pPr>
      <w:r>
        <w:rPr>
          <w:rFonts w:ascii="Arial" w:cs="Arial" w:eastAsia="Arial" w:hAnsi="Arial"/>
          <w:sz w:val="18"/>
          <w:szCs w:val="18"/>
          <w:b w:val="1"/>
          <w:bCs w:val="1"/>
          <w:color w:val="auto"/>
        </w:rPr>
        <w:t>EURONET WORLDWIDE, INC. AND SUBSIDIARIES CONSOLIDATED STATEMENT OF CHANGES IN EQUITY (CONTINUED) (in thousands)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669,805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(151,043)</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1,232,842</w:t>
            </w:r>
          </w:p>
        </w:tc>
        <w:tc>
          <w:tcPr>
            <w:tcW w:w="0" w:type="dxa"/>
            <w:vAlign w:val="bottom"/>
          </w:tcPr>
          <w:p>
            <w:pPr>
              <w:spacing w:after="0"/>
              <w:rPr>
                <w:sz w:val="1"/>
                <w:szCs w:val="1"/>
                <w:color w:val="auto"/>
              </w:rPr>
            </w:pPr>
          </w:p>
        </w:tc>
      </w:tr>
      <w:tr>
        <w:trPr>
          <w:trHeight w:val="270"/>
        </w:trPr>
        <w:tc>
          <w:tcPr>
            <w:tcW w:w="65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346,749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346,695</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(13,894)</w:t>
            </w:r>
          </w:p>
        </w:tc>
        <w:tc>
          <w:tcPr>
            <w:tcW w:w="0" w:type="dxa"/>
            <w:vAlign w:val="bottom"/>
          </w:tcPr>
          <w:p>
            <w:pPr>
              <w:spacing w:after="0"/>
              <w:rPr>
                <w:sz w:val="1"/>
                <w:szCs w:val="1"/>
                <w:color w:val="auto"/>
              </w:rPr>
            </w:pPr>
          </w:p>
        </w:tc>
      </w:tr>
      <w:tr>
        <w:trPr>
          <w:trHeight w:val="270"/>
        </w:trPr>
        <w:tc>
          <w:tcPr>
            <w:tcW w:w="650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11,947</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21,439</w:t>
            </w:r>
          </w:p>
        </w:tc>
        <w:tc>
          <w:tcPr>
            <w:tcW w:w="0" w:type="dxa"/>
            <w:vAlign w:val="bottom"/>
          </w:tcPr>
          <w:p>
            <w:pPr>
              <w:spacing w:after="0"/>
              <w:rPr>
                <w:sz w:val="1"/>
                <w:szCs w:val="1"/>
                <w:color w:val="auto"/>
              </w:rPr>
            </w:pPr>
          </w:p>
        </w:tc>
      </w:tr>
      <w:tr>
        <w:trPr>
          <w:trHeight w:val="270"/>
        </w:trPr>
        <w:tc>
          <w:tcPr>
            <w:tcW w:w="6500" w:type="dxa"/>
            <w:vAlign w:val="bottom"/>
          </w:tcPr>
          <w:p>
            <w:pPr>
              <w:ind w:left="40"/>
              <w:spacing w:after="0"/>
              <w:rPr>
                <w:sz w:val="20"/>
                <w:szCs w:val="20"/>
                <w:color w:val="auto"/>
              </w:rPr>
            </w:pPr>
            <w:r>
              <w:rPr>
                <w:rFonts w:ascii="Arial" w:cs="Arial" w:eastAsia="Arial" w:hAnsi="Arial"/>
                <w:sz w:val="18"/>
                <w:szCs w:val="18"/>
                <w:color w:val="auto"/>
              </w:rPr>
              <w:t>Issuance of convertible notes, net of tax</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71,659</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(70,876)</w:t>
            </w:r>
          </w:p>
        </w:tc>
        <w:tc>
          <w:tcPr>
            <w:tcW w:w="0" w:type="dxa"/>
            <w:vAlign w:val="bottom"/>
          </w:tcPr>
          <w:p>
            <w:pPr>
              <w:spacing w:after="0"/>
              <w:rPr>
                <w:sz w:val="1"/>
                <w:szCs w:val="1"/>
                <w:color w:val="auto"/>
              </w:rPr>
            </w:pPr>
          </w:p>
        </w:tc>
      </w:tr>
      <w:tr>
        <w:trPr>
          <w:trHeight w:val="270"/>
        </w:trPr>
        <w:tc>
          <w:tcPr>
            <w:tcW w:w="6500" w:type="dxa"/>
            <w:vAlign w:val="bottom"/>
          </w:tcPr>
          <w:p>
            <w:pPr>
              <w:ind w:left="40"/>
              <w:spacing w:after="0"/>
              <w:rPr>
                <w:sz w:val="20"/>
                <w:szCs w:val="20"/>
                <w:color w:val="auto"/>
              </w:rPr>
            </w:pPr>
            <w:r>
              <w:rPr>
                <w:rFonts w:ascii="Arial" w:cs="Arial" w:eastAsia="Arial" w:hAnsi="Arial"/>
                <w:sz w:val="18"/>
                <w:szCs w:val="18"/>
                <w:color w:val="auto"/>
              </w:rPr>
              <w:t>Redemptions and conversions of convertible notes, net of tax</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(20,467)</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650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1,016,554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(164,890)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1,579,342</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70"/>
        </w:trPr>
        <w:tc>
          <w:tcPr>
            <w:tcW w:w="65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70,676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70,794</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16,883</w:t>
            </w:r>
          </w:p>
        </w:tc>
        <w:tc>
          <w:tcPr>
            <w:tcW w:w="0" w:type="dxa"/>
            <w:vAlign w:val="bottom"/>
          </w:tcPr>
          <w:p>
            <w:pPr>
              <w:spacing w:after="0"/>
              <w:rPr>
                <w:sz w:val="1"/>
                <w:szCs w:val="1"/>
                <w:color w:val="auto"/>
              </w:rPr>
            </w:pPr>
          </w:p>
        </w:tc>
      </w:tr>
      <w:tr>
        <w:trPr>
          <w:trHeight w:val="270"/>
        </w:trPr>
        <w:tc>
          <w:tcPr>
            <w:tcW w:w="65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21,951</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(239,763)</w:t>
            </w:r>
          </w:p>
        </w:tc>
        <w:tc>
          <w:tcPr>
            <w:tcW w:w="0" w:type="dxa"/>
            <w:vAlign w:val="bottom"/>
          </w:tcPr>
          <w:p>
            <w:pPr>
              <w:spacing w:after="0"/>
              <w:rPr>
                <w:sz w:val="1"/>
                <w:szCs w:val="1"/>
                <w:color w:val="auto"/>
              </w:rPr>
            </w:pPr>
          </w:p>
        </w:tc>
      </w:tr>
      <w:tr>
        <w:trPr>
          <w:trHeight w:val="250"/>
        </w:trPr>
        <w:tc>
          <w:tcPr>
            <w:tcW w:w="6500" w:type="dxa"/>
            <w:vAlign w:val="bottom"/>
          </w:tcPr>
          <w:p>
            <w:pPr>
              <w:ind w:left="40"/>
              <w:spacing w:after="0"/>
              <w:rPr>
                <w:sz w:val="20"/>
                <w:szCs w:val="20"/>
                <w:color w:val="auto"/>
              </w:rPr>
            </w:pPr>
            <w:r>
              <w:rPr>
                <w:rFonts w:ascii="Arial" w:cs="Arial" w:eastAsia="Arial" w:hAnsi="Arial"/>
                <w:sz w:val="18"/>
                <w:szCs w:val="18"/>
                <w:color w:val="auto"/>
              </w:rPr>
              <w:t>Balance as of December 31, 2020</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1,013,155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(94,214)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1,445,903</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70,587</w:t>
            </w:r>
          </w:p>
        </w:tc>
        <w:tc>
          <w:tcPr>
            <w:tcW w:w="0" w:type="dxa"/>
            <w:vAlign w:val="bottom"/>
          </w:tcPr>
          <w:p>
            <w:pPr>
              <w:spacing w:after="0"/>
              <w:rPr>
                <w:sz w:val="1"/>
                <w:szCs w:val="1"/>
                <w:color w:val="auto"/>
              </w:rPr>
            </w:pPr>
          </w:p>
        </w:tc>
      </w:tr>
      <w:tr>
        <w:trPr>
          <w:trHeight w:val="270"/>
        </w:trPr>
        <w:tc>
          <w:tcPr>
            <w:tcW w:w="65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(78,466)</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0" w:type="dxa"/>
            <w:vAlign w:val="bottom"/>
          </w:tcPr>
          <w:p>
            <w:pPr>
              <w:spacing w:after="0"/>
              <w:rPr>
                <w:sz w:val="1"/>
                <w:szCs w:val="1"/>
                <w:color w:val="auto"/>
              </w:rPr>
            </w:pPr>
          </w:p>
        </w:tc>
      </w:tr>
      <w:tr>
        <w:trPr>
          <w:trHeight w:val="270"/>
        </w:trPr>
        <w:tc>
          <w:tcPr>
            <w:tcW w:w="65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36,540</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(227,764)</w:t>
            </w:r>
          </w:p>
        </w:tc>
        <w:tc>
          <w:tcPr>
            <w:tcW w:w="0" w:type="dxa"/>
            <w:vAlign w:val="bottom"/>
          </w:tcPr>
          <w:p>
            <w:pPr>
              <w:spacing w:after="0"/>
              <w:rPr>
                <w:sz w:val="1"/>
                <w:szCs w:val="1"/>
                <w:color w:val="auto"/>
              </w:rPr>
            </w:pP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Balance as of December 31, 2021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1,083,882</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(172,582)</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1,255,524</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8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9"/>
        </w:trPr>
        <w:tc>
          <w:tcPr>
            <w:tcW w:w="7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346,695</w:t>
            </w:r>
          </w:p>
        </w:tc>
        <w:tc>
          <w:tcPr>
            <w:tcW w:w="0" w:type="dxa"/>
            <w:vAlign w:val="bottom"/>
          </w:tcPr>
          <w:p>
            <w:pPr>
              <w:spacing w:after="0"/>
              <w:rPr>
                <w:sz w:val="1"/>
                <w:szCs w:val="1"/>
                <w:color w:val="auto"/>
              </w:rPr>
            </w:pP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111,744</w:t>
            </w:r>
          </w:p>
        </w:tc>
        <w:tc>
          <w:tcPr>
            <w:tcW w:w="0" w:type="dxa"/>
            <w:vAlign w:val="bottom"/>
          </w:tcPr>
          <w:p>
            <w:pPr>
              <w:spacing w:after="0"/>
              <w:rPr>
                <w:sz w:val="1"/>
                <w:szCs w:val="1"/>
                <w:color w:val="auto"/>
              </w:rPr>
            </w:pP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21,439</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(gain), net</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Non-cash impairment of goodwill and acquired intangible assets</w:t>
            </w:r>
          </w:p>
        </w:tc>
        <w:tc>
          <w:tcPr>
            <w:tcW w:w="18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106,602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17,113</w:t>
            </w:r>
          </w:p>
        </w:tc>
        <w:tc>
          <w:tcPr>
            <w:tcW w:w="0" w:type="dxa"/>
            <w:vAlign w:val="bottom"/>
          </w:tcPr>
          <w:p>
            <w:pPr>
              <w:spacing w:after="0"/>
              <w:rPr>
                <w:sz w:val="1"/>
                <w:szCs w:val="1"/>
                <w:color w:val="auto"/>
              </w:rPr>
            </w:pP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Loss on early retirement of debt</w:t>
            </w:r>
          </w:p>
        </w:tc>
        <w:tc>
          <w:tcPr>
            <w:tcW w:w="18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9,831</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17,088</w:t>
            </w:r>
          </w:p>
        </w:tc>
        <w:tc>
          <w:tcPr>
            <w:tcW w:w="0" w:type="dxa"/>
            <w:vAlign w:val="bottom"/>
          </w:tcPr>
          <w:p>
            <w:pPr>
              <w:spacing w:after="0"/>
              <w:rPr>
                <w:sz w:val="1"/>
                <w:szCs w:val="1"/>
                <w:color w:val="auto"/>
              </w:rPr>
            </w:pP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13,177</w:t>
            </w:r>
          </w:p>
        </w:tc>
        <w:tc>
          <w:tcPr>
            <w:tcW w:w="0" w:type="dxa"/>
            <w:vAlign w:val="bottom"/>
          </w:tcPr>
          <w:p>
            <w:pPr>
              <w:spacing w:after="0"/>
              <w:rPr>
                <w:sz w:val="1"/>
                <w:szCs w:val="1"/>
                <w:color w:val="auto"/>
              </w:rPr>
            </w:pPr>
          </w:p>
        </w:tc>
      </w:tr>
      <w:tr>
        <w:trPr>
          <w:trHeight w:val="270"/>
        </w:trPr>
        <w:tc>
          <w:tcPr>
            <w:tcW w:w="784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(107,478)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63,629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(87,882)</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(68,945)</w:t>
            </w:r>
          </w:p>
        </w:tc>
        <w:tc>
          <w:tcPr>
            <w:tcW w:w="0" w:type="dxa"/>
            <w:vAlign w:val="bottom"/>
          </w:tcPr>
          <w:p>
            <w:pPr>
              <w:spacing w:after="0"/>
              <w:rPr>
                <w:sz w:val="1"/>
                <w:szCs w:val="1"/>
                <w:color w:val="auto"/>
              </w:rPr>
            </w:pPr>
          </w:p>
        </w:tc>
      </w:tr>
      <w:tr>
        <w:trPr>
          <w:trHeight w:val="270"/>
        </w:trPr>
        <w:tc>
          <w:tcPr>
            <w:tcW w:w="784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88,687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53,550</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0"/>
        </w:trPr>
        <w:tc>
          <w:tcPr>
            <w:tcW w:w="78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93,040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118,618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98,459</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1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(94,299)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(25,212)</w:t>
            </w: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406,576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253,505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504,488</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(94,187)</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(131,287)</w:t>
            </w:r>
          </w:p>
        </w:tc>
        <w:tc>
          <w:tcPr>
            <w:tcW w:w="0" w:type="dxa"/>
            <w:vAlign w:val="bottom"/>
          </w:tcPr>
          <w:p>
            <w:pPr>
              <w:spacing w:after="0"/>
              <w:rPr>
                <w:sz w:val="1"/>
                <w:szCs w:val="1"/>
                <w:color w:val="auto"/>
              </w:rPr>
            </w:pP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(98,109)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(105,531)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(229,027)</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14,979</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shares</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(229,877)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(74,456)</w:t>
            </w:r>
          </w:p>
        </w:tc>
        <w:tc>
          <w:tcPr>
            <w:tcW w:w="0" w:type="dxa"/>
            <w:vAlign w:val="bottom"/>
          </w:tcPr>
          <w:p>
            <w:pPr>
              <w:spacing w:after="0"/>
              <w:rPr>
                <w:sz w:val="1"/>
                <w:szCs w:val="1"/>
                <w:color w:val="auto"/>
              </w:rPr>
            </w:pP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5,074,000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3,113,800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2,498,298</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(5,061,000)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(2,843,400)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(2,714,203)</w:t>
            </w:r>
          </w:p>
        </w:tc>
        <w:tc>
          <w:tcPr>
            <w:tcW w:w="0" w:type="dxa"/>
            <w:vAlign w:val="bottom"/>
          </w:tcPr>
          <w:p>
            <w:pPr>
              <w:spacing w:after="0"/>
              <w:rPr>
                <w:sz w:val="1"/>
                <w:szCs w:val="1"/>
                <w:color w:val="auto"/>
              </w:rPr>
            </w:pP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18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(446,702)</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borrowings (repayments) from short-term debt obligations</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(32,091)</w:t>
            </w:r>
          </w:p>
        </w:tc>
        <w:tc>
          <w:tcPr>
            <w:tcW w:w="0" w:type="dxa"/>
            <w:vAlign w:val="bottom"/>
          </w:tcPr>
          <w:p>
            <w:pPr>
              <w:spacing w:after="0"/>
              <w:rPr>
                <w:sz w:val="1"/>
                <w:szCs w:val="1"/>
                <w:color w:val="auto"/>
              </w:rPr>
            </w:pP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18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1,194,900</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(17,947)</w:t>
            </w:r>
          </w:p>
        </w:tc>
        <w:tc>
          <w:tcPr>
            <w:tcW w:w="0" w:type="dxa"/>
            <w:vAlign w:val="bottom"/>
          </w:tcPr>
          <w:p>
            <w:pPr>
              <w:spacing w:after="0"/>
              <w:rPr>
                <w:sz w:val="1"/>
                <w:szCs w:val="1"/>
                <w:color w:val="auto"/>
              </w:rPr>
            </w:pPr>
          </w:p>
        </w:tc>
      </w:tr>
      <w:tr>
        <w:trPr>
          <w:trHeight w:val="270"/>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50"/>
        </w:trPr>
        <w:tc>
          <w:tcPr>
            <w:tcW w:w="7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(212,236)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416,298</w:t>
            </w: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(109,637)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98,757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w:t>
            </w:r>
          </w:p>
        </w:tc>
        <w:tc>
          <w:tcPr>
            <w:tcW w:w="0" w:type="dxa"/>
            <w:vAlign w:val="bottom"/>
          </w:tcPr>
          <w:p>
            <w:pPr>
              <w:spacing w:after="0"/>
              <w:rPr>
                <w:sz w:val="1"/>
                <w:szCs w:val="1"/>
                <w:color w:val="auto"/>
              </w:rPr>
            </w:pPr>
          </w:p>
        </w:tc>
      </w:tr>
      <w:tr>
        <w:trPr>
          <w:trHeight w:val="250"/>
        </w:trPr>
        <w:tc>
          <w:tcPr>
            <w:tcW w:w="7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(Decrease) increase in cash and cash equivalents and restricted cash</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686,427</w:t>
            </w:r>
          </w:p>
        </w:tc>
        <w:tc>
          <w:tcPr>
            <w:tcW w:w="0" w:type="dxa"/>
            <w:vAlign w:val="bottom"/>
          </w:tcPr>
          <w:p>
            <w:pPr>
              <w:spacing w:after="0"/>
              <w:rPr>
                <w:sz w:val="1"/>
                <w:szCs w:val="1"/>
                <w:color w:val="auto"/>
              </w:rPr>
            </w:pPr>
          </w:p>
        </w:tc>
      </w:tr>
      <w:tr>
        <w:trPr>
          <w:trHeight w:val="270"/>
        </w:trPr>
        <w:tc>
          <w:tcPr>
            <w:tcW w:w="7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2,099,508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1,817,379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1,130,952</w:t>
            </w:r>
          </w:p>
        </w:tc>
        <w:tc>
          <w:tcPr>
            <w:tcW w:w="0" w:type="dxa"/>
            <w:vAlign w:val="bottom"/>
          </w:tcPr>
          <w:p>
            <w:pPr>
              <w:spacing w:after="0"/>
              <w:rPr>
                <w:sz w:val="1"/>
                <w:szCs w:val="1"/>
                <w:color w:val="auto"/>
              </w:rPr>
            </w:pPr>
          </w:p>
        </w:tc>
      </w:tr>
      <w:tr>
        <w:trPr>
          <w:trHeight w:val="236"/>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2,086,102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2,099,508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1,817,379</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5540"/>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78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w w:val="92"/>
              </w:rPr>
              <w:t>Supplemental Cash Flow Disclosures:</w:t>
            </w:r>
          </w:p>
        </w:tc>
        <w:tc>
          <w:tcPr>
            <w:tcW w:w="4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 during the period</w:t>
            </w:r>
          </w:p>
        </w:tc>
        <w:tc>
          <w:tcPr>
            <w:tcW w:w="5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13,125</w:t>
            </w: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Income taxes paid during the period</w:t>
            </w:r>
          </w:p>
        </w:tc>
        <w:tc>
          <w:tcPr>
            <w:tcW w:w="5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48,688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60,170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74,086</w:t>
            </w:r>
          </w:p>
        </w:tc>
      </w:tr>
      <w:tr>
        <w:trPr>
          <w:trHeight w:val="243"/>
        </w:trPr>
        <w:tc>
          <w:tcPr>
            <w:tcW w:w="3080" w:type="dxa"/>
            <w:vAlign w:val="bottom"/>
          </w:tcPr>
          <w:p>
            <w:pPr>
              <w:spacing w:after="0"/>
              <w:rPr>
                <w:sz w:val="21"/>
                <w:szCs w:val="21"/>
                <w:color w:val="auto"/>
              </w:rPr>
            </w:pPr>
          </w:p>
        </w:tc>
        <w:tc>
          <w:tcPr>
            <w:tcW w:w="5060" w:type="dxa"/>
            <w:vAlign w:val="bottom"/>
            <w:gridSpan w:val="2"/>
          </w:tcPr>
          <w:p>
            <w:pPr>
              <w:jc w:val="center"/>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59"/>
        </w:trPr>
        <w:tc>
          <w:tcPr>
            <w:tcW w:w="3080" w:type="dxa"/>
            <w:vAlign w:val="bottom"/>
          </w:tcPr>
          <w:p>
            <w:pPr>
              <w:spacing w:after="0"/>
              <w:rPr>
                <w:sz w:val="24"/>
                <w:szCs w:val="24"/>
                <w:color w:val="auto"/>
              </w:rPr>
            </w:pPr>
          </w:p>
        </w:tc>
        <w:tc>
          <w:tcPr>
            <w:tcW w:w="4780" w:type="dxa"/>
            <w:vAlign w:val="bottom"/>
          </w:tcPr>
          <w:p>
            <w:pPr>
              <w:jc w:val="right"/>
              <w:ind w:right="2050"/>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28"/>
        </w:trPr>
        <w:tc>
          <w:tcPr>
            <w:tcW w:w="3080" w:type="dxa"/>
            <w:vAlign w:val="bottom"/>
            <w:tcBorders>
              <w:bottom w:val="single" w:sz="8" w:color="auto"/>
            </w:tcBorders>
          </w:tcPr>
          <w:p>
            <w:pPr>
              <w:spacing w:after="0"/>
              <w:rPr>
                <w:sz w:val="11"/>
                <w:szCs w:val="11"/>
                <w:color w:val="auto"/>
              </w:rPr>
            </w:pPr>
          </w:p>
        </w:tc>
        <w:tc>
          <w:tcPr>
            <w:tcW w:w="47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rFonts w:ascii="Arial" w:cs="Arial" w:eastAsia="Arial" w:hAnsi="Arial"/>
          <w:sz w:val="16"/>
          <w:szCs w:val="16"/>
          <w:b w:val="1"/>
          <w:bCs w:val="1"/>
          <w:color w:val="auto"/>
        </w:rPr>
      </w:pPr>
      <w:hyperlink w:anchor="page3">
        <w:r>
          <w:rPr>
            <w:rFonts w:ascii="Arial" w:cs="Arial" w:eastAsia="Arial" w:hAnsi="Arial"/>
            <w:sz w:val="16"/>
            <w:szCs w:val="16"/>
            <w:b w:val="1"/>
            <w:bCs w:val="1"/>
            <w:color w:val="auto"/>
          </w:rPr>
          <w:t>(</w:t>
        </w:r>
        <w:r>
          <w:rPr>
            <w:rFonts w:ascii="Arial" w:cs="Arial" w:eastAsia="Arial" w:hAnsi="Arial"/>
            <w:sz w:val="17"/>
            <w:szCs w:val="17"/>
            <w:b w:val="1"/>
            <w:bCs w:val="1"/>
            <w:color w:val="auto"/>
          </w:rPr>
          <w:t>1) Organization</w:t>
        </w:r>
      </w:hyperlink>
    </w:p>
    <w:p>
      <w:pPr>
        <w:spacing w:after="0" w:line="254"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Euronet Worldwide, Inc. (the "Company" or "Euronet") was established as a Delaware corporation on December 13, 1996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ATM, POS, card outsourcing, card issuing and merchant acquiring services, electronic distribution of prepaid mobile airtime and other electronic payment products, and international payment services.</w:t>
      </w:r>
    </w:p>
    <w:p>
      <w:pPr>
        <w:spacing w:after="0" w:line="130"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 Basis of Preparation</w:t>
        </w:r>
      </w:hyperlink>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Euronet's investments in companies that it does not control, but has the ability to significantly influence, are accounted for under the equity method. Euronet has no variable interest entities. Results from operations related to entities acquired during the periods covered by the Consolidated Financial Statements are reflected from the effective date of acquisition.</w:t>
      </w:r>
    </w:p>
    <w:p>
      <w:pPr>
        <w:spacing w:after="0" w:line="19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preparation of the Consolidated Financial Statements in conformity with U.S. GAAP requires that management make a number of estimates and assumptions relating to the reported amounts of assets and liabilities, the disclosure of contingent assets and liabilities and the reported amounts of revenues and expenses. Significant items subject to such estimates and assumptions include computing income taxes, contingent purchase price consideration, estimating the useful lives and potential impairment of long-lived assets and goodwill, as well as allocating the purchase price to assets acquired and liabilities assumed in acquisitions and revenue recognition. Actual results could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Euronet’s EFT Processing Segment normally experiences its heaviest demand for DCC services during the third quarter of the fiscal year, normally coinciding with the tourism season. Additionally, the EFT Processing and epay Segments are normally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173"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(3) Summary of Significant Accounting Policies and Practices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Operations. The majority of our foreign currency exchange gains or losses are due to the remeasurement of intercompany loans which are not considered a long-term investment in nature and are in a currency other than the functional currency of one of the parties to the loan.</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(loss) income as a separate component of consolidated equity.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and certificates of deposit, which may be withdrawn at any time at the discretion of the Company without penalty, to be cash equivalents.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cash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ATM cash represents cash within the ATM network either included within ATMs, within dedicated accounts, or in-transit to ATMs.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assets and obligations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Settlement assets represent funds received or to be received from agents for unsettled money transfers and from merchants for unsettled prepaid transactions. See Note 4, Settlement Assets and Obligations, to the Consolidated Financial Statements for further discussion on settlement assets and obligations.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are stated at cost, less accumulated depreciation. Property and equipment acquired in acquisitions have been recorded at estimated fair values as of the acquisition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generally calculated using the straight-line method over the estimated useful lives of the respective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rates are generally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ATMs or ATM upgrades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Computers and software</w:t>
            </w:r>
          </w:p>
        </w:tc>
        <w:tc>
          <w:tcPr>
            <w:tcW w:w="654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
        </w:trPr>
        <w:tc>
          <w:tcPr>
            <w:tcW w:w="47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 terminals</w:t>
            </w:r>
          </w:p>
        </w:tc>
        <w:tc>
          <w:tcPr>
            <w:tcW w:w="6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Vehicles and office equipment</w:t>
            </w:r>
          </w:p>
        </w:tc>
        <w:tc>
          <w:tcPr>
            <w:tcW w:w="6540" w:type="dxa"/>
            <w:vAlign w:val="bottom"/>
          </w:tcPr>
          <w:p>
            <w:pPr>
              <w:jc w:val="right"/>
              <w:spacing w:after="0"/>
              <w:rPr>
                <w:sz w:val="20"/>
                <w:szCs w:val="20"/>
                <w:color w:val="auto"/>
              </w:rPr>
            </w:pPr>
            <w:r>
              <w:rPr>
                <w:rFonts w:ascii="Arial" w:cs="Arial" w:eastAsia="Arial" w:hAnsi="Arial"/>
                <w:sz w:val="18"/>
                <w:szCs w:val="18"/>
                <w:color w:val="auto"/>
              </w:rPr>
              <w:t>3 - 10 years</w:t>
            </w:r>
          </w:p>
        </w:tc>
      </w:tr>
      <w:tr>
        <w:trPr>
          <w:trHeight w:val="27"/>
        </w:trPr>
        <w:tc>
          <w:tcPr>
            <w:tcW w:w="47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the lesser of the lease term or estimated useful life</w:t>
            </w:r>
          </w:p>
        </w:tc>
      </w:tr>
      <w:tr>
        <w:trPr>
          <w:trHeight w:val="27"/>
        </w:trPr>
        <w:tc>
          <w:tcPr>
            <w:tcW w:w="4700" w:type="dxa"/>
            <w:vAlign w:val="bottom"/>
            <w:shd w:val="clear" w:color="auto" w:fill="CCEEFF"/>
          </w:tcPr>
          <w:p>
            <w:pPr>
              <w:spacing w:after="0"/>
              <w:rPr>
                <w:sz w:val="2"/>
                <w:szCs w:val="2"/>
                <w:color w:val="auto"/>
              </w:rPr>
            </w:pPr>
          </w:p>
        </w:tc>
        <w:tc>
          <w:tcPr>
            <w:tcW w:w="65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u w:val="single" w:color="auto"/>
          <w:color w:val="auto"/>
        </w:rPr>
        <w:t>Goodwill</w:t>
      </w:r>
      <w:r>
        <w:rPr>
          <w:rFonts w:ascii="Arial" w:cs="Arial" w:eastAsia="Arial" w:hAnsi="Arial"/>
          <w:sz w:val="17"/>
          <w:szCs w:val="17"/>
          <w:color w:val="auto"/>
        </w:rPr>
        <w:t xml:space="preserve"> - The Company accounts for goodwill and other intangible assets in accordance with Financial Accounting Standards Board ("FASB") Accounting Standards Codification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("ASC 350"). In accordance with the requirements of ASC 350 the Company tests for impairment on an annual basis in the fourth quarter and whenever events or circumstances dictate. Goodwill is allocated among and evaluated for impairment at the reporting unit level, which is defined as an operating segment or one level below an operating segment.</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ASC 350 provides an entity the option to first assess qualitative factors to determine whether the existence of events or circumstances leads to a determination that it is more likely than not (more than 50%) that the estimated fair value of a reporting unit is less than its carrying amount. If an entity elects to perform a qualitative assessment and determines that an impairment is more likely than not, the entity is then required to perform the existing quantitative impairment test (described below), otherwise no further analysis is required. An entity also may elect not to perform the qualitative assessment and, instead, proceed directly to the quantitative impairment test. The Company has a policy for its annual review of goodwill to perform the qualitative assessment for all reporting units not subjected directly to the quantitative impairment test.</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Under the qualitative assessment, various events and circumstances (or factors) that would affect the estimated fair value of a reporting unit are identified (similar to impairment indicators). These factors are then classified by the type of impact they would have on the estimated fair value using positive, neutral, and adverse categories based on current business conditions. Furthermore, the Company considers the results of the most recent quantitative impairment test completed for a reporting unit and compares, among other factors, the weighted average cost of capital ("WACC") between the current and prior years for each reporting unit.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0" w:name="page71"/>
    <w:bookmarkEnd w:id="70"/>
    <w:p>
      <w:pPr>
        <w:jc w:val="both"/>
        <w:spacing w:after="0" w:line="287" w:lineRule="auto"/>
        <w:rPr>
          <w:sz w:val="20"/>
          <w:szCs w:val="20"/>
          <w:color w:val="auto"/>
        </w:rPr>
      </w:pPr>
      <w:r>
        <w:rPr>
          <w:rFonts w:ascii="Arial" w:cs="Arial" w:eastAsia="Arial" w:hAnsi="Arial"/>
          <w:sz w:val="17"/>
          <w:szCs w:val="17"/>
          <w:color w:val="auto"/>
        </w:rPr>
        <w:t>Under the quantitative impairment test, the evaluation of impairment involves comparing the current fair value of each reporting unit to its carrying value, including goodwill. The Company uses weighted results from the income approach or the discounted cash flow model ("DCF model") and guideline public company method ("Market Approach model") to estimate the current fair value of its reporting units when testing for impairment, as management believes forecasted cash flows and EBITDA are the best indicators of such fair value. A number of significant assumptions and estimates are involved in the application of the DCF model to forecast operating cash flows, including sales volumes, gross margins, tax rates, capital spending, discount rates and working capital changes. Most of these assumptions vary significantly among the reporting units. Significant assumptions in the Market Approach model are projected EBITDA, selected market multiple, and the estimated control premium. If the carrying value of goodwill exceeds its fair value, an impairment loss equal to such excess would be recognized. The DCF Model and Market Approach Model utilize Level 3 inputs in the fair value hierarchy as they include unobservable inputs that require significant management assumptions.</w:t>
      </w:r>
    </w:p>
    <w:p>
      <w:pPr>
        <w:spacing w:after="0" w:line="19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u w:val="single" w:color="auto"/>
          <w:color w:val="auto"/>
        </w:rPr>
        <w:t>Other Intangible Assets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350, intangible assets with finite lives are amortized over their estimated useful lives. Unless otherwise noted, amortization is calculated using the straight-line method over the estimated useful lives of the assets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5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Trademarks and trade names</w:t>
            </w:r>
          </w:p>
        </w:tc>
        <w:tc>
          <w:tcPr>
            <w:tcW w:w="5000" w:type="dxa"/>
            <w:vAlign w:val="bottom"/>
          </w:tcPr>
          <w:p>
            <w:pPr>
              <w:jc w:val="right"/>
              <w:spacing w:after="0"/>
              <w:rPr>
                <w:sz w:val="20"/>
                <w:szCs w:val="20"/>
                <w:color w:val="auto"/>
              </w:rPr>
            </w:pPr>
            <w:r>
              <w:rPr>
                <w:rFonts w:ascii="Arial" w:cs="Arial" w:eastAsia="Arial" w:hAnsi="Arial"/>
                <w:sz w:val="18"/>
                <w:szCs w:val="18"/>
                <w:color w:val="auto"/>
              </w:rPr>
              <w:t>2 - 20 years</w:t>
            </w:r>
          </w:p>
        </w:tc>
      </w:tr>
      <w:tr>
        <w:trPr>
          <w:trHeight w:val="27"/>
        </w:trPr>
        <w:tc>
          <w:tcPr>
            <w:tcW w:w="62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3 - 10 years</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5000" w:type="dxa"/>
            <w:vAlign w:val="bottom"/>
          </w:tcPr>
          <w:p>
            <w:pPr>
              <w:jc w:val="right"/>
              <w:spacing w:after="0"/>
              <w:rPr>
                <w:sz w:val="20"/>
                <w:szCs w:val="20"/>
                <w:color w:val="auto"/>
              </w:rPr>
            </w:pPr>
            <w:r>
              <w:rPr>
                <w:rFonts w:ascii="Arial" w:cs="Arial" w:eastAsia="Arial" w:hAnsi="Arial"/>
                <w:sz w:val="18"/>
                <w:szCs w:val="18"/>
                <w:color w:val="auto"/>
              </w:rPr>
              <w:t>6 - 20 years</w:t>
            </w: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such events or changes in circumstances are present, a loss is recognized if the carrying value of the asset is in excess of the sum of the undiscounted cash flows expected to result from the use of the asset and its eventual disposition. An impairment loss is measured as the amount by which the carrying amount of the asset exceeds the fair value of the asset.</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9, Goodwill and Acquired Intangible Assets, Net, to the Consolidated Financial Statements for additional information regarding the impairment of goodwill and other intangible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12"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Other assets include capitalized software development costs and capitalized payments for new or renewed contracts. 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ASC Topic 340, </w:t>
      </w:r>
      <w:r>
        <w:rPr>
          <w:rFonts w:ascii="Arial" w:cs="Arial" w:eastAsia="Arial" w:hAnsi="Arial"/>
          <w:sz w:val="17"/>
          <w:szCs w:val="17"/>
          <w:i w:val="1"/>
          <w:iCs w:val="1"/>
          <w:color w:val="auto"/>
        </w:rPr>
        <w:t>Other Assets and Deferred Costs</w:t>
      </w:r>
      <w:r>
        <w:rPr>
          <w:rFonts w:ascii="Arial" w:cs="Arial" w:eastAsia="Arial" w:hAnsi="Arial"/>
          <w:sz w:val="17"/>
          <w:szCs w:val="17"/>
          <w:color w:val="auto"/>
        </w:rPr>
        <w:t xml:space="preserve"> ("ASC 340") requires the deferral of incremental costs to fulfill customer contracts, known as contract assets, which are then amortized to expense as part of direct operating costs over the respective periods of expected benefit. Deferred contract costs are reported on our balance sheet within current or non-current other assets based on the expected life of the related contract. At December 31, 2021 and 2020, we had $96.4 million and $143.5 million, respectively, of deferred contract costs. For the years ended December 31, 2021, 2020 and 2019, we had $33.3 million, $17.2 million and $6.9 million of amortization related to these costs, respectively. On a quarterly basis we evaluate the carrying amount of contract assets recognized to determine if there are contracts that may have a carrying amount in excess of the remaining future consideration to be received from the contract. During the fourth quarter of 2021, we identified certain contract assets that had carrying balances greater than the estimated remaining cash flows in the contracts and recorded a corresponding $38.6 million non-cash impairment. The impairment charge is the result of lower-than-expected customer transaction volume related to these specific contracts, stemming primarily from COVID-19 related disruptions. This non-cash impairment charge is included in the Money Transfer Segment.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52"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 xml:space="preserve">The Company accounts for its convertible debt instruments that may be settled in cash upon conversion in accordance with ASC Topic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("ASC 470"), which requires the proceeds from the issuance of such convertible debt instruments to be allocated between debt and equity components so that debt is discounted to reflect the Company's nonconvertible debt borrowing rate. Further, the Company applies ASC 470-20-35-13, which requires the debt discount to be amortized over the period the convertible debt is expected to be outstanding as additional non-cash interest expense.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the Company's policy is to record estimated interest and penalties related to the underpayment of income taxes as income tax expense in the Consolidated Statements of Operations. See Note 14, Income Taxes, to the Consolidated Financial Statements for further discussion regarding these provisions.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taxes collected and remitted to governmental authorities</w:t>
      </w:r>
    </w:p>
    <w:p>
      <w:pPr>
        <w:spacing w:after="0" w:line="198" w:lineRule="exact"/>
        <w:rPr>
          <w:sz w:val="20"/>
          <w:szCs w:val="20"/>
          <w:color w:val="auto"/>
        </w:rPr>
      </w:pPr>
    </w:p>
    <w:p>
      <w:pPr>
        <w:ind w:right="20"/>
        <w:spacing w:after="0" w:line="438" w:lineRule="auto"/>
        <w:rPr>
          <w:sz w:val="20"/>
          <w:szCs w:val="20"/>
          <w:color w:val="auto"/>
        </w:rPr>
      </w:pPr>
      <w:r>
        <w:rPr>
          <w:rFonts w:ascii="Arial" w:cs="Arial" w:eastAsia="Arial" w:hAnsi="Arial"/>
          <w:sz w:val="18"/>
          <w:szCs w:val="18"/>
          <w:color w:val="auto"/>
        </w:rPr>
        <w:t xml:space="preserve">The Company presents taxes collected and remitted to governmental authorities on a net basis in the accompanying Consolidated Statements of Operations. </w:t>
      </w:r>
      <w:r>
        <w:rPr>
          <w:rFonts w:ascii="Arial" w:cs="Arial" w:eastAsia="Arial" w:hAnsi="Arial"/>
          <w:sz w:val="18"/>
          <w:szCs w:val="18"/>
          <w:b w:val="1"/>
          <w:bCs w:val="1"/>
          <w:i w:val="1"/>
          <w:iCs w:val="1"/>
          <w:color w:val="auto"/>
        </w:rPr>
        <w:t>Fair value measurements</w:t>
      </w:r>
    </w:p>
    <w:p>
      <w:pPr>
        <w:spacing w:after="0" w:line="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 xml:space="preserve">The Company applies the provisions of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regarding fair value measurements for assets and liabilities. ASC 820 defines fair value, establishes a framework for measuring fair value and requires certain disclosures about fair value measurements. The provisions apply whenever other accounting pronouncements require or permit fair value measurements. See Note 18, Financial Instruments and Fair Value Measurements, to the Consolidated Financial Statements for the required fair value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instruments and hedging activities</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The Company accounts for derivative instruments and hedging activities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which requires that all derivative instruments be recognized as either assets or liabilities on the balance sheet at fair value. Primarily in the Money Transfer Segment, the Company enters into foreign currency derivative contracts, mainly forward contracts, to offset foreign currency exposure related to money transfer settlement assets and liabilities in currencies other than the U.S. dollar, derivative contracts written to its customers arising from its cross-currency money transfer services and certain assets and liability positions denominated in currencies other than the U.S. dollar. These contracts are considered derivative instruments under the provisions of ASC 815; however, the Company does not designate such instruments as hedges for accounting purposes. Accordingly, changes in the value of these contracts are recognized immediately as a component of foreign currency exchange gain (loss), net in the Consolidated Statements of Operations.</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Cash flows resulting from derivative instruments are included in operating activities in the Company's Consolidated Statements of Cash Flows. The Company enters into derivative instruments with highly credit-worthy financial institutions and does not use derivative instruments for trading or speculative purposes. See Note 12, Derivative Instruments and Hedging Activities, to the Consolidated Financial Statements for further discussion of derivative instruments.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xml:space="preserve">The Company follows the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for equity classified awards, which requires the determination of the fair value of the share-based compensation at the grant date and subsequent recognition of the related expense over the period in which the share-based compensation is earned ("requisite service period").</w:t>
      </w:r>
    </w:p>
    <w:p>
      <w:pPr>
        <w:spacing w:after="0" w:line="18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equity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periodic performance conditions, expense is recognized on a "graded attribution method." The graded attribution method results in expense recognition on a straight-line basis over the requisite service period for each separately vesting portion of an award. The Company has elected to use the "with and without method" when calculating the income tax benefit associated with its share-based payment arrangements. See Note 16, Stock Plans, for further disclosure.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recognizes revenue when control of the promised goods or services is transferred to our customers, in an amount that reflects the consideration the Company expects to be entitled to receive in exchange for those goods or services. Sales and usage-based taxes are excluded from revenues. A description of the major components of revenue by business segment is as follows:</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u w:val="single" w:color="auto"/>
          <w:color w:val="auto"/>
        </w:rPr>
        <w:t>EFT Processing</w:t>
      </w:r>
      <w:r>
        <w:rPr>
          <w:rFonts w:ascii="Arial" w:cs="Arial" w:eastAsia="Arial" w:hAnsi="Arial"/>
          <w:sz w:val="18"/>
          <w:szCs w:val="18"/>
          <w:color w:val="auto"/>
        </w:rPr>
        <w:t xml:space="preserve"> - Revenues in the EFT Processing Segment are primarily derived from transaction and management fees and foreign currency exchange margin from owned and outsourced ATM, POS and card processing networks and from the sale of EFT software solutions for electronic payment and transaction delivery systems, and fees or margin earned from value added services, including dynamic currency conversion and domestic and international surcharge.</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Transaction-based fees include charges for cash withdrawals, debit or credit card transactions, balance inquiries, transactions not completed because the relevant card issuer does not give authorization and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 which is recorded as deferred revenue upon receipt.</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u w:val="single" w:color="auto"/>
          <w:color w:val="auto"/>
        </w:rPr>
        <w:t>epay</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Revenue generated in the epay Segment is primarily derived from commissions or processing fees associated with distribution and/or processing of prepaid mobile airtime and digital media products. These fees and commissions are received from mobile operators, content vendors or distributors or from retailers. Commissions are recognized as revenue during the period in which the Company provides the service. The portion of the commission that is paid to retailers is generally recorded as a direct operating cost. In selling certain products, the Company is the principle obligor in the arrangements; accordingly, the gross sales value of the products is recorded as revenue and the purchase cost as direct operating cost. Transactions are processed through a network of POS terminals and direct connections to the electronic payment systems of retailers. Transaction processing fees are recognized at the time the transactions are processed.</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u w:val="single" w:color="auto"/>
          <w:color w:val="auto"/>
        </w:rPr>
        <w:t>Money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Revenues for money transfer and other services represent a transaction fee in addition to a margin earned from purchasing currency at wholesale exchange rates and selling the currency to customers at retail exchange rates. Revenues and the associated direct operating cost are recognized at the time the transaction is processed. The Company has origination and distribution agents in place, which each earn a fee for the respective service. These fees are reflected as direct operating costs.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Deferred Revenues - The Company records deferred revenues when cash payments are received or due in advance of its performance. The increase in the deferred revenue balance for the year ended December 31, 2021 is primarily driven by $58.2 million of cash payments received in the current year for which the Company has not yet satisfied the performance obligations, partially offset by $54.5 million of revenues recognized that were included in the deferred revenue balance as of December 31, 2020.</w:t>
      </w:r>
    </w:p>
    <w:p>
      <w:pPr>
        <w:spacing w:after="0" w:line="145"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Disaggregation of Revenues - The following table presents the Company's revenues disaggregated by segment and region.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 The Company recognizes foreign exchange revenues from derivative instruments in its xe operations in accordance with ASC Topic 815 and not ASC Topic 606. These revenues are not significant to the Company's consolidated revenues and are included in the following tables.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20" w:type="dxa"/>
            <w:vAlign w:val="bottom"/>
            <w:gridSpan w:val="9"/>
          </w:tcPr>
          <w:p>
            <w:pPr>
              <w:jc w:val="right"/>
              <w:ind w:right="110"/>
              <w:spacing w:after="0"/>
              <w:rPr>
                <w:sz w:val="20"/>
                <w:szCs w:val="20"/>
                <w:color w:val="auto"/>
              </w:rPr>
            </w:pPr>
            <w:r>
              <w:rPr>
                <w:rFonts w:ascii="Arial" w:cs="Arial" w:eastAsia="Arial" w:hAnsi="Arial"/>
                <w:sz w:val="18"/>
                <w:szCs w:val="18"/>
                <w:b w:val="1"/>
                <w:bCs w:val="1"/>
                <w:color w:val="auto"/>
                <w:w w:val="90"/>
              </w:rPr>
              <w:t>For the Year Ended December 31, 2021</w:t>
            </w:r>
          </w:p>
        </w:tc>
        <w:tc>
          <w:tcPr>
            <w:tcW w:w="100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5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Money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57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680" w:type="dxa"/>
            <w:vAlign w:val="bottom"/>
            <w:gridSpan w:val="5"/>
          </w:tcPr>
          <w:p>
            <w:pPr>
              <w:ind w:left="40"/>
              <w:spacing w:after="0"/>
              <w:rPr>
                <w:sz w:val="20"/>
                <w:szCs w:val="20"/>
                <w:color w:val="auto"/>
              </w:rPr>
            </w:pPr>
            <w:r>
              <w:rPr>
                <w:rFonts w:ascii="Arial" w:cs="Arial" w:eastAsia="Arial" w:hAnsi="Arial"/>
                <w:sz w:val="18"/>
                <w:szCs w:val="18"/>
                <w:b w:val="1"/>
                <w:bCs w:val="1"/>
                <w:color w:val="auto"/>
              </w:rPr>
              <w:t>EFT Processing</w:t>
            </w: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epay</w:t>
            </w:r>
          </w:p>
        </w:tc>
        <w:tc>
          <w:tcPr>
            <w:tcW w:w="2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Transfer</w:t>
            </w:r>
          </w:p>
        </w:tc>
        <w:tc>
          <w:tcPr>
            <w:tcW w:w="2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5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420,181</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669,297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576,640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1,666,118</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63,368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139,759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667,738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870,865</w:t>
            </w: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107,020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370,228</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96,366</w:t>
            </w: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(8,134)</w:t>
            </w:r>
          </w:p>
        </w:tc>
      </w:tr>
      <w:tr>
        <w:trPr>
          <w:trHeight w:val="257"/>
        </w:trPr>
        <w:tc>
          <w:tcPr>
            <w:tcW w:w="5780" w:type="dxa"/>
            <w:vAlign w:val="bottom"/>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591,138</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1,011,482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1,400,957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2,995,443</w:t>
            </w:r>
          </w:p>
        </w:tc>
      </w:tr>
      <w:tr>
        <w:trPr>
          <w:trHeight w:val="20"/>
        </w:trPr>
        <w:tc>
          <w:tcPr>
            <w:tcW w:w="5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0" w:type="dxa"/>
            <w:vAlign w:val="bottom"/>
            <w:gridSpan w:val="9"/>
          </w:tcPr>
          <w:p>
            <w:pPr>
              <w:jc w:val="right"/>
              <w:ind w:right="90"/>
              <w:spacing w:after="0"/>
              <w:rPr>
                <w:sz w:val="20"/>
                <w:szCs w:val="20"/>
                <w:color w:val="auto"/>
              </w:rPr>
            </w:pPr>
            <w:r>
              <w:rPr>
                <w:rFonts w:ascii="Arial" w:cs="Arial" w:eastAsia="Arial" w:hAnsi="Arial"/>
                <w:sz w:val="18"/>
                <w:szCs w:val="18"/>
                <w:b w:val="1"/>
                <w:bCs w:val="1"/>
                <w:color w:val="auto"/>
                <w:w w:val="90"/>
              </w:rPr>
              <w:t>For the Year Ended December 31, 2020</w:t>
            </w:r>
          </w:p>
        </w:tc>
        <w:tc>
          <w:tcPr>
            <w:tcW w:w="1040" w:type="dxa"/>
            <w:vAlign w:val="bottom"/>
          </w:tcPr>
          <w:p>
            <w:pPr>
              <w:spacing w:after="0"/>
              <w:rPr>
                <w:sz w:val="20"/>
                <w:szCs w:val="20"/>
                <w:color w:val="auto"/>
              </w:rPr>
            </w:pPr>
          </w:p>
        </w:tc>
      </w:tr>
      <w:tr>
        <w:trPr>
          <w:trHeight w:val="27"/>
        </w:trPr>
        <w:tc>
          <w:tcPr>
            <w:tcW w:w="57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5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Money</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57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w w:val="86"/>
              </w:rPr>
              <w:t>EFT Processing</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epay</w:t>
            </w:r>
          </w:p>
        </w:tc>
        <w:tc>
          <w:tcPr>
            <w:tcW w:w="2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Transfer</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5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313,953</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449,299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1,324,766</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577,845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778,905</w:t>
            </w:r>
          </w:p>
        </w:tc>
      </w:tr>
      <w:tr>
        <w:trPr>
          <w:trHeight w:val="27"/>
        </w:trPr>
        <w:tc>
          <w:tcPr>
            <w:tcW w:w="5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323,643</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60,778</w:t>
            </w:r>
          </w:p>
        </w:tc>
      </w:tr>
      <w:tr>
        <w:trPr>
          <w:trHeight w:val="27"/>
        </w:trPr>
        <w:tc>
          <w:tcPr>
            <w:tcW w:w="5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(5,392)</w:t>
            </w:r>
          </w:p>
        </w:tc>
      </w:tr>
      <w:tr>
        <w:trPr>
          <w:trHeight w:val="257"/>
        </w:trPr>
        <w:tc>
          <w:tcPr>
            <w:tcW w:w="5760" w:type="dxa"/>
            <w:vAlign w:val="bottom"/>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468,726</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835,517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1,183,849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2,482,700</w:t>
            </w:r>
          </w:p>
        </w:tc>
      </w:tr>
      <w:tr>
        <w:trPr>
          <w:trHeight w:val="20"/>
        </w:trPr>
        <w:tc>
          <w:tcPr>
            <w:tcW w:w="5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40" w:type="dxa"/>
            <w:vAlign w:val="bottom"/>
            <w:gridSpan w:val="9"/>
          </w:tcPr>
          <w:p>
            <w:pPr>
              <w:jc w:val="right"/>
              <w:ind w:right="160"/>
              <w:spacing w:after="0"/>
              <w:rPr>
                <w:sz w:val="20"/>
                <w:szCs w:val="20"/>
                <w:color w:val="auto"/>
              </w:rPr>
            </w:pPr>
            <w:r>
              <w:rPr>
                <w:rFonts w:ascii="Arial" w:cs="Arial" w:eastAsia="Arial" w:hAnsi="Arial"/>
                <w:sz w:val="18"/>
                <w:szCs w:val="18"/>
                <w:b w:val="1"/>
                <w:bCs w:val="1"/>
                <w:color w:val="auto"/>
              </w:rPr>
              <w:t>For the Year Ended December 31, 2019</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Money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46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EFT Processing</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epay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Transfer</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840" w:type="dxa"/>
            <w:vAlign w:val="bottom"/>
            <w:tcBorders>
              <w:bottom w:val="single" w:sz="8" w:color="CCEEFF"/>
            </w:tcBorders>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724,163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524,907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373,302</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1,622,372</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35,461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151,016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573,016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759,493</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330,485</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16,915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24,974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41,917</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2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320" w:type="dxa"/>
            <w:vAlign w:val="bottom"/>
          </w:tcPr>
          <w:p>
            <w:pPr>
              <w:ind w:left="180"/>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22"/>
                <w:szCs w:val="22"/>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888,712</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769,329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1,096,226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2,750,109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6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2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2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"Accounting for Convertible Instruments and Contracts in an Entity's Own Equity"</w:t>
      </w:r>
      <w:r>
        <w:rPr>
          <w:rFonts w:ascii="Arial" w:cs="Arial" w:eastAsia="Arial" w:hAnsi="Arial"/>
          <w:sz w:val="17"/>
          <w:szCs w:val="17"/>
          <w:color w:val="auto"/>
        </w:rPr>
        <w:t xml:space="preserve"> which simplifies the accounting for convertible instruments by eliminating certain accounting models when the conversion features are not required to be accounted for as derivatives under Topic 815, Derivatives and Hedging, or that do not result in substantial premiums accounted for as paid-in-capital. Under this ASU, certain debt instruments with embedded conversion features will be accounted for as a single liability measured at its amortized cost. Additionally, this ASU eliminates the treasury stock method to calculate diluted earnings per share for convertible instruments. The new guidance is effective for annual periods beginning after December 15, 2021, including interim periods within those fiscal years. We plan to adopt the new standard during the first quarter of 2022 using the modified retrospective approach and expect to record a $99.7 million decrease to additional paid-in capital, a $56.8 million decrease in debt discounts and a $42.9 million increase in retained earnings.</w:t>
      </w:r>
    </w:p>
    <w:p>
      <w:pPr>
        <w:spacing w:after="0" w:line="124"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(4) Settlement Assets and Obligations</w:t>
        </w:r>
      </w:hyperlink>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 currency purchased and the related fees charged to purchase the currency. The Company uses its cash and cash equivalents to pay the face value of the the payment service product upon presentation by the recipient. Cash received by Company agents and merchants generally becomes available to the Company within two weeks after initial receipt by the business partner. Receivables from business partners represent funds collected by such business partners that are in transit to the Company.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Settlement obligations consist of accrued expenses for money transfers, content providers, and EFT customer deposits and accounts payable to agents and content providers. Money transfer accrued expenses represent amounts to be paid to transferees when they request funds. Most agents typically settle with transferees first then obtain reimbursement from the Company. Money order accrued expenses represent amounts not yet presented for payment. Due to the agent funding and settlement process, accrued expenses to agents represent amounts due to agents for money transfers that have not been settled with transferees.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40" w:type="dxa"/>
            <w:vAlign w:val="bottom"/>
            <w:gridSpan w:val="7"/>
          </w:tcPr>
          <w:p>
            <w:pPr>
              <w:ind w:left="40"/>
              <w:spacing w:after="0"/>
              <w:rPr>
                <w:sz w:val="20"/>
                <w:szCs w:val="20"/>
                <w:color w:val="auto"/>
              </w:rPr>
            </w:pPr>
            <w:r>
              <w:rPr>
                <w:rFonts w:ascii="Arial" w:cs="Arial" w:eastAsia="Arial" w:hAnsi="Arial"/>
                <w:sz w:val="18"/>
                <w:szCs w:val="18"/>
                <w:b w:val="1"/>
                <w:bCs w:val="1"/>
                <w:color w:val="auto"/>
                <w:w w:val="92"/>
              </w:rPr>
              <w:t>As of December As of December</w:t>
            </w:r>
          </w:p>
        </w:tc>
        <w:tc>
          <w:tcPr>
            <w:tcW w:w="0" w:type="dxa"/>
            <w:vAlign w:val="bottom"/>
          </w:tcPr>
          <w:p>
            <w:pPr>
              <w:spacing w:after="0"/>
              <w:rPr>
                <w:sz w:val="1"/>
                <w:szCs w:val="1"/>
                <w:color w:val="auto"/>
              </w:rPr>
            </w:pPr>
          </w:p>
        </w:tc>
      </w:tr>
      <w:tr>
        <w:trPr>
          <w:trHeight w:val="234"/>
        </w:trPr>
        <w:tc>
          <w:tcPr>
            <w:tcW w:w="702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31, 2021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31, 2020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8"/>
                <w:szCs w:val="18"/>
                <w:color w:val="auto"/>
              </w:rPr>
              <w:t>Settlement assets:</w:t>
            </w: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cash and cash equivalents</w:t>
            </w:r>
          </w:p>
        </w:tc>
        <w:tc>
          <w:tcPr>
            <w:tcW w:w="1820" w:type="dxa"/>
            <w:vAlign w:val="bottom"/>
            <w:tcBorders>
              <w:bottom w:val="single" w:sz="8" w:color="CCEEFF"/>
            </w:tcBorders>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203,624</w:t>
            </w: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188,191</w:t>
            </w:r>
          </w:p>
        </w:tc>
        <w:tc>
          <w:tcPr>
            <w:tcW w:w="0" w:type="dxa"/>
            <w:vAlign w:val="bottom"/>
          </w:tcPr>
          <w:p>
            <w:pPr>
              <w:spacing w:after="0"/>
              <w:rPr>
                <w:sz w:val="1"/>
                <w:szCs w:val="1"/>
                <w:color w:val="auto"/>
              </w:rPr>
            </w:pPr>
          </w:p>
        </w:tc>
      </w:tr>
      <w:tr>
        <w:trPr>
          <w:trHeight w:val="243"/>
        </w:trPr>
        <w:tc>
          <w:tcPr>
            <w:tcW w:w="7020" w:type="dxa"/>
            <w:vAlign w:val="bottom"/>
          </w:tcPr>
          <w:p>
            <w:pPr>
              <w:ind w:left="180"/>
              <w:spacing w:after="0"/>
              <w:rPr>
                <w:sz w:val="20"/>
                <w:szCs w:val="20"/>
                <w:color w:val="auto"/>
              </w:rPr>
            </w:pPr>
            <w:r>
              <w:rPr>
                <w:rFonts w:ascii="Arial" w:cs="Arial" w:eastAsia="Arial" w:hAnsi="Arial"/>
                <w:sz w:val="18"/>
                <w:szCs w:val="18"/>
                <w:color w:val="auto"/>
              </w:rPr>
              <w:t>Settlement restricted cash</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74,897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76,674</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 receivables, net of credit loss allowance of $27,341 and $35,800</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619,738</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641,955</w:t>
            </w:r>
          </w:p>
        </w:tc>
        <w:tc>
          <w:tcPr>
            <w:tcW w:w="0" w:type="dxa"/>
            <w:vAlign w:val="bottom"/>
          </w:tcPr>
          <w:p>
            <w:pPr>
              <w:spacing w:after="0"/>
              <w:rPr>
                <w:sz w:val="1"/>
                <w:szCs w:val="1"/>
                <w:color w:val="auto"/>
              </w:rPr>
            </w:pPr>
          </w:p>
        </w:tc>
      </w:tr>
      <w:tr>
        <w:trPr>
          <w:trHeight w:val="243"/>
        </w:trPr>
        <w:tc>
          <w:tcPr>
            <w:tcW w:w="70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204,130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234,055</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settlement assets</w:t>
            </w:r>
          </w:p>
        </w:tc>
        <w:tc>
          <w:tcPr>
            <w:tcW w:w="1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1,102,389</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1,140,875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Settlement obligations:</w:t>
            </w:r>
          </w:p>
        </w:tc>
        <w:tc>
          <w:tcPr>
            <w:tcW w:w="1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2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account payables</w:t>
            </w:r>
          </w:p>
        </w:tc>
        <w:tc>
          <w:tcPr>
            <w:tcW w:w="1820" w:type="dxa"/>
            <w:vAlign w:val="bottom"/>
            <w:tcBorders>
              <w:bottom w:val="single" w:sz="8" w:color="CCEEFF"/>
            </w:tcBorders>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461,135</w:t>
            </w: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571,175</w:t>
            </w:r>
          </w:p>
        </w:tc>
        <w:tc>
          <w:tcPr>
            <w:tcW w:w="0" w:type="dxa"/>
            <w:vAlign w:val="bottom"/>
          </w:tcPr>
          <w:p>
            <w:pPr>
              <w:spacing w:after="0"/>
              <w:rPr>
                <w:sz w:val="1"/>
                <w:szCs w:val="1"/>
                <w:color w:val="auto"/>
              </w:rPr>
            </w:pPr>
          </w:p>
        </w:tc>
      </w:tr>
      <w:tr>
        <w:trPr>
          <w:trHeight w:val="243"/>
        </w:trPr>
        <w:tc>
          <w:tcPr>
            <w:tcW w:w="702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641,254</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569,700</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settlement obligations</w:t>
            </w:r>
          </w:p>
        </w:tc>
        <w:tc>
          <w:tcPr>
            <w:tcW w:w="1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1,102,389</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1,140,875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5" w:name="page76"/>
    <w:bookmarkEnd w:id="75"/>
    <w:p>
      <w:pPr>
        <w:jc w:val="both"/>
        <w:spacing w:after="0" w:line="277" w:lineRule="auto"/>
        <w:rPr>
          <w:sz w:val="20"/>
          <w:szCs w:val="20"/>
          <w:color w:val="auto"/>
        </w:rPr>
      </w:pPr>
      <w:r>
        <w:rPr>
          <w:rFonts w:ascii="Arial" w:cs="Arial" w:eastAsia="Arial" w:hAnsi="Arial"/>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152"/>
        </w:trPr>
        <w:tc>
          <w:tcPr>
            <w:tcW w:w="7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3"/>
                <w:szCs w:val="13"/>
                <w:color w:val="auto"/>
              </w:rPr>
            </w:pPr>
          </w:p>
        </w:tc>
        <w:tc>
          <w:tcPr>
            <w:tcW w:w="122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3"/>
                <w:szCs w:val="13"/>
                <w:color w:val="auto"/>
              </w:rPr>
            </w:pPr>
          </w:p>
        </w:tc>
        <w:tc>
          <w:tcPr>
            <w:tcW w:w="112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7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6"/>
                <w:szCs w:val="16"/>
                <w:color w:val="auto"/>
              </w:rPr>
            </w:pPr>
          </w:p>
        </w:tc>
      </w:tr>
      <w:tr>
        <w:trPr>
          <w:trHeight w:val="249"/>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1,420,255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786,081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3,334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34,301</w:t>
            </w:r>
          </w:p>
        </w:tc>
      </w:tr>
      <w:tr>
        <w:trPr>
          <w:trHeight w:val="27"/>
        </w:trPr>
        <w:tc>
          <w:tcPr>
            <w:tcW w:w="7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 cash</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411,054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665,641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Settlement cash and cash equivalents</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203,624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188,191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282,188</w:t>
            </w:r>
          </w:p>
        </w:tc>
        <w:tc>
          <w:tcPr>
            <w:tcW w:w="6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49,168</w:t>
            </w: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2,086,102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2,099,508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1,817,379</w:t>
            </w:r>
          </w:p>
        </w:tc>
        <w:tc>
          <w:tcPr>
            <w:tcW w:w="60" w:type="dxa"/>
            <w:vAlign w:val="bottom"/>
          </w:tcPr>
          <w:p>
            <w:pPr>
              <w:spacing w:after="0"/>
              <w:rPr>
                <w:sz w:val="22"/>
                <w:szCs w:val="22"/>
                <w:color w:val="auto"/>
              </w:rPr>
            </w:pP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(5) Stockholders' Equity</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3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assumed vesting of restricted stock and the assumed conversion of the Company's convertible debt.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computation of diluted weighted average number of common shares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3740" w:type="dxa"/>
            <w:vAlign w:val="bottom"/>
            <w:gridSpan w:val="5"/>
          </w:tcPr>
          <w:p>
            <w:pPr>
              <w:jc w:val="right"/>
              <w:ind w:right="77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75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7"/>
        </w:trPr>
        <w:tc>
          <w:tcPr>
            <w:tcW w:w="7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180" w:type="dxa"/>
            <w:vAlign w:val="bottom"/>
          </w:tcPr>
          <w:p>
            <w:pPr>
              <w:jc w:val="right"/>
              <w:spacing w:after="0"/>
              <w:rPr>
                <w:sz w:val="20"/>
                <w:szCs w:val="20"/>
                <w:color w:val="auto"/>
              </w:rPr>
            </w:pPr>
            <w:r>
              <w:rPr>
                <w:rFonts w:ascii="Arial" w:cs="Arial" w:eastAsia="Arial" w:hAnsi="Arial"/>
                <w:sz w:val="18"/>
                <w:szCs w:val="18"/>
                <w:color w:val="auto"/>
              </w:rPr>
              <w:t>52,585,674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52,659,551</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53,449,834</w:t>
            </w:r>
          </w:p>
        </w:tc>
      </w:tr>
      <w:tr>
        <w:trPr>
          <w:trHeight w:val="27"/>
        </w:trPr>
        <w:tc>
          <w:tcPr>
            <w:tcW w:w="7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Incremental shares from assumed exercise of stock options and vesting of restricted 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943,902</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1,464,053</w:t>
            </w:r>
          </w:p>
        </w:tc>
      </w:tr>
      <w:tr>
        <w:trPr>
          <w:trHeight w:val="257"/>
        </w:trPr>
        <w:tc>
          <w:tcPr>
            <w:tcW w:w="7500" w:type="dxa"/>
            <w:vAlign w:val="bottom"/>
          </w:tcPr>
          <w:p>
            <w:pPr>
              <w:ind w:left="500"/>
              <w:spacing w:after="0"/>
              <w:rPr>
                <w:sz w:val="20"/>
                <w:szCs w:val="20"/>
                <w:color w:val="auto"/>
              </w:rPr>
            </w:pPr>
            <w:r>
              <w:rPr>
                <w:rFonts w:ascii="Arial" w:cs="Arial" w:eastAsia="Arial" w:hAnsi="Arial"/>
                <w:sz w:val="18"/>
                <w:szCs w:val="18"/>
                <w:color w:val="auto"/>
              </w:rPr>
              <w:t>Diluted weighted average shares outstanding</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53,529,576</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52,659,551</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54,913,887</w:t>
            </w:r>
          </w:p>
        </w:tc>
      </w:tr>
      <w:tr>
        <w:trPr>
          <w:trHeight w:val="20"/>
        </w:trPr>
        <w:tc>
          <w:tcPr>
            <w:tcW w:w="7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 table includes all stock options and restricted stock that are dilutive to the Company's weighted average common shares outstanding during the period. The calculation of diluted earnings per share excludes stock options or shares of restricted stock that are anti-dilutive to the Company's weighted average common shares outstanding for the years ended December 31, 2021, 2020 and 2019 of approximately 1,668,000, 2,073,000 and 380,000, respectively.</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The Company issued Convertible Senior Notes ("Convertible Notes") due March 2049 on March 18, 2019 and retired the existing convertible notes ("Retired Convertible Notes") that would have matured in 2044 on May 28, 2019. The Company's Convertible Notes currently have, and the Retired Convertible Notes had, a settlement feature requiring the Company upon conversion to settle the principal amount of the debt and any conversion value in excess of the principal value ("conversion premium"), for cash or shares of the Company's common stock or a combination thereof, at the Company's option. The Company has stated its intent to settle any conversion of these notes by paying cash for the principal value and issuing common stock for any conversion premium. Accordingly, the Convertible Notes and the Retired Convertible Notes were included in the calculation of diluted earnings per share if their inclusion was dilutive. The dilutive effect increases the more the market price exceeds the conversion price. The Convertible Notes would only have a dilutive effect if the market price per share of common stock exceeds the conversion price of $188.73 per share. Therefore, according to ASC Topic 260, </w:t>
      </w:r>
      <w:r>
        <w:rPr>
          <w:rFonts w:ascii="Arial" w:cs="Arial" w:eastAsia="Arial" w:hAnsi="Arial"/>
          <w:sz w:val="16"/>
          <w:szCs w:val="16"/>
          <w:i w:val="1"/>
          <w:iCs w:val="1"/>
          <w:color w:val="auto"/>
        </w:rPr>
        <w:t xml:space="preserve">Earnings per Share </w:t>
      </w:r>
      <w:r>
        <w:rPr>
          <w:rFonts w:ascii="Arial" w:cs="Arial" w:eastAsia="Arial" w:hAnsi="Arial"/>
          <w:sz w:val="16"/>
          <w:szCs w:val="16"/>
          <w:color w:val="auto"/>
        </w:rPr>
        <w:t>("ASC 260")</w:t>
      </w:r>
      <w:r>
        <w:rPr>
          <w:rFonts w:ascii="Arial" w:cs="Arial" w:eastAsia="Arial" w:hAnsi="Arial"/>
          <w:sz w:val="16"/>
          <w:szCs w:val="16"/>
          <w:i w:val="1"/>
          <w:iCs w:val="1"/>
          <w:color w:val="auto"/>
        </w:rPr>
        <w:t xml:space="preserve">, </w:t>
      </w:r>
      <w:r>
        <w:rPr>
          <w:rFonts w:ascii="Arial" w:cs="Arial" w:eastAsia="Arial" w:hAnsi="Arial"/>
          <w:sz w:val="16"/>
          <w:szCs w:val="16"/>
          <w:color w:val="auto"/>
        </w:rPr>
        <w:t>there was no dilutive effect of the assumed conversion of the debentures as of December 31, 2021, 2020 and 2019. See</w:t>
      </w:r>
      <w:r>
        <w:rPr>
          <w:rFonts w:ascii="Arial" w:cs="Arial" w:eastAsia="Arial" w:hAnsi="Arial"/>
          <w:sz w:val="16"/>
          <w:szCs w:val="16"/>
          <w:i w:val="1"/>
          <w:iCs w:val="1"/>
          <w:color w:val="auto"/>
        </w:rPr>
        <w:t xml:space="preserve"> </w:t>
      </w:r>
      <w:r>
        <w:rPr>
          <w:rFonts w:ascii="Arial" w:cs="Arial" w:eastAsia="Arial" w:hAnsi="Arial"/>
          <w:sz w:val="16"/>
          <w:szCs w:val="16"/>
          <w:color w:val="auto"/>
        </w:rPr>
        <w:t>Note 11, Debt Obligations, to the Consolidated Financial Statements for more information about the Convertible Notes and Retired Convertible Notes.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3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Company's Board of Directors had authorized a stock repurchase program allowing Euronet to repurchase up to $375 million in value or 10.0 million shares of common stock through March 31, 2020. On March 11, 2019, in connection with the issuance of the Convertible Notes, the Board of Directors authorized an additional repurchase program of $120 million in value of the Company's common stock through March 11, 2021. On February 26, 2020, the Company put a repurchase program in place to repurchase up to $250 million in value, but not more than 5.0 million shares of common stock through February 28, 2022. On December 8, 2021, the Company put a repurchase program in place to repurchase up to $300 million in value, but not more than 5.0 million shares of common stock through December 8, 2023. Repurchases under the programs may take place in the open market or in privately negotiated transactions, including derivative transactions, and may be made under a Rule 10b5-1 plan. For the years ended December 31, 2021, 2020 and 2019 the Company repurchased $227.8 million, $239.8 million, and $70.9 million, respectively, in value of Euronet common stock under the repurchase programs.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authority to issue up to 10 million shares of preferred stock, of which no shares are currently issued or outstanding.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December 31, 2021 and 2020, accumulated other comprehensive loss consists entirely of foreign currency translation adjustments. The Company recorded a foreign currency translation loss of $78.5 million, a gain of $70.8 million and a loss of $13.9 million for the years ended December 31, 2021, 2020, and 2019, respectively. There were no reclassifications of foreign currency translation into the Consolidated Statements of Operations for the years ended December 31, 2021, 2020, and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dividends were paid on any class of the Company's stock during 2021, 2020, and 2019.</w:t>
      </w:r>
    </w:p>
    <w:p>
      <w:pPr>
        <w:spacing w:after="0" w:line="221"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(6) Acquisitions</w:t>
        </w:r>
      </w:hyperlink>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accordance with ASC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For certain large acquisitions, management engages an appraiser to assist in the valuation process.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Acquisitions</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March 2021, the Company entered into an agreement to purchase the Piraeus Bank Merchant Acquiring business of Piraeus Bank for €300 million, or approximately $360 million. The proposed arrangement will include separate commercial agreements for a long-term strategic partnership with Piraeus Bank for collaborative product distribution, processing and customer referrals. The acquisition will expand the Company’s omnichannel payments strategy and position the Company in Greece’s growing market for merchant acquiring services. The closing is targeted for the first half of 2022 and is subject to regulatory approvals, finalization of the commercial agreements, and customary closing conditions. The Company expects to finance the purchase price using cash on hand.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2019 Acquisitions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On November 30, 2019, the Company completed the acquisition of a North American based ATM operator with approximately 1,800 ATMs.</w:t>
      </w:r>
    </w:p>
    <w:p>
      <w:pPr>
        <w:spacing w:after="0" w:line="23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purchase price was $92.5 million in cash. The purchase price was allocated to the assets acquired and liabilities assumed, including identifiable intangible assets, based on their respective fair values at the date of acquisition. The acquisition has been accounted for as business combinations in accordance with U.S. GAAP and the results of operations have been included from the date of acquisition in the EFT Processing Segment. The historical revenue and earnings were not significant for the purpose of presenting pro forma information for the pre-acquisition periods.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00" w:type="dxa"/>
            <w:vAlign w:val="bottom"/>
            <w:gridSpan w:val="2"/>
          </w:tcPr>
          <w:p>
            <w:pPr>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acquisition date.</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4"/>
        </w:trPr>
        <w:tc>
          <w:tcPr>
            <w:tcW w:w="9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As of November</w:t>
            </w:r>
          </w:p>
        </w:tc>
      </w:tr>
      <w:tr>
        <w:trPr>
          <w:trHeight w:val="234"/>
        </w:trPr>
        <w:tc>
          <w:tcPr>
            <w:tcW w:w="990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30, 2019</w:t>
            </w:r>
          </w:p>
        </w:tc>
      </w:tr>
      <w:tr>
        <w:trPr>
          <w:trHeight w:val="27"/>
        </w:trPr>
        <w:tc>
          <w:tcPr>
            <w:tcW w:w="9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9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5,325</w:t>
            </w:r>
          </w:p>
        </w:tc>
      </w:tr>
      <w:tr>
        <w:trPr>
          <w:trHeight w:val="243"/>
        </w:trPr>
        <w:tc>
          <w:tcPr>
            <w:tcW w:w="9900" w:type="dxa"/>
            <w:vAlign w:val="bottom"/>
            <w:gridSpan w:val="2"/>
          </w:tcPr>
          <w:p>
            <w:pPr>
              <w:ind w:left="40"/>
              <w:spacing w:after="0"/>
              <w:rPr>
                <w:sz w:val="20"/>
                <w:szCs w:val="20"/>
                <w:color w:val="auto"/>
              </w:rPr>
            </w:pPr>
            <w:r>
              <w:rPr>
                <w:rFonts w:ascii="Arial" w:cs="Arial" w:eastAsia="Arial" w:hAnsi="Arial"/>
                <w:sz w:val="18"/>
                <w:szCs w:val="18"/>
                <w:color w:val="auto"/>
              </w:rPr>
              <w:t>Trade accounts receivable</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2,167</w:t>
            </w:r>
          </w:p>
        </w:tc>
      </w:tr>
      <w:tr>
        <w:trPr>
          <w:trHeight w:val="27"/>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r>
      <w:tr>
        <w:trPr>
          <w:trHeight w:val="243"/>
        </w:trPr>
        <w:tc>
          <w:tcPr>
            <w:tcW w:w="990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16,542</w:t>
            </w:r>
          </w:p>
        </w:tc>
      </w:tr>
      <w:tr>
        <w:trPr>
          <w:trHeight w:val="27"/>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7"/>
        </w:trPr>
        <w:tc>
          <w:tcPr>
            <w:tcW w:w="9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39,000</w:t>
            </w:r>
          </w:p>
        </w:tc>
      </w:tr>
      <w:tr>
        <w:trPr>
          <w:trHeight w:val="243"/>
        </w:trPr>
        <w:tc>
          <w:tcPr>
            <w:tcW w:w="9900" w:type="dxa"/>
            <w:vAlign w:val="bottom"/>
            <w:gridSpan w:val="2"/>
          </w:tcPr>
          <w:p>
            <w:pPr>
              <w:ind w:left="40"/>
              <w:spacing w:after="0"/>
              <w:rPr>
                <w:sz w:val="20"/>
                <w:szCs w:val="20"/>
                <w:color w:val="auto"/>
              </w:rPr>
            </w:pPr>
            <w:r>
              <w:rPr>
                <w:rFonts w:ascii="Arial" w:cs="Arial" w:eastAsia="Arial" w:hAnsi="Arial"/>
                <w:sz w:val="18"/>
                <w:szCs w:val="18"/>
                <w:color w:val="auto"/>
              </w:rPr>
              <w:t>Total assets acquired</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63,832</w:t>
            </w:r>
          </w:p>
        </w:tc>
      </w:tr>
      <w:tr>
        <w:trPr>
          <w:trHeight w:val="27"/>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9900" w:type="dxa"/>
            <w:vAlign w:val="bottom"/>
            <w:gridSpan w:val="2"/>
          </w:tcPr>
          <w:p>
            <w:pPr>
              <w:ind w:left="40"/>
              <w:spacing w:after="0"/>
              <w:rPr>
                <w:sz w:val="20"/>
                <w:szCs w:val="20"/>
                <w:color w:val="auto"/>
              </w:rPr>
            </w:pPr>
            <w:r>
              <w:rPr>
                <w:rFonts w:ascii="Arial" w:cs="Arial" w:eastAsia="Arial" w:hAnsi="Arial"/>
                <w:sz w:val="18"/>
                <w:szCs w:val="18"/>
                <w:color w:val="auto"/>
              </w:rPr>
              <w:t>Trade accounts payable</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(6,790)</w:t>
            </w:r>
          </w:p>
        </w:tc>
      </w:tr>
      <w:tr>
        <w:trPr>
          <w:trHeight w:val="27"/>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7"/>
        </w:trPr>
        <w:tc>
          <w:tcPr>
            <w:tcW w:w="9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9900" w:type="dxa"/>
            <w:vAlign w:val="bottom"/>
            <w:gridSpan w:val="2"/>
          </w:tcPr>
          <w:p>
            <w:pPr>
              <w:ind w:left="40"/>
              <w:spacing w:after="0"/>
              <w:rPr>
                <w:sz w:val="20"/>
                <w:szCs w:val="20"/>
                <w:color w:val="auto"/>
              </w:rPr>
            </w:pPr>
            <w:r>
              <w:rPr>
                <w:rFonts w:ascii="Arial" w:cs="Arial" w:eastAsia="Arial" w:hAnsi="Arial"/>
                <w:sz w:val="18"/>
                <w:szCs w:val="18"/>
                <w:color w:val="auto"/>
              </w:rPr>
              <w:t>Total liabilities assumed</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(6,870)</w:t>
            </w:r>
          </w:p>
        </w:tc>
      </w:tr>
      <w:tr>
        <w:trPr>
          <w:trHeight w:val="27"/>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990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35,540</w:t>
            </w:r>
          </w:p>
        </w:tc>
      </w:tr>
      <w:tr>
        <w:trPr>
          <w:trHeight w:val="27"/>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7"/>
        </w:trPr>
        <w:tc>
          <w:tcPr>
            <w:tcW w:w="9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r>
      <w:tr>
        <w:trPr>
          <w:trHeight w:val="277"/>
        </w:trPr>
        <w:tc>
          <w:tcPr>
            <w:tcW w:w="9900" w:type="dxa"/>
            <w:vAlign w:val="bottom"/>
            <w:gridSpan w:val="2"/>
          </w:tcPr>
          <w:p>
            <w:pPr>
              <w:ind w:left="40"/>
              <w:spacing w:after="0"/>
              <w:rPr>
                <w:sz w:val="20"/>
                <w:szCs w:val="20"/>
                <w:color w:val="auto"/>
              </w:rPr>
            </w:pPr>
            <w:r>
              <w:rPr>
                <w:rFonts w:ascii="Arial" w:cs="Arial" w:eastAsia="Arial" w:hAnsi="Arial"/>
                <w:sz w:val="18"/>
                <w:szCs w:val="18"/>
                <w:color w:val="auto"/>
              </w:rPr>
              <w:t>Net assets acquired</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92,502</w:t>
            </w:r>
          </w:p>
        </w:tc>
      </w:tr>
      <w:tr>
        <w:trPr>
          <w:trHeight w:val="20"/>
        </w:trPr>
        <w:tc>
          <w:tcPr>
            <w:tcW w:w="9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Company acquired customer relationship intangible assets with a fair value of $39.0 million, which are being amortized on a straight-line basis over 20 years.</w:t>
      </w:r>
    </w:p>
    <w:p>
      <w:pPr>
        <w:spacing w:after="0" w:line="189"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Goodwill, with a value of $35.5 million, arising from the acquisition was included in the EFT Processing Segment and was attributable to expected growth opportunities in the United States. Goodwill and intangible assets associated with this acquisition are deductible for tax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completed three additional acquisitions in 2019 for immaterial amounts.</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(7) Restricted Cash</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8560" w:type="dxa"/>
            <w:vAlign w:val="bottom"/>
            <w:gridSpan w:val="2"/>
          </w:tcPr>
          <w:p>
            <w:pPr>
              <w:spacing w:after="0"/>
              <w:rPr>
                <w:sz w:val="20"/>
                <w:szCs w:val="20"/>
                <w:color w:val="auto"/>
              </w:rPr>
            </w:pPr>
            <w:r>
              <w:rPr>
                <w:rFonts w:ascii="Arial" w:cs="Arial" w:eastAsia="Arial" w:hAnsi="Arial"/>
                <w:sz w:val="18"/>
                <w:szCs w:val="18"/>
                <w:color w:val="auto"/>
              </w:rPr>
              <w:t>The restricted cash balances as of December 31, 2021 and 2020 were as follows: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5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7"/>
        </w:trPr>
        <w:tc>
          <w:tcPr>
            <w:tcW w:w="8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held in trust and/or cash held on behalf of others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r>
      <w:tr>
        <w:trPr>
          <w:trHeight w:val="237"/>
        </w:trPr>
        <w:tc>
          <w:tcPr>
            <w:tcW w:w="8560" w:type="dxa"/>
            <w:vAlign w:val="bottom"/>
            <w:gridSpan w:val="2"/>
          </w:tcPr>
          <w:p>
            <w:pPr>
              <w:ind w:left="180"/>
              <w:spacing w:after="0"/>
              <w:rPr>
                <w:sz w:val="20"/>
                <w:szCs w:val="20"/>
                <w:color w:val="auto"/>
              </w:rPr>
            </w:pPr>
            <w:r>
              <w:rPr>
                <w:rFonts w:ascii="Arial" w:cs="Arial" w:eastAsia="Arial" w:hAnsi="Arial"/>
                <w:sz w:val="18"/>
                <w:szCs w:val="18"/>
                <w:b w:val="1"/>
                <w:bCs w:val="1"/>
                <w:color w:val="auto"/>
              </w:rPr>
              <w:t>Restricted cash</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3,693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3,334</w:t>
            </w: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Cash held in trust and/or cash held on behalf of others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62,077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64,489</w:t>
            </w: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Collateral on bank credit arrangements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12,185</w:t>
            </w:r>
          </w:p>
        </w:tc>
      </w:tr>
      <w:tr>
        <w:trPr>
          <w:trHeight w:val="237"/>
        </w:trPr>
        <w:tc>
          <w:tcPr>
            <w:tcW w:w="8560" w:type="dxa"/>
            <w:vAlign w:val="bottom"/>
            <w:gridSpan w:val="2"/>
          </w:tcPr>
          <w:p>
            <w:pPr>
              <w:ind w:left="180"/>
              <w:spacing w:after="0"/>
              <w:rPr>
                <w:sz w:val="20"/>
                <w:szCs w:val="20"/>
                <w:color w:val="auto"/>
              </w:rPr>
            </w:pPr>
            <w:r>
              <w:rPr>
                <w:rFonts w:ascii="Arial" w:cs="Arial" w:eastAsia="Arial" w:hAnsi="Arial"/>
                <w:sz w:val="18"/>
                <w:szCs w:val="18"/>
                <w:b w:val="1"/>
                <w:bCs w:val="1"/>
                <w:color w:val="auto"/>
              </w:rPr>
              <w:t>Restricted cash included within settlement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74,897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76,674</w:t>
            </w: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r>
      <w:tr>
        <w:trPr>
          <w:trHeight w:val="257"/>
        </w:trPr>
        <w:tc>
          <w:tcPr>
            <w:tcW w:w="85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Restricted Cash</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78,590</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80,008</w:t>
            </w:r>
          </w:p>
        </w:tc>
      </w:tr>
      <w:tr>
        <w:trPr>
          <w:trHeight w:val="20"/>
        </w:trPr>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Cash held in trust and/or cash held on behalf of others is in connection with the administration of the customer collection and vendor remittance activities by certain subsidiaries within the Company's epay and EFT Processing Segments. Amounts collected on behalf of certain mobile phone operators and/or merchants are deposited into a restricted cash account. The bank credit arrangements primarily represent cash collateral on deposit with commercial banks to cover guarantees.</w:t>
      </w:r>
    </w:p>
    <w:p>
      <w:pPr>
        <w:spacing w:after="0" w:line="168"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(8) Property and Equipment, Net</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property and equipment, net of accumulated depreciation and amortization as of December 31, 2021 and 2020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54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2020</w:t>
            </w:r>
          </w:p>
        </w:tc>
      </w:tr>
      <w:tr>
        <w:trPr>
          <w:trHeight w:val="27"/>
        </w:trPr>
        <w:tc>
          <w:tcPr>
            <w:tcW w:w="8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560,310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554,508</w:t>
            </w:r>
          </w:p>
        </w:tc>
      </w:tr>
      <w:tr>
        <w:trPr>
          <w:trHeight w:val="24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POS terminals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33,258</w:t>
            </w: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Vehicles and office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75,936</w:t>
            </w:r>
          </w:p>
        </w:tc>
      </w:tr>
      <w:tr>
        <w:trPr>
          <w:trHeight w:val="24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Computers and software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210,363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203,883</w:t>
            </w: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r>
      <w:tr>
        <w:trPr>
          <w:trHeight w:val="237"/>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878,012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868,870</w:t>
            </w: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(532,631)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(490,429)</w:t>
            </w:r>
          </w:p>
        </w:tc>
      </w:tr>
      <w:tr>
        <w:trPr>
          <w:trHeight w:val="257"/>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345,381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378,441</w:t>
            </w: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Depreciation expense related to property and equipment, including property and equipment recorded under finance leases, for the years ended December 31, 2021, 2020 and 2019 was $104.7 million, $96.1 million and $83.5 million,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(9) Goodwill and Acquired Intangible Assets, Net</w:t>
              </w:r>
            </w:hyperlink>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7100" w:type="dxa"/>
            <w:vAlign w:val="bottom"/>
            <w:gridSpan w:val="5"/>
          </w:tcPr>
          <w:p>
            <w:pPr>
              <w:spacing w:after="0"/>
              <w:rPr>
                <w:sz w:val="20"/>
                <w:szCs w:val="20"/>
                <w:color w:val="auto"/>
              </w:rPr>
            </w:pPr>
            <w:r>
              <w:rPr>
                <w:rFonts w:ascii="Arial" w:cs="Arial" w:eastAsia="Arial" w:hAnsi="Arial"/>
                <w:sz w:val="18"/>
                <w:szCs w:val="18"/>
                <w:color w:val="auto"/>
              </w:rPr>
              <w:t>The following table summarizes intangible assets as of December 31, 2021 and 2020:</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59"/>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5"/>
          </w:tcPr>
          <w:p>
            <w:pPr>
              <w:ind w:left="200"/>
              <w:spacing w:after="0"/>
              <w:rPr>
                <w:sz w:val="20"/>
                <w:szCs w:val="20"/>
                <w:color w:val="auto"/>
              </w:rPr>
            </w:pPr>
            <w:r>
              <w:rPr>
                <w:rFonts w:ascii="Arial" w:cs="Arial" w:eastAsia="Arial" w:hAnsi="Arial"/>
                <w:sz w:val="18"/>
                <w:szCs w:val="18"/>
                <w:b w:val="1"/>
                <w:bCs w:val="1"/>
                <w:color w:val="auto"/>
              </w:rPr>
              <w:t>As of December 31, 2021</w:t>
            </w:r>
          </w:p>
        </w:tc>
        <w:tc>
          <w:tcPr>
            <w:tcW w:w="220" w:type="dxa"/>
            <w:vAlign w:val="bottom"/>
          </w:tcPr>
          <w:p>
            <w:pPr>
              <w:spacing w:after="0"/>
              <w:rPr>
                <w:sz w:val="24"/>
                <w:szCs w:val="24"/>
                <w:color w:val="auto"/>
              </w:rPr>
            </w:pPr>
          </w:p>
        </w:tc>
        <w:tc>
          <w:tcPr>
            <w:tcW w:w="24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8"/>
              </w:rPr>
              <w:t>As of December 31, 2020</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Gross Carrying</w:t>
            </w:r>
          </w:p>
        </w:tc>
        <w:tc>
          <w:tcPr>
            <w:tcW w:w="14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Gross Carrying</w:t>
            </w:r>
          </w:p>
        </w:tc>
        <w:tc>
          <w:tcPr>
            <w:tcW w:w="14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Accumulated</w:t>
            </w:r>
          </w:p>
        </w:tc>
      </w:tr>
      <w:tr>
        <w:trPr>
          <w:trHeight w:val="234"/>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5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186,749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(99,131)</w:t>
            </w: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45,445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(31,327)</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(42,772)</w:t>
            </w: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(1,980)</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7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(175,210)</w:t>
            </w: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and amortizable intangible assets activity for the years ended December 31, 2021 and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Acquired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Intangible</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Total Intangible</w:t>
            </w:r>
          </w:p>
        </w:tc>
      </w:tr>
      <w:tr>
        <w:trPr>
          <w:trHeight w:val="234"/>
        </w:trPr>
        <w:tc>
          <w:tcPr>
            <w:tcW w:w="2080" w:type="dxa"/>
            <w:vAlign w:val="bottom"/>
          </w:tcPr>
          <w:p>
            <w:pPr>
              <w:ind w:left="100"/>
              <w:spacing w:after="0"/>
              <w:rPr>
                <w:sz w:val="20"/>
                <w:szCs w:val="20"/>
                <w:color w:val="auto"/>
              </w:rPr>
            </w:pPr>
            <w:r>
              <w:rPr>
                <w:rFonts w:ascii="Arial" w:cs="Arial" w:eastAsia="Arial" w:hAnsi="Arial"/>
                <w:sz w:val="18"/>
                <w:szCs w:val="18"/>
                <w:color w:val="auto"/>
              </w:rPr>
              <w:t>(in thousands)</w:t>
            </w:r>
          </w:p>
        </w:tc>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Goodwill</w:t>
            </w:r>
          </w:p>
        </w:tc>
        <w:tc>
          <w:tcPr>
            <w:tcW w:w="28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Assets</w:t>
            </w:r>
          </w:p>
        </w:tc>
      </w:tr>
      <w:tr>
        <w:trPr>
          <w:trHeight w:val="27"/>
        </w:trPr>
        <w:tc>
          <w:tcPr>
            <w:tcW w:w="6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141,847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743,823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885,670</w:t>
            </w: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Increases (decreases):</w:t>
            </w:r>
          </w:p>
        </w:tc>
        <w:tc>
          <w:tcPr>
            <w:tcW w:w="4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Acquisitions (see footnote</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70"/>
        </w:trPr>
        <w:tc>
          <w:tcPr>
            <w:tcW w:w="20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4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(104,554)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(106,602)</w:t>
            </w:r>
          </w:p>
        </w:tc>
      </w:tr>
      <w:tr>
        <w:trPr>
          <w:trHeight w:val="27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4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(22,867)</w:t>
            </w:r>
          </w:p>
        </w:tc>
      </w:tr>
      <w:tr>
        <w:trPr>
          <w:trHeight w:val="270"/>
        </w:trPr>
        <w:tc>
          <w:tcPr>
            <w:tcW w:w="698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26,817</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30,193</w:t>
            </w:r>
          </w:p>
        </w:tc>
      </w:tr>
      <w:tr>
        <w:trPr>
          <w:trHeight w:val="250"/>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Balance as of December 31,</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121,883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665,821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787,704</w:t>
            </w: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Increases (decreases):</w:t>
            </w:r>
          </w:p>
        </w:tc>
        <w:tc>
          <w:tcPr>
            <w:tcW w:w="4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4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(23,059)</w:t>
            </w:r>
          </w:p>
        </w:tc>
      </w:tr>
      <w:tr>
        <w:trPr>
          <w:trHeight w:val="270"/>
        </w:trPr>
        <w:tc>
          <w:tcPr>
            <w:tcW w:w="698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(24,216)</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(25,247)</w:t>
            </w:r>
          </w:p>
        </w:tc>
      </w:tr>
      <w:tr>
        <w:trPr>
          <w:trHeight w:val="263"/>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Balance as of December 31,</w:t>
            </w: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739,398</w:t>
            </w:r>
          </w:p>
        </w:tc>
      </w:tr>
      <w:tr>
        <w:trPr>
          <w:trHeight w:val="20"/>
        </w:trPr>
        <w:tc>
          <w:tcPr>
            <w:tcW w:w="20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COVID-19 pandemic and subsequent mitigation efforts, which include global business shutdowns, the closing of borders and the implementation of mandatory social distancing requirements, has created an unprecedented disruption to our business beginning in the first half of 2020. These mitigation efforts coupled with the negative economic impacts to the tourism industry caused a decline in revenues, earnings, and necessitated changes to our forecasted outlook. The Company determined the totality of these events constituted a triggering event that required us to perform an interim goodwill impairment assessment as of June 1, 2020. The Company concluded a triggering event had occurred for six reporting units, resulting in quantitative impairment tests. Three reporting units were within the EFT segment, two reporting units were within the Money Transfer segment, and one reporting unit was within the epay segment. As a result, the Company recorded a non-cash goodwill impairment charge of $104.6 million with respect to the xe, Innova and Pure Commerce reporting units. $21.9 million of the impairment charge was included within the EFT Segment, and $82.7 million of the impairment charge was included in the Money Transfer Segment.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jc w:val="both"/>
        <w:spacing w:after="0" w:line="293" w:lineRule="auto"/>
        <w:rPr>
          <w:sz w:val="20"/>
          <w:szCs w:val="20"/>
          <w:color w:val="auto"/>
        </w:rPr>
      </w:pPr>
      <w:r>
        <w:rPr>
          <w:rFonts w:ascii="Arial" w:cs="Arial" w:eastAsia="Arial" w:hAnsi="Arial"/>
          <w:sz w:val="18"/>
          <w:szCs w:val="18"/>
          <w:color w:val="auto"/>
        </w:rPr>
        <w:t>During the second half of 2020, the Company recorded a $2.0 million non-cash impairment charge for acquired intangible assets, specifically related to customer lists in the xe reporting unit.</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Of the total goodwill balance of $641.6 million as of December 31, 2021, $392.3 million relates to the Money Transfer Segment, $129.1 million relates to the epay Segment and the remaining $120.2 million relates to the EFT Processing Segment. Amortization expense for intangible assets with finite lives was $23.1 million, $22.9 million and $20.4 million for the years ended December 31, 2021, 2020 and 2019, respectively. Estimated annual amortization expense on intangible assets with finite lives as of December 31, 2021, is expected to total $21.7 million for 2022, $16.7 million for 2023, $9.9 million for 2024, $6.5 million for 2025, and $6.1 million for 2026.</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(10) Accrued Expenses and Other Current Liabilities</w:t>
              </w:r>
            </w:hyperlink>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40" w:type="dxa"/>
            <w:vAlign w:val="bottom"/>
          </w:tcPr>
          <w:p>
            <w:pPr>
              <w:spacing w:after="0"/>
              <w:rPr>
                <w:sz w:val="20"/>
                <w:szCs w:val="20"/>
                <w:color w:val="auto"/>
              </w:rPr>
            </w:pPr>
            <w:r>
              <w:rPr>
                <w:rFonts w:ascii="Arial" w:cs="Arial" w:eastAsia="Arial" w:hAnsi="Arial"/>
                <w:sz w:val="18"/>
                <w:szCs w:val="18"/>
                <w:color w:val="auto"/>
                <w:w w:val="96"/>
              </w:rPr>
              <w:t>The balances as of December 31, 2021 and 2020 were as follows:</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288,996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65,905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expenses</w:t>
            </w:r>
          </w:p>
        </w:tc>
        <w:tc>
          <w:tcPr>
            <w:tcW w:w="3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42,717</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Current portion of finance lease obligations</w:t>
            </w: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367,692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404,021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jc w:val="right"/>
              <w:ind w:right="2630"/>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14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8920" w:type="dxa"/>
            <w:vAlign w:val="bottom"/>
            <w:gridSpan w:val="2"/>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(11) Debt Obligations</w:t>
              </w:r>
            </w:hyperlink>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920" w:type="dxa"/>
            <w:vAlign w:val="bottom"/>
            <w:gridSpan w:val="2"/>
          </w:tcPr>
          <w:p>
            <w:pPr>
              <w:spacing w:after="0"/>
              <w:rPr>
                <w:sz w:val="20"/>
                <w:szCs w:val="20"/>
                <w:color w:val="auto"/>
              </w:rPr>
            </w:pPr>
            <w:r>
              <w:rPr>
                <w:rFonts w:ascii="Arial" w:cs="Arial" w:eastAsia="Arial" w:hAnsi="Arial"/>
                <w:sz w:val="18"/>
                <w:szCs w:val="18"/>
                <w:color w:val="auto"/>
              </w:rPr>
              <w:t>Debt obligations consist of the following as of December 31, 2021 and 2020:</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9"/>
        </w:trPr>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92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7"/>
        </w:trPr>
        <w:tc>
          <w:tcPr>
            <w:tcW w:w="8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Revolving credit agreement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283,400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270,400</w:t>
            </w: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920" w:type="dxa"/>
            <w:vAlign w:val="bottom"/>
            <w:gridSpan w:val="2"/>
          </w:tcPr>
          <w:p>
            <w:pPr>
              <w:ind w:left="280"/>
              <w:spacing w:after="0"/>
              <w:rPr>
                <w:sz w:val="20"/>
                <w:szCs w:val="20"/>
                <w:color w:val="auto"/>
              </w:rPr>
            </w:pPr>
            <w:r>
              <w:rPr>
                <w:rFonts w:ascii="Arial" w:cs="Arial" w:eastAsia="Arial" w:hAnsi="Arial"/>
                <w:sz w:val="18"/>
                <w:szCs w:val="18"/>
                <w:color w:val="auto"/>
              </w:rPr>
              <w:t>0.75% convertible notes, unsecured, due 2049</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468,235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452,228</w:t>
            </w: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1.375% Senior Notes, due 2026</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682,080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732,840</w:t>
            </w: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Other obligations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850</w:t>
            </w: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r>
      <w:tr>
        <w:trPr>
          <w:trHeight w:val="297"/>
        </w:trPr>
        <w:tc>
          <w:tcPr>
            <w:tcW w:w="89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debt obligations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1,434,635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1,456,318</w:t>
            </w:r>
          </w:p>
        </w:tc>
      </w:tr>
      <w:tr>
        <w:trPr>
          <w:trHeight w:val="257"/>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(17,932)</w:t>
            </w:r>
          </w:p>
        </w:tc>
      </w:tr>
      <w:tr>
        <w:trPr>
          <w:trHeight w:val="297"/>
        </w:trPr>
        <w:tc>
          <w:tcPr>
            <w:tcW w:w="89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Carrying value of debt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1,420,906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1,438,386</w:t>
            </w:r>
          </w:p>
        </w:tc>
      </w:tr>
      <w:tr>
        <w:trPr>
          <w:trHeight w:val="257"/>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57"/>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Long-term debt obligations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1,420,085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1,437,589</w:t>
            </w:r>
          </w:p>
        </w:tc>
      </w:tr>
      <w:tr>
        <w:trPr>
          <w:trHeight w:val="20"/>
        </w:trPr>
        <w:tc>
          <w:tcPr>
            <w:tcW w:w="8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December 31, 2021, aggregate annual maturities of long-term debt are $0.8 million in 2022, $283.5 million due in 2023, no maturities in 2024, $468.2 million due in 2025, and $682.1 million thereafter. This maturity schedule reflects the revolving credit facility maturing in 2023 and the Convertible Notes maturing in 2025, coinciding with the terms of the initial put option by holders of the Convertible Notes. It also reflects the maturing of the 1.375% Senior Notes of €600 million ($682.1 million) due in 2026.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98"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On October 17, 2018, the Company entered into an unsecured revolving credit agreement (the "Credit Facility") for $1.0 billion that expires on October 17, 2023. Fees and interest on borrowings are based upon the Company's corporate credit rating and are based, in the case of letter of credit fees, on a margin, and in the case of interest, on a margin over London Inter-Bank Offered Rate ("LIBOR") or a margin over the base rate, as selected by the Company, with the applicable margin ranging from 1.125% to 2.0% (or 0.175% to 1.0% for base rate loans). The Credit Facility allows for borrowings in Australian dollars, British pounds sterling, Canadian dollars, Czech koruna, Danish krone, euro, Hungarian forints, Japanese yen, New Zealand dollars, Norwegian krone, Polish zlotys, Swedish krona, Swiss francs, and U.S. dollars. The Credit Facility contains a $200 million sublimit for the issuance of letters of credit, a $50 million sublimit for U.S. dollar swingline loans, and a $90 million sublimit for certain foreign currencies swingline loans.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of the Company's borrowings under the Credit Facility was 1.2% as of December 31, 2021.</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As of December 31, 2021 and 2020, the Company had stand-by letters of credit/bank guarantees outstanding under the Credit Facility of $57.3 million and $60.8 million, respectively. Stand-by letters of credit/bank guarantees reduce the Company's borrowing capacity under the Credit Facility and are generally used to secure trade credit and performance obligations. As of December 31, 2021 and 2020, the stand-by letters of credit interest charges were each 1.1% per annum. Borrowing capacity under the Credit Facility as of December 31, 2021 was $689.3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2" w:name="page83"/>
    <w:bookmarkEnd w:id="82"/>
    <w:p>
      <w:pPr>
        <w:jc w:val="both"/>
        <w:spacing w:after="0" w:line="303" w:lineRule="auto"/>
        <w:rPr>
          <w:sz w:val="20"/>
          <w:szCs w:val="20"/>
          <w:color w:val="auto"/>
        </w:rPr>
      </w:pPr>
      <w:r>
        <w:rPr>
          <w:rFonts w:ascii="Arial" w:cs="Arial" w:eastAsia="Arial" w:hAnsi="Arial"/>
          <w:sz w:val="16"/>
          <w:szCs w:val="16"/>
          <w:color w:val="auto"/>
        </w:rPr>
        <w:t>The Credit Facility contains customary affirmative and negative covenants, events of default and financial covenants, including: (i) as of the end of each fiscal quarter ended on March 31, September 30 and December 31, a Consolidated Total Leverage Ratio not to be greater than 3.5 to 1.0; (ii) as of the end of each fiscal quarter ended on June 30, a Consolidated Total Leverage Ratio (as defined in the Credit Facility) not to be greater than 4.0 to 1.0; provided that, not more than two times prior to the expiration date, that a Material Acquisition has been consummated, for any period of four consecutive fiscal quarters following such Material Acquisition, the Consolidated Total Leverage Ratio will be not greater than 4.0 to 1.0 for fiscal quarters ended on March 31, September 30 and December 31 and not greater than 4.5 to 1.0 for fiscal quarters ended on June 30; provided, further, that following such four consecutive fiscal quarters for which the maximum Consolidated Total Leverage Ratio is increased, the maximum Consolidated Total Leverage Ratio shall revert to the levels set forth in clauses (i) and (ii) above for not fewer than two fiscal quarters before a subsequent Increase Notice is delivered to the syndicate of financial institutions; and (iii) a Consolidated Interest Coverage Ratio (as defined in the Credit Facility) not less than 4.0 to 1.0. Subject to meeting certain leverage ratio and liquidity requirements as contained in the unsecured credit agreement, the Company is permitted to pay dividends, repurchase common stock and repurchase subordinated debt. On September 17, 2020, the Company and certain of its subsidiaries entered into an amendment (the "Amendment") to the Credit Facility. Under the Amendment, the Consolidated Total Leverage Ratio, as defined in the Credit Facility, was modified to reduce the amount of consolidated funded debt by the amount of cash and cash equivalents on the Company's consolidated balance sheet and the Consolidated Interest Coverage Ratio now includes a one-time option to reduce the ratio to 3.5 to 1.0 from 4.0 to 1.0 for a period of up to three consecutive quarters. The Company was in compliance with all debt covenants as of December 31,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Uncommitted Line of Credit</w:t>
      </w:r>
    </w:p>
    <w:p>
      <w:pPr>
        <w:spacing w:after="0" w:line="19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On September 4, 2019, the Company entered into an Uncommitted Loan Agreement with Bank of America which provided Euronet up to $100.0 million under an uncommitted line of credit. Interest on borrowings was equal to LIBOR plus 0.65% and the agreement was set to expire September 4, 2020. During the three months ended June 30, 2020, the Company and Bank of America mutually agreed to terminate the Uncommitted Loan Agreement.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 In connection with the issuance of the Convertible Notes, the Company recorded $12.8 million in debt issuance costs, which are being amortized through March 1, 2025.</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may not redeem the Convertible Notes prior to September 20, 2022. The Company may redeem for cash all or any portion of the Convertible Notes, at its option, (i) on or after September 20, 2022 if the closing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on or after March 20, 2025 and prior to the maturity date, regardless of the foregoing sale price condition, in each case at a redemption price equal to 100% of the principal amount of the Convertible Notes to be redeemed, plus accrued and unpaid interest to, but excluding, the redemption date. No sinking fund is provided for the Convertible Notes. In addition, if a fundamental change, as defined in the Indenture, occurs prior to the maturity date, holders may require the Company to repurchase for cash all or part of their Convertible Notes at a repurchase price equal to 100% of the principal amount of the Convertible Notes to be repurchased, plus accrued and unpaid interest to, but excluding, the fundamental change repurchase date. As of December 31, 2021 the conversion threshold was not met.</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accordance with ASC 470-20-30-27, proceeds from the issuance of convertible debt is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paid-in capital of $99.7 million for the Convertible Notes.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used $94.2 million of the net proceeds from the issuance of the Convertible Notes to repurchase $49.0 million aggregate principal amount of the Company's 1.5% Convertible Senior Notes due 2044 (the "Retired Convertible Notes") from a limited number of holders in privately negotiated transactions.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3" w:name="page84"/>
    <w:bookmarkEnd w:id="83"/>
    <w:p>
      <w:pPr>
        <w:jc w:val="both"/>
        <w:spacing w:after="0" w:line="271" w:lineRule="auto"/>
        <w:rPr>
          <w:sz w:val="20"/>
          <w:szCs w:val="20"/>
          <w:color w:val="auto"/>
        </w:rPr>
      </w:pPr>
      <w:r>
        <w:rPr>
          <w:rFonts w:ascii="Arial" w:cs="Arial" w:eastAsia="Arial" w:hAnsi="Arial"/>
          <w:sz w:val="18"/>
          <w:szCs w:val="18"/>
          <w:color w:val="auto"/>
        </w:rPr>
        <w:t>On March 18, 2019, the Company provided a notice of redemption to the trustee of the indenture governing the Retired Convertible Notes (the "Existing Indenture"), pursuant to which the Company would redeem all of the remaining principal amount outstanding of the Retired Convertible Notes on May 28, 2019 (the "Redemption Date") for cash at a redemption price equal to 100% of the principal amount of the Retired Convertible Notes redeemed plus accrued and unpaid interest, if any, to, but excluding, the Redemption Date. The issuance of the Convertible Notes and the conversion of the Retired Convertible Notes, resulted in a $25.6 million recognition and a $34.2 million reversal of deferred tax liabilities within the additional paid-in capital as of December 31, 2019, respectively.</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Prior to the Redemption Date, approximately $352.4 million principal amount of the Retired Convertible Notes were submitted for conversion. The Company elected to settle the conversion of such Retired Convertible Notes through a combination of cash and stock. The Company paid cash equal to $1,000 for each $1,000 principal amount of Retired Convertible Notes submitted for conversion and satisfied the remainder of the conversion obligation by issuing shares of the Company's Common Stock valued at $147.24 per share. As a result, the Company paid cash of $352.4 million and issued approximately 2.5 million shares of its Common Stock. In accordance with ASC 470, the Company recognized a loss of $9.8 million on the conversion and redemption for the year ended December 31, 2019, representing the difference between the fair value of the Retired Convertible Notes converted and the carrying value of the bonds at the time of conversion. The Company is using the remainder of the net proceeds from the issuance of the Convertible Notes to finance the further growth of the business.</w:t>
      </w:r>
    </w:p>
    <w:p>
      <w:pPr>
        <w:spacing w:after="0" w:line="15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Contractual interest expense for the Retired Convertible Notes was $1.5 million for the year ended December 31, 2019 and accretion expense was $4.6 million for the year ended December 31, 2019.</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Contractual interest expense for the Convertible Notes was $3.9 million, $3.9 million, and $3.1 million for the years ended December 31, 2021, 2020 and 2019, respectively. Accretion expense was $16.0 million, $15.3 million and $11.6 million for the years ended December 31, 2021, 2020 and 2019, respectively. The effective interest rate was 4.4% for the year ended December 31, 2021. As of December 31, 2021, the unamortized discount was $56.8 million and will be amortized through March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1.375</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Senior Notes due 2026</w:t>
      </w:r>
    </w:p>
    <w:p>
      <w:pPr>
        <w:spacing w:after="0" w:line="20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 May 22, 2019, the Company completed the sale of €600 million ($669.9 million) aggregate principal amount of Senior Notes that mature on May 2026 (the "Senior Notes"). The Senior Notes accrue interest at a rate of 1.375% per year, payable annually in arrears commencing May 22, 2020, until maturity or earlier redemption. As of December 31, 2021, the Company has outstanding €600 million ($682.1 million) principal amount of the Senior Notes. In addition, the Company may redeem some or all of these notes on or after February 22, 2026 at their principal amount plus any accrued and unpaid interest. As of December 31, 2021, the Company had $5.4 million of unamortized debt issuance costs related to the Senior Notes.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19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Certain of the Company's subsidiaries have available lines of credit and overdraft credit facilities that generally provide for short-term borrowings that are used from time to time for working capital purposes. As of December 31, 2021 and 2020, borrowings under these arrangements were $0.9 million and $0.9 million, respectively. As of December 31, 2021, there was $0.8 million due in 2022 under these other obligation arrangements.</w:t>
      </w:r>
    </w:p>
    <w:p>
      <w:pPr>
        <w:spacing w:after="0" w:line="147"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(12) Derivative Instruments and Hedging Activities</w:t>
        </w:r>
      </w:hyperlink>
    </w:p>
    <w:p>
      <w:pPr>
        <w:spacing w:after="0" w:line="24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primarily due to either the relatively short duration of the contract term or the effects of fluctuations in currency exchange rates being reflected concurrently in earnings for both the derivative instrument and the transaction and have an offsetting effect.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December 31, 2021 and 2020, the Company had foreign currency forward contracts outstanding in the U.S. with a notional value of $222.1 million and $246.0 million, respectively. The foreign currency forward contracts consist primarily in Australian dollars, Canadian dollars, British pounds, euros and Mexican pesos.</w:t>
      </w:r>
    </w:p>
    <w:p>
      <w:pPr>
        <w:spacing w:after="0" w:line="141"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In addition, the Company uses forward contracts, typically with maturities from a few days to less than one year, to offset foreign exchange rate fluctuations on certain short-term borrowings that are payable in currencies other than the U.S dollar. As of December 31, 2021 and 2020, the Company had foreign currency forward contracts outstanding with a notional value of $216.1 million and $454.3 million, respectively, primarily in euros.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xe Operations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$79.5 million, $68.2 million and $71.1 million for the years ended December 31, 2021, 2020 and 2019, respectively. All of the derivative contracts used in the Company' s xe operations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14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xe operations as of December 31, 2021 and 2020, was approximately $1.0 billion and $1.3 billion, respectively. The significant majority of customer contracts are written in major currencies such as the euro, U.S. dollar, British pound, Australian dollar and New Zealand dollar.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gridSpan w:val="5"/>
          </w:tcPr>
          <w:p>
            <w:pPr>
              <w:ind w:left="40"/>
              <w:spacing w:after="0"/>
              <w:rPr>
                <w:sz w:val="20"/>
                <w:szCs w:val="20"/>
                <w:color w:val="auto"/>
              </w:rPr>
            </w:pPr>
            <w:r>
              <w:rPr>
                <w:rFonts w:ascii="Arial" w:cs="Arial" w:eastAsia="Arial" w:hAnsi="Arial"/>
                <w:sz w:val="18"/>
                <w:szCs w:val="18"/>
                <w:b w:val="1"/>
                <w:bCs w:val="1"/>
                <w:color w:val="auto"/>
                <w:w w:val="87"/>
              </w:rPr>
              <w:t>Asset Derivatives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w w:val="92"/>
              </w:rPr>
              <w:t>Liability Derivatives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4"/>
          </w:tcPr>
          <w:p>
            <w:pPr>
              <w:ind w:left="560"/>
              <w:spacing w:after="0"/>
              <w:rPr>
                <w:sz w:val="20"/>
                <w:szCs w:val="20"/>
                <w:color w:val="auto"/>
              </w:rPr>
            </w:pPr>
            <w:r>
              <w:rPr>
                <w:rFonts w:ascii="Arial" w:cs="Arial" w:eastAsia="Arial" w:hAnsi="Arial"/>
                <w:sz w:val="18"/>
                <w:szCs w:val="18"/>
                <w:b w:val="1"/>
                <w:bCs w:val="1"/>
                <w:color w:val="auto"/>
                <w:w w:val="92"/>
              </w:rPr>
              <w:t>Fair Value</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Fair Value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Balance</w:t>
            </w: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5"/>
              </w:rPr>
              <w:t>Sheet</w:t>
            </w:r>
          </w:p>
        </w:tc>
        <w:tc>
          <w:tcPr>
            <w:tcW w:w="120" w:type="dxa"/>
            <w:vAlign w:val="bottom"/>
          </w:tcPr>
          <w:p>
            <w:pPr>
              <w:spacing w:after="0"/>
              <w:rPr>
                <w:sz w:val="18"/>
                <w:szCs w:val="18"/>
                <w:color w:val="auto"/>
              </w:rPr>
            </w:pPr>
          </w:p>
        </w:tc>
        <w:tc>
          <w:tcPr>
            <w:tcW w:w="126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5"/>
              </w:rPr>
              <w:t>Sheet</w:t>
            </w:r>
          </w:p>
        </w:tc>
        <w:tc>
          <w:tcPr>
            <w:tcW w:w="14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Other current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Other current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Foreign currency exchange contracts</w:t>
            </w:r>
          </w:p>
        </w:tc>
        <w:tc>
          <w:tcPr>
            <w:tcW w:w="108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27,582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80,879</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liabilities</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(23,285)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(65,905)</w:t>
            </w:r>
          </w:p>
        </w:tc>
        <w:tc>
          <w:tcPr>
            <w:tcW w:w="0" w:type="dxa"/>
            <w:vAlign w:val="bottom"/>
          </w:tcPr>
          <w:p>
            <w:pPr>
              <w:spacing w:after="0"/>
              <w:rPr>
                <w:sz w:val="1"/>
                <w:szCs w:val="1"/>
                <w:color w:val="auto"/>
              </w:rPr>
            </w:pPr>
          </w:p>
        </w:tc>
      </w:tr>
      <w:tr>
        <w:trPr>
          <w:trHeight w:val="459"/>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Balance Sheet Presentation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gross and net fair value of derivative assets and liabilities as of December 31, 2021 and 2020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Assets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gridSpan w:val="7"/>
          </w:tcPr>
          <w:p>
            <w:pPr>
              <w:ind w:left="40"/>
              <w:spacing w:after="0"/>
              <w:rPr>
                <w:sz w:val="20"/>
                <w:szCs w:val="20"/>
                <w:color w:val="auto"/>
              </w:rPr>
            </w:pPr>
            <w:r>
              <w:rPr>
                <w:rFonts w:ascii="Arial" w:cs="Arial" w:eastAsia="Arial" w:hAnsi="Arial"/>
                <w:sz w:val="18"/>
                <w:szCs w:val="18"/>
                <w:b w:val="1"/>
                <w:bCs w:val="1"/>
                <w:color w:val="auto"/>
                <w:w w:val="91"/>
              </w:rPr>
              <w:t>Gross Amounts Not Offset in the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6"/>
          </w:tcPr>
          <w:p>
            <w:pPr>
              <w:ind w:left="100"/>
              <w:spacing w:after="0"/>
              <w:rPr>
                <w:sz w:val="20"/>
                <w:szCs w:val="20"/>
                <w:color w:val="auto"/>
              </w:rPr>
            </w:pPr>
            <w:r>
              <w:rPr>
                <w:rFonts w:ascii="Arial" w:cs="Arial" w:eastAsia="Arial" w:hAnsi="Arial"/>
                <w:sz w:val="18"/>
                <w:szCs w:val="18"/>
                <w:b w:val="1"/>
                <w:bCs w:val="1"/>
                <w:color w:val="auto"/>
                <w:w w:val="98"/>
              </w:rPr>
              <w:t>Consolidated Balance Sheet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Net Amounts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7"/>
              </w:rPr>
              <w:t>Gross Amounts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Presented in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ind w:left="40"/>
              <w:spacing w:after="0"/>
              <w:rPr>
                <w:sz w:val="20"/>
                <w:szCs w:val="20"/>
                <w:color w:val="auto"/>
              </w:rPr>
            </w:pPr>
            <w:r>
              <w:rPr>
                <w:rFonts w:ascii="Arial" w:cs="Arial" w:eastAsia="Arial" w:hAnsi="Arial"/>
                <w:sz w:val="18"/>
                <w:szCs w:val="18"/>
                <w:b w:val="1"/>
                <w:bCs w:val="1"/>
                <w:color w:val="auto"/>
                <w:w w:val="96"/>
              </w:rPr>
              <w:t>Gross Amounts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Offset in the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the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of Recognized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Consolidated</w:t>
            </w:r>
          </w:p>
        </w:tc>
        <w:tc>
          <w:tcPr>
            <w:tcW w:w="20" w:type="dxa"/>
            <w:vAlign w:val="bottom"/>
          </w:tcPr>
          <w:p>
            <w:pPr>
              <w:spacing w:after="0"/>
              <w:rPr>
                <w:sz w:val="18"/>
                <w:szCs w:val="18"/>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Consolidated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b w:val="1"/>
                <w:bCs w:val="1"/>
                <w:color w:val="auto"/>
              </w:rPr>
              <w:t>Financial</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Cash Collateral</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December 31, 2021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4"/>
          </w:tcPr>
          <w:p>
            <w:pPr>
              <w:ind w:left="40"/>
              <w:spacing w:after="0"/>
              <w:rPr>
                <w:sz w:val="20"/>
                <w:szCs w:val="20"/>
                <w:color w:val="auto"/>
              </w:rPr>
            </w:pPr>
            <w:r>
              <w:rPr>
                <w:rFonts w:ascii="Arial" w:cs="Arial" w:eastAsia="Arial" w:hAnsi="Arial"/>
                <w:sz w:val="18"/>
                <w:szCs w:val="18"/>
                <w:b w:val="1"/>
                <w:bCs w:val="1"/>
                <w:color w:val="auto"/>
              </w:rPr>
              <w:t>Balance Sheet</w:t>
            </w:r>
          </w:p>
        </w:tc>
        <w:tc>
          <w:tcPr>
            <w:tcW w:w="20" w:type="dxa"/>
            <w:vAlign w:val="bottom"/>
          </w:tcPr>
          <w:p>
            <w:pPr>
              <w:spacing w:after="0"/>
              <w:rPr>
                <w:sz w:val="20"/>
                <w:szCs w:val="20"/>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Balance Sheet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Instruments</w:t>
            </w:r>
          </w:p>
        </w:tc>
        <w:tc>
          <w:tcPr>
            <w:tcW w:w="20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Received</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Net Amounts</w:t>
            </w:r>
          </w:p>
        </w:tc>
        <w:tc>
          <w:tcPr>
            <w:tcW w:w="0" w:type="dxa"/>
            <w:vAlign w:val="bottom"/>
          </w:tcPr>
          <w:p>
            <w:pPr>
              <w:spacing w:after="0"/>
              <w:rPr>
                <w:sz w:val="1"/>
                <w:szCs w:val="1"/>
                <w:color w:val="auto"/>
              </w:rPr>
            </w:pPr>
          </w:p>
        </w:tc>
      </w:tr>
      <w:tr>
        <w:trPr>
          <w:trHeight w:val="27"/>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6"/>
              </w:rPr>
              <w:t>Derivatives subject to a master netting</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4"/>
              </w:rPr>
              <w:t>27,582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27,582</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2"/>
              </w:rPr>
              <w:t>(14,875)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513"/>
        </w:trPr>
        <w:tc>
          <w:tcPr>
            <w:tcW w:w="300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December 31, 2020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6"/>
              </w:rPr>
              <w:t>Derivatives subject to a master netting</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4"/>
              </w:rPr>
              <w:t>80,879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80,879</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2"/>
              </w:rPr>
              <w:t>(44,893)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33,208</w:t>
            </w:r>
          </w:p>
        </w:tc>
        <w:tc>
          <w:tcPr>
            <w:tcW w:w="0" w:type="dxa"/>
            <w:vAlign w:val="bottom"/>
          </w:tcPr>
          <w:p>
            <w:pPr>
              <w:spacing w:after="0"/>
              <w:rPr>
                <w:sz w:val="1"/>
                <w:szCs w:val="1"/>
                <w:color w:val="auto"/>
              </w:rPr>
            </w:pPr>
          </w:p>
        </w:tc>
      </w:tr>
      <w:tr>
        <w:trPr>
          <w:trHeight w:val="418"/>
        </w:trPr>
        <w:tc>
          <w:tcPr>
            <w:tcW w:w="300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gridSpan w:val="7"/>
            <w:vMerge w:val="restart"/>
          </w:tcPr>
          <w:p>
            <w:pPr>
              <w:ind w:left="60"/>
              <w:spacing w:after="0"/>
              <w:rPr>
                <w:sz w:val="20"/>
                <w:szCs w:val="20"/>
                <w:color w:val="auto"/>
              </w:rPr>
            </w:pPr>
            <w:r>
              <w:rPr>
                <w:rFonts w:ascii="Arial" w:cs="Arial" w:eastAsia="Arial" w:hAnsi="Arial"/>
                <w:sz w:val="18"/>
                <w:szCs w:val="18"/>
                <w:b w:val="1"/>
                <w:bCs w:val="1"/>
                <w:color w:val="auto"/>
                <w:w w:val="90"/>
              </w:rPr>
              <w:t>Gross Amounts Not Offset in the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20" w:type="dxa"/>
            <w:vAlign w:val="bottom"/>
            <w:gridSpan w:val="7"/>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6"/>
          </w:tcPr>
          <w:p>
            <w:pPr>
              <w:ind w:left="120"/>
              <w:spacing w:after="0"/>
              <w:rPr>
                <w:sz w:val="20"/>
                <w:szCs w:val="20"/>
                <w:color w:val="auto"/>
              </w:rPr>
            </w:pPr>
            <w:r>
              <w:rPr>
                <w:rFonts w:ascii="Arial" w:cs="Arial" w:eastAsia="Arial" w:hAnsi="Arial"/>
                <w:sz w:val="18"/>
                <w:szCs w:val="18"/>
                <w:b w:val="1"/>
                <w:bCs w:val="1"/>
                <w:color w:val="auto"/>
                <w:w w:val="97"/>
              </w:rPr>
              <w:t>Consolidated Balance Sheet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ind w:left="40"/>
              <w:spacing w:after="0"/>
              <w:rPr>
                <w:sz w:val="20"/>
                <w:szCs w:val="20"/>
                <w:color w:val="auto"/>
              </w:rPr>
            </w:pPr>
            <w:r>
              <w:rPr>
                <w:rFonts w:ascii="Arial" w:cs="Arial" w:eastAsia="Arial" w:hAnsi="Arial"/>
                <w:sz w:val="18"/>
                <w:szCs w:val="18"/>
                <w:b w:val="1"/>
                <w:bCs w:val="1"/>
                <w:color w:val="auto"/>
                <w:w w:val="96"/>
              </w:rPr>
              <w:t>Gross Amounts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Net Amounts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Gross Amounts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Offset in the</w:t>
            </w:r>
          </w:p>
        </w:tc>
        <w:tc>
          <w:tcPr>
            <w:tcW w:w="20" w:type="dxa"/>
            <w:vAlign w:val="bottom"/>
          </w:tcPr>
          <w:p>
            <w:pPr>
              <w:spacing w:after="0"/>
              <w:rPr>
                <w:sz w:val="18"/>
                <w:szCs w:val="18"/>
                <w:color w:val="auto"/>
              </w:rPr>
            </w:pPr>
          </w:p>
        </w:tc>
        <w:tc>
          <w:tcPr>
            <w:tcW w:w="13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Presented in the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of Recognized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Consolidated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Consolidated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Financial</w:t>
            </w:r>
          </w:p>
        </w:tc>
        <w:tc>
          <w:tcPr>
            <w:tcW w:w="2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Cash</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December 31, 2021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Liabilities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7"/>
              </w:rPr>
              <w:t>Balance Sheet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Balance Sheet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Instruments</w:t>
            </w: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Collateral Paid</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6"/>
              </w:rPr>
              <w:t>Net Amounts</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6"/>
              </w:rPr>
              <w:t>Derivatives subject to a master netting</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w w:val="89"/>
              </w:rPr>
              <w:t>(23,285)</w:t>
            </w:r>
          </w:p>
        </w:tc>
        <w:tc>
          <w:tcPr>
            <w:tcW w:w="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(23,285)</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0"/>
              </w:rPr>
              <w:t>14,875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513"/>
        </w:trPr>
        <w:tc>
          <w:tcPr>
            <w:tcW w:w="300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December 31, 2020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6"/>
              </w:rPr>
              <w:t>Derivatives subject to a master netting</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w w:val="89"/>
              </w:rPr>
              <w:t>(65,905)</w:t>
            </w:r>
          </w:p>
        </w:tc>
        <w:tc>
          <w:tcPr>
            <w:tcW w:w="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(65,905)</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0"/>
              </w:rPr>
              <w:t>44,893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12,272</w:t>
            </w: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0" w:type="dxa"/>
            <w:vAlign w:val="bottom"/>
          </w:tcPr>
          <w:p>
            <w:pPr>
              <w:spacing w:after="0"/>
              <w:rPr>
                <w:sz w:val="1"/>
                <w:szCs w:val="1"/>
                <w:color w:val="auto"/>
              </w:rPr>
            </w:pPr>
          </w:p>
        </w:tc>
      </w:tr>
      <w:tr>
        <w:trPr>
          <w:trHeight w:val="459"/>
        </w:trPr>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ind w:left="920"/>
              <w:spacing w:after="0"/>
              <w:rPr>
                <w:sz w:val="20"/>
                <w:szCs w:val="20"/>
                <w:color w:val="auto"/>
              </w:rPr>
            </w:pPr>
            <w:r>
              <w:rPr>
                <w:rFonts w:ascii="Arial" w:cs="Arial" w:eastAsia="Arial" w:hAnsi="Arial"/>
                <w:sz w:val="18"/>
                <w:szCs w:val="18"/>
                <w:color w:val="auto"/>
                <w:w w:val="89"/>
              </w:rPr>
              <w:t>83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Income Statement Presentation</w:t>
      </w:r>
    </w:p>
    <w:p>
      <w:pPr>
        <w:spacing w:after="0" w:line="18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following tables summarize the location and amount of gains on derivatives in the Consolidated Statements of Operations for the years ended December 31, 2021, 2020 and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89"/>
              </w:rPr>
              <w:t>Amount of Gain (Loss) Recognized in Income on</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92"/>
              </w:rPr>
              <w:t>Derivative Contracts (a)</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Location of Gain (Loss) Recognized in</w:t>
            </w:r>
          </w:p>
        </w:tc>
        <w:tc>
          <w:tcPr>
            <w:tcW w:w="140" w:type="dxa"/>
            <w:vAlign w:val="bottom"/>
            <w:vMerge w:val="restart"/>
          </w:tcPr>
          <w:p>
            <w:pPr>
              <w:spacing w:after="0"/>
              <w:rPr>
                <w:sz w:val="20"/>
                <w:szCs w:val="20"/>
                <w:color w:val="auto"/>
              </w:rPr>
            </w:pPr>
          </w:p>
        </w:tc>
        <w:tc>
          <w:tcPr>
            <w:tcW w:w="300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40" w:type="dxa"/>
            <w:vAlign w:val="bottom"/>
            <w:gridSpan w:val="2"/>
            <w:vMerge w:val="continue"/>
          </w:tcPr>
          <w:p>
            <w:pPr>
              <w:spacing w:after="0"/>
              <w:rPr>
                <w:sz w:val="2"/>
                <w:szCs w:val="2"/>
                <w:color w:val="auto"/>
              </w:rPr>
            </w:pPr>
          </w:p>
        </w:tc>
        <w:tc>
          <w:tcPr>
            <w:tcW w:w="140" w:type="dxa"/>
            <w:vAlign w:val="bottom"/>
            <w:tcBorders>
              <w:bottom w:val="single" w:sz="8" w:color="auto"/>
            </w:tcBorders>
            <w:vMerge w:val="continue"/>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3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Income on Derivative Contracts</w:t>
            </w: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3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 - Ria</w:t>
            </w:r>
          </w:p>
        </w:tc>
        <w:tc>
          <w:tcPr>
            <w:tcW w:w="10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20"/>
                <w:szCs w:val="20"/>
                <w:color w:val="auto"/>
              </w:rPr>
            </w:pPr>
          </w:p>
        </w:tc>
        <w:tc>
          <w:tcPr>
            <w:tcW w:w="3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3"/>
              </w:rPr>
              <w:t>Foreign currency exchange gain (loss), net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3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8"/>
        <w:spacing w:after="0" w:line="279" w:lineRule="auto"/>
        <w:tabs>
          <w:tab w:leader="none" w:pos="2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See Note 18, Financial Instruments and Fair Value Measurements, for the determination of the fair values of derivatives.</w:t>
      </w:r>
    </w:p>
    <w:p>
      <w:pPr>
        <w:spacing w:after="0" w:line="181"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(13) Leases</w:t>
        </w:r>
      </w:hyperlink>
    </w:p>
    <w:p>
      <w:pPr>
        <w:spacing w:after="0" w:line="135"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present value of lease payments is determined using the incremental borrowing rate based on information available at the lease commencement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lease expense for these leases on a straight-line basis over the lease term.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7" w:name="page88"/>
    <w:bookmarkEnd w:id="87"/>
    <w:p>
      <w:pPr>
        <w:jc w:val="both"/>
        <w:spacing w:after="0" w:line="311" w:lineRule="auto"/>
        <w:rPr>
          <w:sz w:val="20"/>
          <w:szCs w:val="20"/>
          <w:color w:val="auto"/>
        </w:rPr>
      </w:pPr>
      <w:r>
        <w:rPr>
          <w:rFonts w:ascii="Arial" w:cs="Arial" w:eastAsia="Arial" w:hAnsi="Arial"/>
          <w:sz w:val="16"/>
          <w:szCs w:val="16"/>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The Company evaluated the likelihood of exercising the renewal and termination options beginning with the adoption of the new accounting lease standard on January 1, 2019, concluding: the options were not reasonably certain to be exercised and thus were not considered in determining the lease terms, and associated payment impacts were excluded from lease payments; and termination options were reasonably certain not to be exercised and therefore the stated lease payment schedule of the lease was used to determine the lease term.</w:t>
      </w:r>
    </w:p>
    <w:p>
      <w:pPr>
        <w:spacing w:after="0" w:line="95"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During the second quarter of 2020, the impact of the COVID-19 pandemic was a significant event that caused a significant change in circumstances and business plans to manage our portfolio of ATM leases. Specifically, the Company downsized, through the exercise of termination clauses and the reduction of monthly costs by renegotiating payment terms of its ATM leases. The Company's execution of the business plan to renegotiate terms and downsize the portfolio of ATM leases constituted a reassessment event during the second quarter of 2020. The reassessment event required the Company to reevaluate the accounting for the portfolio of ATM leases, including lease terms. Due to the recent increased frequency of ATM site lease terminations, modifications, and greater unpredictability whether or not future lease terminations will be exercised, the Company was no longer able to conclude that termination options are reasonably certain not to be exercised. This reassessment conclusion impacted the lease term evaluation, instead of determining the lease term based on the stated lease payment schedule of the lease, the lease term was evaluated when the Company has the contractual ability to terminate the lease (most leases allow for a termination upon advance notice of between 30 and 90 days), which impacted the amounts recorded as right of use assets and lease liability balances. New, amended, and modified ATM site leases with termination options exercisable within 12 months will be excluded from the right of use lease asset and lease liability balances under the short-term lease exemption.</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Payments for ATM site leases with termination options subject to the short-term lease exemption are expensed in the period incurred. The short-term lease expense for 2021 reasonably reflects the Company’s short-term lease commitments.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40" w:type="dxa"/>
            <w:vAlign w:val="bottom"/>
          </w:tcPr>
          <w:p>
            <w:pPr>
              <w:spacing w:after="0"/>
              <w:rPr>
                <w:sz w:val="20"/>
                <w:szCs w:val="20"/>
                <w:color w:val="auto"/>
              </w:rPr>
            </w:pPr>
            <w:r>
              <w:rPr>
                <w:rFonts w:ascii="Arial" w:cs="Arial" w:eastAsia="Arial" w:hAnsi="Arial"/>
                <w:sz w:val="18"/>
                <w:szCs w:val="18"/>
                <w:b w:val="1"/>
                <w:bCs w:val="1"/>
                <w:i w:val="1"/>
                <w:iCs w:val="1"/>
                <w:color w:val="auto"/>
              </w:rPr>
              <w:t>Future minimum lease payments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10140" w:type="dxa"/>
            <w:vAlign w:val="bottom"/>
          </w:tcPr>
          <w:p>
            <w:pPr>
              <w:spacing w:after="0"/>
              <w:rPr>
                <w:sz w:val="20"/>
                <w:szCs w:val="20"/>
                <w:color w:val="auto"/>
              </w:rPr>
            </w:pPr>
            <w:r>
              <w:rPr>
                <w:rFonts w:ascii="Arial" w:cs="Arial" w:eastAsia="Arial" w:hAnsi="Arial"/>
                <w:sz w:val="18"/>
                <w:szCs w:val="18"/>
                <w:color w:val="auto"/>
                <w:w w:val="92"/>
              </w:rPr>
              <w:t>Future minimum lease payments under the operating leases (with initial lease terms in excess of one year) as of December 31, 2021 are:</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60"/>
        </w:trPr>
        <w:tc>
          <w:tcPr>
            <w:tcW w:w="10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As of</w:t>
            </w:r>
          </w:p>
        </w:tc>
      </w:tr>
      <w:tr>
        <w:trPr>
          <w:trHeight w:val="216"/>
        </w:trPr>
        <w:tc>
          <w:tcPr>
            <w:tcW w:w="1014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0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2021</w:t>
            </w:r>
          </w:p>
        </w:tc>
      </w:tr>
      <w:tr>
        <w:trPr>
          <w:trHeight w:val="27"/>
        </w:trPr>
        <w:tc>
          <w:tcPr>
            <w:tcW w:w="10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10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Operating</w:t>
            </w:r>
          </w:p>
        </w:tc>
      </w:tr>
      <w:tr>
        <w:trPr>
          <w:trHeight w:val="234"/>
        </w:trPr>
        <w:tc>
          <w:tcPr>
            <w:tcW w:w="10140" w:type="dxa"/>
            <w:vAlign w:val="bottom"/>
          </w:tcPr>
          <w:p>
            <w:pPr>
              <w:ind w:left="40"/>
              <w:spacing w:after="0"/>
              <w:rPr>
                <w:sz w:val="20"/>
                <w:szCs w:val="20"/>
                <w:color w:val="auto"/>
              </w:rPr>
            </w:pPr>
            <w:r>
              <w:rPr>
                <w:rFonts w:ascii="Arial" w:cs="Arial" w:eastAsia="Arial" w:hAnsi="Arial"/>
                <w:sz w:val="18"/>
                <w:szCs w:val="18"/>
                <w:b w:val="1"/>
                <w:bCs w:val="1"/>
                <w:color w:val="auto"/>
              </w:rPr>
              <w:t>Maturity of Lease Liabilities (in thousands)</w:t>
            </w:r>
          </w:p>
        </w:tc>
        <w:tc>
          <w:tcPr>
            <w:tcW w:w="14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Leases (1)</w:t>
            </w:r>
          </w:p>
        </w:tc>
      </w:tr>
      <w:tr>
        <w:trPr>
          <w:trHeight w:val="27"/>
        </w:trPr>
        <w:tc>
          <w:tcPr>
            <w:tcW w:w="10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10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48,412</w:t>
            </w:r>
          </w:p>
        </w:tc>
      </w:tr>
      <w:tr>
        <w:trPr>
          <w:trHeight w:val="243"/>
        </w:trPr>
        <w:tc>
          <w:tcPr>
            <w:tcW w:w="10140" w:type="dxa"/>
            <w:vAlign w:val="bottom"/>
          </w:tcPr>
          <w:p>
            <w:pPr>
              <w:ind w:left="4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37,368</w:t>
            </w:r>
          </w:p>
        </w:tc>
      </w:tr>
      <w:tr>
        <w:trPr>
          <w:trHeight w:val="27"/>
        </w:trPr>
        <w:tc>
          <w:tcPr>
            <w:tcW w:w="10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27,827</w:t>
            </w:r>
          </w:p>
        </w:tc>
      </w:tr>
      <w:tr>
        <w:trPr>
          <w:trHeight w:val="243"/>
        </w:trPr>
        <w:tc>
          <w:tcPr>
            <w:tcW w:w="10140" w:type="dxa"/>
            <w:vAlign w:val="bottom"/>
          </w:tcPr>
          <w:p>
            <w:pPr>
              <w:ind w:left="4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19,172</w:t>
            </w:r>
          </w:p>
        </w:tc>
      </w:tr>
      <w:tr>
        <w:trPr>
          <w:trHeight w:val="27"/>
        </w:trPr>
        <w:tc>
          <w:tcPr>
            <w:tcW w:w="10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2026</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12,620</w:t>
            </w:r>
          </w:p>
        </w:tc>
      </w:tr>
      <w:tr>
        <w:trPr>
          <w:trHeight w:val="243"/>
        </w:trPr>
        <w:tc>
          <w:tcPr>
            <w:tcW w:w="101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22,819</w:t>
            </w:r>
          </w:p>
        </w:tc>
      </w:tr>
      <w:tr>
        <w:trPr>
          <w:trHeight w:val="27"/>
        </w:trPr>
        <w:tc>
          <w:tcPr>
            <w:tcW w:w="10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10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168,218</w:t>
            </w:r>
          </w:p>
        </w:tc>
      </w:tr>
      <w:tr>
        <w:trPr>
          <w:trHeight w:val="243"/>
        </w:trPr>
        <w:tc>
          <w:tcPr>
            <w:tcW w:w="1014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(4,727)</w:t>
            </w:r>
          </w:p>
        </w:tc>
      </w:tr>
      <w:tr>
        <w:trPr>
          <w:trHeight w:val="27"/>
        </w:trPr>
        <w:tc>
          <w:tcPr>
            <w:tcW w:w="10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10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163,491</w:t>
            </w:r>
          </w:p>
        </w:tc>
      </w:tr>
      <w:tr>
        <w:trPr>
          <w:trHeight w:val="210"/>
        </w:trPr>
        <w:tc>
          <w:tcPr>
            <w:tcW w:w="10140" w:type="dxa"/>
            <w:vAlign w:val="bottom"/>
          </w:tcPr>
          <w:p>
            <w:pPr>
              <w:spacing w:after="0"/>
              <w:rPr>
                <w:sz w:val="20"/>
                <w:szCs w:val="20"/>
                <w:color w:val="auto"/>
              </w:rPr>
            </w:pPr>
            <w:r>
              <w:rPr>
                <w:rFonts w:ascii="Arial" w:cs="Arial" w:eastAsia="Arial" w:hAnsi="Arial"/>
                <w:sz w:val="18"/>
                <w:szCs w:val="18"/>
                <w:color w:val="auto"/>
              </w:rPr>
              <w:t>(1) Operating lease payments reflect the Company's current fixed obligations under the operating lease agreements.</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458"/>
        </w:trPr>
        <w:tc>
          <w:tcPr>
            <w:tcW w:w="10140" w:type="dxa"/>
            <w:vAlign w:val="bottom"/>
          </w:tcPr>
          <w:p>
            <w:pPr>
              <w:ind w:left="554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10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Lease expense recognized in the Consolidated Statements of Operations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Year ended</w:t>
            </w:r>
          </w:p>
        </w:tc>
      </w:tr>
      <w:tr>
        <w:trPr>
          <w:trHeight w:val="216"/>
        </w:trPr>
        <w:tc>
          <w:tcPr>
            <w:tcW w:w="58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December</w:t>
            </w:r>
          </w:p>
        </w:tc>
        <w:tc>
          <w:tcPr>
            <w:tcW w:w="18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December</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Lease Expense (in thousands)</w:t>
            </w:r>
          </w:p>
        </w:tc>
        <w:tc>
          <w:tcPr>
            <w:tcW w:w="3140" w:type="dxa"/>
            <w:vAlign w:val="bottom"/>
          </w:tcPr>
          <w:p>
            <w:pPr>
              <w:ind w:left="580"/>
              <w:spacing w:after="0"/>
              <w:rPr>
                <w:sz w:val="20"/>
                <w:szCs w:val="20"/>
                <w:color w:val="auto"/>
              </w:rPr>
            </w:pPr>
            <w:r>
              <w:rPr>
                <w:rFonts w:ascii="Arial" w:cs="Arial" w:eastAsia="Arial" w:hAnsi="Arial"/>
                <w:sz w:val="18"/>
                <w:szCs w:val="18"/>
                <w:b w:val="1"/>
                <w:bCs w:val="1"/>
                <w:color w:val="auto"/>
                <w:w w:val="91"/>
              </w:rPr>
              <w:t>Income Statement Classification</w:t>
            </w:r>
          </w:p>
        </w:tc>
        <w:tc>
          <w:tcPr>
            <w:tcW w:w="20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31, 2021</w:t>
            </w:r>
          </w:p>
        </w:tc>
        <w:tc>
          <w:tcPr>
            <w:tcW w:w="18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31, 2020</w:t>
            </w:r>
          </w:p>
        </w:tc>
      </w:tr>
      <w:tr>
        <w:trPr>
          <w:trHeight w:val="27"/>
        </w:trPr>
        <w:tc>
          <w:tcPr>
            <w:tcW w:w="58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5820" w:type="dxa"/>
            <w:vAlign w:val="bottom"/>
          </w:tcPr>
          <w:p>
            <w:pPr>
              <w:spacing w:after="0"/>
              <w:rPr>
                <w:sz w:val="19"/>
                <w:szCs w:val="19"/>
                <w:color w:val="auto"/>
              </w:rPr>
            </w:pPr>
          </w:p>
        </w:tc>
        <w:tc>
          <w:tcPr>
            <w:tcW w:w="3140" w:type="dxa"/>
            <w:vAlign w:val="bottom"/>
          </w:tcPr>
          <w:p>
            <w:pPr>
              <w:ind w:left="460"/>
              <w:spacing w:after="0"/>
              <w:rPr>
                <w:sz w:val="20"/>
                <w:szCs w:val="20"/>
                <w:color w:val="auto"/>
              </w:rPr>
            </w:pPr>
            <w:r>
              <w:rPr>
                <w:rFonts w:ascii="Arial" w:cs="Arial" w:eastAsia="Arial" w:hAnsi="Arial"/>
                <w:sz w:val="18"/>
                <w:szCs w:val="18"/>
                <w:color w:val="auto"/>
                <w:w w:val="96"/>
              </w:rPr>
              <w:t>Selling, general and administrative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820" w:type="dxa"/>
            <w:vAlign w:val="bottom"/>
          </w:tcPr>
          <w:p>
            <w:pPr>
              <w:ind w:left="40"/>
              <w:spacing w:after="0"/>
              <w:rPr>
                <w:sz w:val="20"/>
                <w:szCs w:val="20"/>
                <w:color w:val="auto"/>
              </w:rPr>
            </w:pPr>
            <w:r>
              <w:rPr>
                <w:rFonts w:ascii="Arial" w:cs="Arial" w:eastAsia="Arial" w:hAnsi="Arial"/>
                <w:sz w:val="18"/>
                <w:szCs w:val="18"/>
                <w:color w:val="auto"/>
              </w:rPr>
              <w:t>Operating lease expense</w:t>
            </w:r>
          </w:p>
        </w:tc>
        <w:tc>
          <w:tcPr>
            <w:tcW w:w="3140" w:type="dxa"/>
            <w:vAlign w:val="bottom"/>
          </w:tcPr>
          <w:p>
            <w:pPr>
              <w:ind w:left="460"/>
              <w:spacing w:after="0"/>
              <w:rPr>
                <w:sz w:val="20"/>
                <w:szCs w:val="20"/>
                <w:color w:val="auto"/>
              </w:rPr>
            </w:pPr>
            <w:r>
              <w:rPr>
                <w:rFonts w:ascii="Arial" w:cs="Arial" w:eastAsia="Arial" w:hAnsi="Arial"/>
                <w:sz w:val="18"/>
                <w:szCs w:val="18"/>
                <w:color w:val="auto"/>
              </w:rPr>
              <w:t>and Direct operating costs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55,613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83,102</w:t>
            </w:r>
          </w:p>
        </w:tc>
      </w:tr>
      <w:tr>
        <w:trPr>
          <w:trHeight w:val="27"/>
        </w:trPr>
        <w:tc>
          <w:tcPr>
            <w:tcW w:w="58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5820" w:type="dxa"/>
            <w:vAlign w:val="bottom"/>
            <w:shd w:val="clear" w:color="auto" w:fill="CCEEFF"/>
          </w:tcPr>
          <w:p>
            <w:pPr>
              <w:spacing w:after="0"/>
              <w:rPr>
                <w:sz w:val="19"/>
                <w:szCs w:val="19"/>
                <w:color w:val="auto"/>
              </w:rPr>
            </w:pPr>
          </w:p>
        </w:tc>
        <w:tc>
          <w:tcPr>
            <w:tcW w:w="31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6"/>
              </w:rPr>
              <w:t>Selling, general and administrative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62"/>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and variable lease expense</w:t>
            </w:r>
          </w:p>
        </w:tc>
        <w:tc>
          <w:tcPr>
            <w:tcW w:w="3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and Direct operating costs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115,963</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69,711</w:t>
            </w:r>
          </w:p>
        </w:tc>
      </w:tr>
      <w:tr>
        <w:trPr>
          <w:trHeight w:val="237"/>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lease expense</w:t>
            </w:r>
          </w:p>
        </w:tc>
        <w:tc>
          <w:tcPr>
            <w:tcW w:w="3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171,576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152,813</w:t>
            </w:r>
          </w:p>
        </w:tc>
      </w:tr>
      <w:tr>
        <w:trPr>
          <w:trHeight w:val="27"/>
        </w:trPr>
        <w:tc>
          <w:tcPr>
            <w:tcW w:w="8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26"/>
        </w:trPr>
        <w:tc>
          <w:tcPr>
            <w:tcW w:w="8960" w:type="dxa"/>
            <w:vAlign w:val="bottom"/>
            <w:gridSpan w:val="2"/>
          </w:tcPr>
          <w:p>
            <w:pPr>
              <w:spacing w:after="0"/>
              <w:rPr>
                <w:sz w:val="20"/>
                <w:szCs w:val="20"/>
                <w:color w:val="auto"/>
              </w:rPr>
            </w:pPr>
            <w:r>
              <w:rPr>
                <w:rFonts w:ascii="Arial" w:cs="Arial" w:eastAsia="Arial" w:hAnsi="Arial"/>
                <w:sz w:val="18"/>
                <w:szCs w:val="18"/>
                <w:color w:val="auto"/>
                <w:w w:val="95"/>
              </w:rPr>
              <w:t>Other information about lease amounts recognized in the consolidated financial statements is summarized as follows: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1"/>
        </w:trPr>
        <w:tc>
          <w:tcPr>
            <w:tcW w:w="58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4"/>
              </w:rPr>
              <w:t>As of</w:t>
            </w:r>
          </w:p>
        </w:tc>
      </w:tr>
      <w:tr>
        <w:trPr>
          <w:trHeight w:val="216"/>
        </w:trPr>
        <w:tc>
          <w:tcPr>
            <w:tcW w:w="58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December</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Lease Term and Discount Rate of Operating Leases</w:t>
            </w:r>
          </w:p>
        </w:tc>
        <w:tc>
          <w:tcPr>
            <w:tcW w:w="3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8"/>
              </w:rPr>
              <w:t>31, 2021</w:t>
            </w:r>
          </w:p>
        </w:tc>
      </w:tr>
      <w:tr>
        <w:trPr>
          <w:trHeight w:val="27"/>
        </w:trPr>
        <w:tc>
          <w:tcPr>
            <w:tcW w:w="58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Weighted- average remaining lease term (years)</w:t>
            </w:r>
          </w:p>
        </w:tc>
        <w:tc>
          <w:tcPr>
            <w:tcW w:w="3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58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3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459"/>
        </w:trPr>
        <w:tc>
          <w:tcPr>
            <w:tcW w:w="8960" w:type="dxa"/>
            <w:vAlign w:val="bottom"/>
            <w:gridSpan w:val="2"/>
          </w:tcPr>
          <w:p>
            <w:pPr>
              <w:spacing w:after="0"/>
              <w:rPr>
                <w:sz w:val="20"/>
                <w:szCs w:val="20"/>
                <w:color w:val="auto"/>
              </w:rPr>
            </w:pPr>
            <w:r>
              <w:rPr>
                <w:rFonts w:ascii="Arial" w:cs="Arial" w:eastAsia="Arial" w:hAnsi="Arial"/>
                <w:sz w:val="18"/>
                <w:szCs w:val="18"/>
                <w:color w:val="auto"/>
              </w:rPr>
              <w:t>The following table presents supplemental cash flow and non-cash information related to leases: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1"/>
        </w:trPr>
        <w:tc>
          <w:tcPr>
            <w:tcW w:w="58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Year ended</w:t>
            </w:r>
          </w:p>
        </w:tc>
      </w:tr>
      <w:tr>
        <w:trPr>
          <w:trHeight w:val="216"/>
        </w:trPr>
        <w:tc>
          <w:tcPr>
            <w:tcW w:w="58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December</w:t>
            </w:r>
          </w:p>
        </w:tc>
        <w:tc>
          <w:tcPr>
            <w:tcW w:w="18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December</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Other Information (in thousands)</w:t>
            </w:r>
          </w:p>
        </w:tc>
        <w:tc>
          <w:tcPr>
            <w:tcW w:w="3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31, 2021</w:t>
            </w:r>
          </w:p>
        </w:tc>
        <w:tc>
          <w:tcPr>
            <w:tcW w:w="18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31, 2020</w:t>
            </w:r>
          </w:p>
        </w:tc>
      </w:tr>
      <w:tr>
        <w:trPr>
          <w:trHeight w:val="27"/>
        </w:trPr>
        <w:tc>
          <w:tcPr>
            <w:tcW w:w="58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w w:val="98"/>
              </w:rPr>
              <w:t>Cash paid for amounts included in the measurement of lease liabilities (a)</w:t>
            </w:r>
          </w:p>
        </w:tc>
        <w:tc>
          <w:tcPr>
            <w:tcW w:w="3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51,464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79,447</w:t>
            </w:r>
          </w:p>
        </w:tc>
      </w:tr>
      <w:tr>
        <w:trPr>
          <w:trHeight w:val="27"/>
        </w:trPr>
        <w:tc>
          <w:tcPr>
            <w:tcW w:w="8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Supplemental non-cash information on lease liabilities arising from obtaining ROU assets: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3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69,073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77,728</w:t>
            </w:r>
          </w:p>
        </w:tc>
      </w:tr>
      <w:tr>
        <w:trPr>
          <w:trHeight w:val="27"/>
        </w:trPr>
        <w:tc>
          <w:tcPr>
            <w:tcW w:w="8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4"/>
        </w:trPr>
        <w:tc>
          <w:tcPr>
            <w:tcW w:w="8960" w:type="dxa"/>
            <w:vAlign w:val="bottom"/>
            <w:gridSpan w:val="2"/>
          </w:tcPr>
          <w:p>
            <w:pPr>
              <w:spacing w:after="0"/>
              <w:rPr>
                <w:sz w:val="20"/>
                <w:szCs w:val="20"/>
                <w:color w:val="auto"/>
              </w:rPr>
            </w:pPr>
            <w:r>
              <w:rPr>
                <w:rFonts w:ascii="Arial" w:cs="Arial" w:eastAsia="Arial" w:hAnsi="Arial"/>
                <w:sz w:val="18"/>
                <w:szCs w:val="18"/>
                <w:i w:val="1"/>
                <w:iCs w:val="1"/>
                <w:color w:val="auto"/>
                <w:w w:val="96"/>
              </w:rPr>
              <w:t>(a) Included in Net cash provided by operating activities on the Company's Consolidated Statements of Cash Flows.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75"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(14) Income Taxes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income before income taxes for the years ended December 31, 2021, 2020 and 2019 are presented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(4,775)</w:t>
            </w:r>
          </w:p>
        </w:tc>
        <w:tc>
          <w:tcPr>
            <w:tcW w:w="100" w:type="dxa"/>
            <w:vAlign w:val="bottom"/>
          </w:tcPr>
          <w:p>
            <w:pPr>
              <w:spacing w:after="0"/>
              <w:rPr>
                <w:sz w:val="23"/>
                <w:szCs w:val="23"/>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40,323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44,290</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140,450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389,517</w:t>
            </w:r>
          </w:p>
        </w:tc>
        <w:tc>
          <w:tcPr>
            <w:tcW w:w="0" w:type="dxa"/>
            <w:vAlign w:val="bottom"/>
          </w:tcPr>
          <w:p>
            <w:pPr>
              <w:spacing w:after="0"/>
              <w:rPr>
                <w:sz w:val="1"/>
                <w:szCs w:val="1"/>
                <w:color w:val="auto"/>
              </w:rPr>
            </w:pPr>
          </w:p>
        </w:tc>
      </w:tr>
      <w:tr>
        <w:trPr>
          <w:trHeight w:val="236"/>
        </w:trPr>
        <w:tc>
          <w:tcPr>
            <w:tcW w:w="4120" w:type="dxa"/>
            <w:vAlign w:val="bottom"/>
          </w:tcPr>
          <w:p>
            <w:pPr>
              <w:ind w:left="280"/>
              <w:spacing w:after="0"/>
              <w:rPr>
                <w:sz w:val="20"/>
                <w:szCs w:val="20"/>
                <w:color w:val="auto"/>
              </w:rPr>
            </w:pPr>
            <w:r>
              <w:rPr>
                <w:rFonts w:ascii="Arial" w:cs="Arial" w:eastAsia="Arial" w:hAnsi="Arial"/>
                <w:sz w:val="18"/>
                <w:szCs w:val="18"/>
                <w:color w:val="auto"/>
              </w:rPr>
              <w:t>Total income before income taxes</w:t>
            </w:r>
          </w:p>
        </w:tc>
        <w:tc>
          <w:tcPr>
            <w:tcW w:w="3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135,675</w:t>
            </w:r>
          </w:p>
        </w:tc>
        <w:tc>
          <w:tcPr>
            <w:tcW w:w="100" w:type="dxa"/>
            <w:vAlign w:val="bottom"/>
          </w:tcPr>
          <w:p>
            <w:pPr>
              <w:spacing w:after="0"/>
              <w:rPr>
                <w:sz w:val="20"/>
                <w:szCs w:val="20"/>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8,171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433,807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740" w:type="dxa"/>
            <w:vAlign w:val="bottom"/>
            <w:vMerge w:val="restart"/>
          </w:tcPr>
          <w:p>
            <w:pPr>
              <w:jc w:val="right"/>
              <w:ind w:right="105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41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The Company's income tax expense for the years ended December 31, 2021, 2020 and 2019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20"/>
                <w:szCs w:val="20"/>
                <w:color w:val="auto"/>
              </w:rPr>
            </w:pPr>
          </w:p>
        </w:tc>
      </w:tr>
      <w:tr>
        <w:trPr>
          <w:trHeight w:val="27"/>
        </w:trPr>
        <w:tc>
          <w:tcPr>
            <w:tcW w:w="698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6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(4,885)</w:t>
            </w:r>
          </w:p>
        </w:tc>
      </w:tr>
      <w:tr>
        <w:trPr>
          <w:trHeight w:val="27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59,874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83,792</w:t>
            </w:r>
          </w:p>
        </w:tc>
      </w:tr>
      <w:tr>
        <w:trPr>
          <w:trHeight w:val="237"/>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62,684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78,907</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(8,424)</w:t>
            </w:r>
          </w:p>
        </w:tc>
      </w:tr>
      <w:tr>
        <w:trPr>
          <w:trHeight w:val="27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16,629</w:t>
            </w:r>
          </w:p>
        </w:tc>
      </w:tr>
      <w:tr>
        <w:trPr>
          <w:trHeight w:val="250"/>
        </w:trPr>
        <w:tc>
          <w:tcPr>
            <w:tcW w:w="69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deferred</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8,205</w:t>
            </w:r>
          </w:p>
        </w:tc>
      </w:tr>
      <w:tr>
        <w:trPr>
          <w:trHeight w:val="257"/>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tax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65,088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87,112</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reconciliation of the federal statutory income tax rates of 21% to the effective income tax rate for the years ended December 31, 2021, 2020 and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4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(dollar amounts in thousands)</w:t>
            </w: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 federal income tax expense at applicable statutory rate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28,492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1,716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91,099</w:t>
            </w: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Tax effect of:</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 income tax expense at statutory rates, net of U.S. federal income tax</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Non-deductible expenses</w:t>
            </w:r>
          </w:p>
        </w:tc>
        <w:tc>
          <w:tcPr>
            <w:tcW w:w="3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(6,446)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Other permanent differences</w:t>
            </w:r>
          </w:p>
        </w:tc>
        <w:tc>
          <w:tcPr>
            <w:tcW w:w="3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Difference between U.S. federal and foreign tax rates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7,438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7,002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12,281</w:t>
            </w:r>
          </w:p>
        </w:tc>
        <w:tc>
          <w:tcPr>
            <w:tcW w:w="0" w:type="dxa"/>
            <w:vAlign w:val="bottom"/>
          </w:tcPr>
          <w:p>
            <w:pPr>
              <w:spacing w:after="0"/>
              <w:rPr>
                <w:sz w:val="1"/>
                <w:szCs w:val="1"/>
                <w:color w:val="auto"/>
              </w:rPr>
            </w:pP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Provision in excess of statutory rates</w:t>
            </w:r>
          </w:p>
        </w:tc>
        <w:tc>
          <w:tcPr>
            <w:tcW w:w="3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2,879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federal and foreign valuation allowance</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26,673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(4,238)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Impairment of goodwill and acquired intangibles assets</w:t>
            </w:r>
          </w:p>
        </w:tc>
        <w:tc>
          <w:tcPr>
            <w:tcW w:w="32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22,053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GILTI, net of tax credits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6,471</w:t>
            </w:r>
          </w:p>
        </w:tc>
        <w:tc>
          <w:tcPr>
            <w:tcW w:w="0" w:type="dxa"/>
            <w:vAlign w:val="bottom"/>
          </w:tcPr>
          <w:p>
            <w:pPr>
              <w:spacing w:after="0"/>
              <w:rPr>
                <w:sz w:val="1"/>
                <w:szCs w:val="1"/>
                <w:color w:val="auto"/>
              </w:rPr>
            </w:pP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U.S. Tax Reform - transition tax and rate change</w:t>
            </w:r>
          </w:p>
        </w:tc>
        <w:tc>
          <w:tcPr>
            <w:tcW w:w="32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(25,728)</w:t>
            </w:r>
          </w:p>
        </w:tc>
        <w:tc>
          <w:tcPr>
            <w:tcW w:w="0" w:type="dxa"/>
            <w:vAlign w:val="bottom"/>
          </w:tcPr>
          <w:p>
            <w:pPr>
              <w:spacing w:after="0"/>
              <w:rPr>
                <w:sz w:val="1"/>
                <w:szCs w:val="1"/>
                <w:color w:val="auto"/>
              </w:rPr>
            </w:pP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0"/>
        </w:trPr>
        <w:tc>
          <w:tcPr>
            <w:tcW w:w="68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63"/>
        </w:trPr>
        <w:tc>
          <w:tcPr>
            <w:tcW w:w="6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income tax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65,088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11,475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87,112</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Effective tax rate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calculate our provision for federal, state and international income taxes based on current tax law. In the fourth quarter of 2019 after additional regulatory guidance was issued by applicable taxing authorities relating to the U.S. Tax Reform, the Company elected to claim U.S. foreign tax credits, which reduced the net tax expense by $25.7 million.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color w:val="auto"/>
        </w:rPr>
        <w:t>The tax effect of temporary differences and carryforwards that give rise to deferred tax assets and liabilities from continuing operations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26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7"/>
        </w:trPr>
        <w:tc>
          <w:tcPr>
            <w:tcW w:w="8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Tax loss carryforwards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65,862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45,609</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6,771</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19,907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22,243</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10,835</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Goodwill and intangible amortization</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7,614</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Contract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Intercompany notes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7,689</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34,663</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Tax credits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65,267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65,388</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Lease accounting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39,962</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Foreign exchange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19,160</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14,230</w:t>
            </w:r>
          </w:p>
        </w:tc>
      </w:tr>
      <w:tr>
        <w:trPr>
          <w:trHeight w:val="237"/>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Gross deferred tax assets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270,900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274,164</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(77,563)</w:t>
            </w:r>
          </w:p>
        </w:tc>
      </w:tr>
      <w:tr>
        <w:trPr>
          <w:trHeight w:val="237"/>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170,411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196,601</w:t>
            </w:r>
          </w:p>
        </w:tc>
      </w:tr>
      <w:tr>
        <w:trPr>
          <w:trHeight w:val="27"/>
        </w:trPr>
        <w:tc>
          <w:tcPr>
            <w:tcW w:w="8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Intangible assets related to purchase accounting</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(12,854)</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and intangible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(24,763)</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(43,971)</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(10,396)</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(30,932)</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Capitalized 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(6,352)</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(18,295)</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(1,829)</w:t>
            </w:r>
          </w:p>
        </w:tc>
      </w:tr>
      <w:tr>
        <w:trPr>
          <w:trHeight w:val="270"/>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Lease accounting</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(42,381)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(39,962)</w:t>
            </w:r>
          </w:p>
        </w:tc>
      </w:tr>
      <w:tr>
        <w:trPr>
          <w:trHeight w:val="270"/>
        </w:trPr>
        <w:tc>
          <w:tcPr>
            <w:tcW w:w="8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exchange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(10,880)</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(6,826)</w:t>
            </w:r>
          </w:p>
        </w:tc>
      </w:tr>
      <w:tr>
        <w:trPr>
          <w:trHeight w:val="27"/>
        </w:trPr>
        <w:tc>
          <w:tcPr>
            <w:tcW w:w="8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(179,769)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(207,060)</w:t>
            </w:r>
          </w:p>
        </w:tc>
      </w:tr>
      <w:tr>
        <w:trPr>
          <w:trHeight w:val="257"/>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(10,459)</w:t>
            </w:r>
          </w:p>
        </w:tc>
      </w:tr>
      <w:tr>
        <w:trPr>
          <w:trHeight w:val="20"/>
        </w:trPr>
        <w:tc>
          <w:tcPr>
            <w:tcW w:w="8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deferred tax assets of $37.7 million and $27.4 million as of December 31, 2021 and 2020, respectively, are recorded within "Other assets" on the Consolidated Balance Sheet.</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Subsequently recognized tax benefits relating to the valuation allowance for deferred tax assets as of December 31, 2021 are expected to be allocated to income taxes in the Consolidated Statements of Operations.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As of December 31, 2021, and 2020, the Company's foreign tax loss carryforwards were $267.3 million and $197.4 million, respectively, and U.S. state tax loss carryforwards were $73.7 million and $95.8 million, respectively. As of December 31, 2021, the Company had U.S. foreign tax credit carryforwards of $61.6 million which are largely not expected to be utilized in future periods.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1" w:name="page92"/>
    <w:bookmarkEnd w:id="91"/>
    <w:p>
      <w:pPr>
        <w:jc w:val="both"/>
        <w:spacing w:after="0" w:line="290" w:lineRule="auto"/>
        <w:rPr>
          <w:sz w:val="20"/>
          <w:szCs w:val="20"/>
          <w:color w:val="auto"/>
        </w:rPr>
      </w:pPr>
      <w:r>
        <w:rPr>
          <w:rFonts w:ascii="Arial" w:cs="Arial" w:eastAsia="Arial" w:hAnsi="Arial"/>
          <w:sz w:val="17"/>
          <w:szCs w:val="17"/>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realize the benefits of these deductible differences, net of the existing valuation allowances, as of December 31,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Company had foreign tax net operating loss carryforwards of $267.3 million, which will expire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Tax Effected</w:t>
            </w: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749</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711</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4,664</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21,767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4,843</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6,501</w:t>
            </w: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Unlimited</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189,670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45,792</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267,323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63,793</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addition, the Company's state tax net operating loss carryforwards of $73.7 million will expire periodically from 2022 through 2041, U.S. foreign tax credit carryforwards of $61.6 million that will expire periodically from 2022 through 2030 and U.S. federal research and expenditure credit carryforwards of $3.3 million that will expire periodically from 2034 through 2038.</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While U.S. tax expense has been recognized as a result of the transition tax and global intangible low-taxed income, or GILTI, provisions of U.S. Tax Reform, the Company has not provided additional deferred taxes with respect to items such as certain foreign exchange gains or losses, foreign withholding taxes or additional state taxes, if any, on undistributed earnings attributable to foreign subsidiaries and it is not practical to determine the income tax liability that would be payable if such earnings were not reinvested indefinitely. Gross undistributed earnings reinvested indefinitely in foreign subsidiaries aggregated approximately $1,808.8 million as of December 31, 2021.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for the years ended December 31, 2021 and 2020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5"/>
              </w:rPr>
              <w:t>Year Ended December 31,</w:t>
            </w:r>
          </w:p>
        </w:tc>
      </w:tr>
      <w:tr>
        <w:trPr>
          <w:trHeight w:val="27"/>
        </w:trPr>
        <w:tc>
          <w:tcPr>
            <w:tcW w:w="84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44,535</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7,331</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(10,127)</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Statute of limitations expiration</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39,785</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December 31, 2021 and 2020, approximately $29.1 million and $31.8 million, respectively, of the unrecognized tax benefits would impact the Company's provision for income taxes and effective income tax rate, if recognized. Total estimated accrued interest and penalties related to the underpayment of income taxes was $7.2 million and $6.2 million as of December 31, 2021 and 2020, respectively. The following income tax years remain open in the Company's major jurisdictions as of December 31, 2021: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ind w:left="40"/>
              <w:spacing w:after="0"/>
              <w:rPr>
                <w:sz w:val="20"/>
                <w:szCs w:val="20"/>
                <w:color w:val="auto"/>
              </w:rPr>
            </w:pPr>
            <w:r>
              <w:rPr>
                <w:rFonts w:ascii="Arial" w:cs="Arial" w:eastAsia="Arial" w:hAnsi="Arial"/>
                <w:sz w:val="18"/>
                <w:szCs w:val="18"/>
                <w:b w:val="1"/>
                <w:bCs w:val="1"/>
                <w:color w:val="auto"/>
              </w:rPr>
              <w:t>Jurisdictions</w:t>
            </w:r>
          </w:p>
        </w:tc>
        <w:tc>
          <w:tcPr>
            <w:tcW w:w="7880" w:type="dxa"/>
            <w:vAlign w:val="bottom"/>
          </w:tcPr>
          <w:p>
            <w:pPr>
              <w:ind w:left="2300"/>
              <w:spacing w:after="0"/>
              <w:rPr>
                <w:sz w:val="20"/>
                <w:szCs w:val="20"/>
                <w:color w:val="auto"/>
              </w:rPr>
            </w:pPr>
            <w:r>
              <w:rPr>
                <w:rFonts w:ascii="Arial" w:cs="Arial" w:eastAsia="Arial" w:hAnsi="Arial"/>
                <w:sz w:val="18"/>
                <w:szCs w:val="18"/>
                <w:b w:val="1"/>
                <w:bCs w:val="1"/>
                <w:color w:val="auto"/>
              </w:rPr>
              <w:t>Periods</w:t>
            </w:r>
          </w:p>
        </w:tc>
      </w:tr>
      <w:tr>
        <w:trPr>
          <w:trHeight w:val="27"/>
        </w:trPr>
        <w:tc>
          <w:tcPr>
            <w:tcW w:w="3360" w:type="dxa"/>
            <w:vAlign w:val="bottom"/>
            <w:tcBorders>
              <w:bottom w:val="single" w:sz="8" w:color="auto"/>
            </w:tcBorders>
          </w:tcPr>
          <w:p>
            <w:pPr>
              <w:spacing w:after="0"/>
              <w:rPr>
                <w:sz w:val="2"/>
                <w:szCs w:val="2"/>
                <w:color w:val="auto"/>
              </w:rPr>
            </w:pPr>
          </w:p>
        </w:tc>
        <w:tc>
          <w:tcPr>
            <w:tcW w:w="7880" w:type="dxa"/>
            <w:vAlign w:val="bottom"/>
            <w:tcBorders>
              <w:bottom w:val="single" w:sz="8" w:color="auto"/>
            </w:tcBorders>
          </w:tcPr>
          <w:p>
            <w:pPr>
              <w:spacing w:after="0"/>
              <w:rPr>
                <w:sz w:val="2"/>
                <w:szCs w:val="2"/>
                <w:color w:val="auto"/>
              </w:rPr>
            </w:pPr>
          </w:p>
        </w:tc>
      </w:tr>
      <w:tr>
        <w:trPr>
          <w:trHeight w:val="243"/>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78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2014 through 2021</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Germany</w:t>
            </w:r>
          </w:p>
        </w:tc>
        <w:tc>
          <w:tcPr>
            <w:tcW w:w="7880" w:type="dxa"/>
            <w:vAlign w:val="bottom"/>
          </w:tcPr>
          <w:p>
            <w:pPr>
              <w:ind w:left="2300"/>
              <w:spacing w:after="0"/>
              <w:rPr>
                <w:sz w:val="20"/>
                <w:szCs w:val="20"/>
                <w:color w:val="auto"/>
              </w:rPr>
            </w:pPr>
            <w:r>
              <w:rPr>
                <w:rFonts w:ascii="Arial" w:cs="Arial" w:eastAsia="Arial" w:hAnsi="Arial"/>
                <w:sz w:val="18"/>
                <w:szCs w:val="18"/>
                <w:color w:val="auto"/>
              </w:rPr>
              <w:t>2016 through 2021</w:t>
            </w:r>
          </w:p>
        </w:tc>
      </w:tr>
      <w:tr>
        <w:trPr>
          <w:trHeight w:val="27"/>
        </w:trPr>
        <w:tc>
          <w:tcPr>
            <w:tcW w:w="336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Greece</w:t>
            </w:r>
          </w:p>
        </w:tc>
        <w:tc>
          <w:tcPr>
            <w:tcW w:w="78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2013 through 2021</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Spain</w:t>
            </w:r>
          </w:p>
        </w:tc>
        <w:tc>
          <w:tcPr>
            <w:tcW w:w="7880" w:type="dxa"/>
            <w:vAlign w:val="bottom"/>
          </w:tcPr>
          <w:p>
            <w:pPr>
              <w:ind w:left="2300"/>
              <w:spacing w:after="0"/>
              <w:rPr>
                <w:sz w:val="20"/>
                <w:szCs w:val="20"/>
                <w:color w:val="auto"/>
              </w:rPr>
            </w:pPr>
            <w:r>
              <w:rPr>
                <w:rFonts w:ascii="Arial" w:cs="Arial" w:eastAsia="Arial" w:hAnsi="Arial"/>
                <w:sz w:val="18"/>
                <w:szCs w:val="18"/>
                <w:color w:val="auto"/>
              </w:rPr>
              <w:t>2015 through 2021</w:t>
            </w:r>
          </w:p>
        </w:tc>
      </w:tr>
      <w:tr>
        <w:trPr>
          <w:trHeight w:val="27"/>
        </w:trPr>
        <w:tc>
          <w:tcPr>
            <w:tcW w:w="336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43"/>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U.K.</w:t>
            </w:r>
          </w:p>
        </w:tc>
        <w:tc>
          <w:tcPr>
            <w:tcW w:w="788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2018 through 2021</w:t>
            </w:r>
          </w:p>
        </w:tc>
      </w:tr>
      <w:tr>
        <w:trPr>
          <w:trHeight w:val="27"/>
        </w:trPr>
        <w:tc>
          <w:tcPr>
            <w:tcW w:w="336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It is reasonably possible that the balance of gross unrecognized tax benefits could significantly change within the next twelve months as a result of the resolution of audit examinations and expirations of certain statutes of limitations and, accordingly, materially affect the Company's operating results. At this time, it is not possible to estimate the range of change due to the uncertainty of potential outcomes.</w:t>
      </w:r>
    </w:p>
    <w:p>
      <w:pPr>
        <w:spacing w:after="0" w:line="138"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(15) Valuation and Qualifying Accounts</w:t>
        </w:r>
      </w:hyperlink>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Trade accounts receivable and accounts receivable balances included within the settlement assets are stated net of credit losses. Historically, the Company has not experienced significant write-offs. The Company records credit losses when it is probable that the accounts receivable balance will not be collected.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t>The following table provides a summary of the credit loss balances and activity for the years ended December 31, 2021, 2020 and 2019:</w:t>
      </w:r>
    </w:p>
    <w:p>
      <w:pPr>
        <w:spacing w:after="0" w:line="271" w:lineRule="exact"/>
        <w:rPr>
          <w:sz w:val="20"/>
          <w:szCs w:val="20"/>
          <w:color w:val="auto"/>
        </w:rPr>
      </w:pPr>
    </w:p>
    <w:p>
      <w:pPr>
        <w:jc w:val="right"/>
        <w:ind w:right="11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34290</wp:posOffset>
            </wp:positionV>
            <wp:extent cx="26060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ectPr>
          <w:pgSz w:w="11900" w:h="16838" w:orient="portrait"/>
          <w:cols w:equalWidth="0" w:num="1">
            <w:col w:w="11320"/>
          </w:cols>
          <w:pgMar w:left="320" w:top="341" w:right="25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Beginning balance-credit losses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Additions-charged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written off</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(primarily changes in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Ending balance-credit losses</w:t>
      </w:r>
    </w:p>
    <w:p>
      <w:pPr>
        <w:spacing w:after="0" w:line="275"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(16) Stock Plans</w:t>
        </w:r>
      </w:hyperlink>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7"/>
        </w:trPr>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41,727</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27,938</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24,287</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10,095</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(21,662)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(6,179)</w:t>
            </w:r>
          </w:p>
        </w:tc>
      </w:tr>
      <w:tr>
        <w:trPr>
          <w:trHeight w:val="270"/>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6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31,810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41,727</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27,938</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6420" w:space="720"/>
            <w:col w:w="4180"/>
          </w:cols>
          <w:pgMar w:left="320" w:top="341" w:right="259" w:bottom="1440" w:gutter="0" w:footer="0" w:header="0"/>
          <w:type w:val="continuous"/>
        </w:sectPr>
      </w:pPr>
    </w:p>
    <w:p>
      <w:pPr>
        <w:spacing w:after="0" w:line="43" w:lineRule="exact"/>
        <w:rPr>
          <w:sz w:val="20"/>
          <w:szCs w:val="20"/>
          <w:color w:val="auto"/>
        </w:rPr>
      </w:pPr>
    </w:p>
    <w:p>
      <w:pPr>
        <w:jc w:val="both"/>
        <w:ind w:right="80"/>
        <w:spacing w:after="0" w:line="288" w:lineRule="auto"/>
        <w:rPr>
          <w:sz w:val="20"/>
          <w:szCs w:val="20"/>
          <w:color w:val="auto"/>
        </w:rPr>
      </w:pPr>
      <w:r>
        <w:rPr>
          <w:rFonts w:ascii="Arial" w:cs="Arial" w:eastAsia="Arial" w:hAnsi="Arial"/>
          <w:sz w:val="17"/>
          <w:szCs w:val="17"/>
          <w:color w:val="auto"/>
        </w:rPr>
        <w:t>The Company has share-based compensation plans ("SCP") that allow it to grant restricted shares, or options to purchase shares, of common stock to certain current and prospective key employees, directors and consultants of the Company. These awards generally vest over periods ranging from three to five years from the date of grant. Stock options are generally exercisable during the shorter of a ten-year term or the term of employment with the Company. With the exception of certain awards made to the Company's employees in Germany, Singapore and Malaysia, awards under the SCP are settled through the issuance of new shares under the provisions of the SCP. For Company employees in Germany, Singapore and Malaysia, certain awards are settled through the issuance of treasury shares, which also reduces the number of shares available for future issuance under the SCP. As of December 31, 2021, the Company has approximately 5.6 million in total shares remaining available for issuance under the SCP.</w:t>
      </w:r>
    </w:p>
    <w:p>
      <w:pPr>
        <w:spacing w:after="0" w:line="181" w:lineRule="exact"/>
        <w:rPr>
          <w:sz w:val="20"/>
          <w:szCs w:val="20"/>
          <w:color w:val="auto"/>
        </w:rPr>
      </w:pPr>
    </w:p>
    <w:p>
      <w:pPr>
        <w:jc w:val="both"/>
        <w:ind w:right="80"/>
        <w:spacing w:after="0" w:line="275" w:lineRule="auto"/>
        <w:rPr>
          <w:sz w:val="20"/>
          <w:szCs w:val="20"/>
          <w:color w:val="auto"/>
        </w:rPr>
      </w:pPr>
      <w:r>
        <w:rPr>
          <w:rFonts w:ascii="Arial" w:cs="Arial" w:eastAsia="Arial" w:hAnsi="Arial"/>
          <w:sz w:val="18"/>
          <w:szCs w:val="18"/>
          <w:color w:val="auto"/>
        </w:rPr>
        <w:t>Share-based compensation expense was $36.5 million, $22.0 million and $21.4 million for the years ended December 31, 2021, 2020 and 2019, respectively, and was recorded in salaries and benefits expense in the accompanying Consolidated Statements of Operations. The Company recorded a tax benefit of $4.1 million, $2.1 million and $4.9 million during the years ended December 31, 2021, 2020 and 2019, respectively, for the portion of this expense that relates to foreign tax jurisdictions in which an income tax benefit is expected to be derived.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0"/>
                <w:szCs w:val="20"/>
                <w:color w:val="auto"/>
              </w:rPr>
            </w:pPr>
            <w:r>
              <w:rPr>
                <w:rFonts w:ascii="Arial" w:cs="Arial" w:eastAsia="Arial" w:hAnsi="Arial"/>
                <w:sz w:val="18"/>
                <w:szCs w:val="18"/>
                <w:color w:val="auto"/>
              </w:rPr>
              <w:t>Summary stock options activity is presented in the table below:</w:t>
            </w: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Average Exercise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5"/>
              </w:rPr>
              <w:t>Intrinsic Value</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Price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Term (years)</w:t>
            </w: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(thousands)</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Balance at December 31, 2020 (1,497,567 shares exercisable)</w:t>
            </w:r>
          </w:p>
        </w:tc>
        <w:tc>
          <w:tcPr>
            <w:tcW w:w="21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4,091,293</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2180" w:type="dxa"/>
            <w:vAlign w:val="bottom"/>
            <w:gridSpan w:val="2"/>
          </w:tcPr>
          <w:p>
            <w:pPr>
              <w:jc w:val="right"/>
              <w:ind w:right="50"/>
              <w:spacing w:after="0"/>
              <w:rPr>
                <w:sz w:val="20"/>
                <w:szCs w:val="20"/>
                <w:color w:val="auto"/>
              </w:rPr>
            </w:pPr>
            <w:r>
              <w:rPr>
                <w:rFonts w:ascii="Arial" w:cs="Arial" w:eastAsia="Arial" w:hAnsi="Arial"/>
                <w:sz w:val="18"/>
                <w:szCs w:val="18"/>
                <w:color w:val="auto"/>
              </w:rPr>
              <w:t>532,979</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116.55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(296,363)</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Forfeited/Canceled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(17,831)</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119.80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9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 2021</w:t>
            </w:r>
          </w:p>
        </w:tc>
        <w:tc>
          <w:tcPr>
            <w:tcW w:w="94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4,309,201</w:t>
            </w:r>
          </w:p>
        </w:tc>
        <w:tc>
          <w:tcPr>
            <w:tcW w:w="3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102.19</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97,425</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2021</w:t>
            </w:r>
          </w:p>
        </w:tc>
        <w:tc>
          <w:tcPr>
            <w:tcW w:w="9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1,466,983</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65,770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Pr>
          <w:p>
            <w:pPr>
              <w:ind w:left="40"/>
              <w:spacing w:after="0"/>
              <w:rPr>
                <w:sz w:val="20"/>
                <w:szCs w:val="20"/>
                <w:color w:val="auto"/>
              </w:rPr>
            </w:pPr>
            <w:r>
              <w:rPr>
                <w:rFonts w:ascii="Arial" w:cs="Arial" w:eastAsia="Arial" w:hAnsi="Arial"/>
                <w:sz w:val="18"/>
                <w:szCs w:val="18"/>
                <w:color w:val="auto"/>
              </w:rPr>
              <w:t>Vested and expected to vest at December 31, 2021</w:t>
            </w:r>
          </w:p>
        </w:tc>
        <w:tc>
          <w:tcPr>
            <w:tcW w:w="2180" w:type="dxa"/>
            <w:vAlign w:val="bottom"/>
            <w:gridSpan w:val="2"/>
          </w:tcPr>
          <w:p>
            <w:pPr>
              <w:jc w:val="right"/>
              <w:ind w:right="50"/>
              <w:spacing w:after="0"/>
              <w:rPr>
                <w:sz w:val="20"/>
                <w:szCs w:val="20"/>
                <w:color w:val="auto"/>
              </w:rPr>
            </w:pPr>
            <w:r>
              <w:rPr>
                <w:rFonts w:ascii="Arial" w:cs="Arial" w:eastAsia="Arial" w:hAnsi="Arial"/>
                <w:sz w:val="18"/>
                <w:szCs w:val="18"/>
                <w:color w:val="auto"/>
              </w:rPr>
              <w:t>1,963,940</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90.29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68,162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40" w:type="dxa"/>
            <w:vAlign w:val="bottom"/>
            <w:vMerge w:val="restart"/>
          </w:tcPr>
          <w:p>
            <w:pPr>
              <w:jc w:val="right"/>
              <w:ind w:right="190"/>
              <w:spacing w:after="0"/>
              <w:rPr>
                <w:sz w:val="20"/>
                <w:szCs w:val="20"/>
                <w:color w:val="auto"/>
              </w:rPr>
            </w:pPr>
            <w:r>
              <w:rPr>
                <w:rFonts w:ascii="Arial" w:cs="Arial" w:eastAsia="Arial" w:hAnsi="Arial"/>
                <w:sz w:val="18"/>
                <w:szCs w:val="18"/>
                <w:color w:val="auto"/>
              </w:rPr>
              <w:t>91</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50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320" w:top="341" w:right="259" w:bottom="1440" w:gutter="0" w:footer="0" w:header="0"/>
          <w:type w:val="continuous"/>
        </w:sectPr>
      </w:pPr>
    </w:p>
    <w:bookmarkStart w:id="94" w:name="page95"/>
    <w:bookmarkEnd w:id="94"/>
    <w:p>
      <w:pPr>
        <w:jc w:val="both"/>
        <w:spacing w:after="0" w:line="311" w:lineRule="auto"/>
        <w:rPr>
          <w:sz w:val="20"/>
          <w:szCs w:val="20"/>
          <w:color w:val="auto"/>
        </w:rPr>
      </w:pPr>
      <w:r>
        <w:rPr>
          <w:rFonts w:ascii="Arial" w:cs="Arial" w:eastAsia="Arial" w:hAnsi="Arial"/>
          <w:sz w:val="16"/>
          <w:szCs w:val="16"/>
          <w:color w:val="auto"/>
        </w:rPr>
        <w:t>Options outstanding that are expected to vest are net of estimated future forfeitures. The Company received cash of $7.8 million, $15.8 million and $13.1 million in connection with stock options exercised in the years ended December 31, 2021, 2020 and 2019, respectively. The intrinsic value of these options exercised was $27.7 million, $41.1 million and $30.6 million in the years ended December 31, 2021, 2020 and 2019, respectively. As of December 31, 2021, unrecognized compensation expense related to nonvested stock options that are expected to vest totaled $58.5 million and will be recognized over the next 4 years, with an overall weighted-average period of 2.6 years. The following table provides the fair value of options granted under the SCP during 2021, 2020 and 2019, together with a description of the assumptions used to calculate the fair value using the Black-Scholes-Merton option-pricing model: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3520" w:type="dxa"/>
            <w:vAlign w:val="bottom"/>
            <w:gridSpan w:val="5"/>
          </w:tcPr>
          <w:p>
            <w:pPr>
              <w:ind w:left="1360"/>
              <w:spacing w:after="0"/>
              <w:rPr>
                <w:sz w:val="20"/>
                <w:szCs w:val="20"/>
                <w:color w:val="auto"/>
              </w:rPr>
            </w:pPr>
            <w:r>
              <w:rPr>
                <w:rFonts w:ascii="Arial" w:cs="Arial" w:eastAsia="Arial" w:hAnsi="Arial"/>
                <w:sz w:val="18"/>
                <w:szCs w:val="18"/>
                <w:b w:val="1"/>
                <w:bCs w:val="1"/>
                <w:color w:val="auto"/>
                <w:w w:val="97"/>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 - range</w:t>
            </w:r>
          </w:p>
        </w:tc>
        <w:tc>
          <w:tcPr>
            <w:tcW w:w="1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0.5% to 1.21%</w:t>
            </w:r>
          </w:p>
        </w:tc>
        <w:tc>
          <w:tcPr>
            <w:tcW w:w="1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0.31% to 1.17%</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(a)</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forfeitures</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66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5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4.6 years</w:t>
            </w:r>
          </w:p>
        </w:tc>
        <w:tc>
          <w:tcPr>
            <w:tcW w:w="52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7.1 years</w:t>
            </w:r>
          </w:p>
        </w:tc>
        <w:tc>
          <w:tcPr>
            <w:tcW w:w="52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5.2 years</w:t>
            </w: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39.99</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48.21</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43.96</w:t>
            </w:r>
          </w:p>
        </w:tc>
      </w:tr>
      <w:tr>
        <w:trPr>
          <w:trHeight w:val="419"/>
        </w:trPr>
        <w:tc>
          <w:tcPr>
            <w:tcW w:w="6380" w:type="dxa"/>
            <w:vAlign w:val="bottom"/>
          </w:tcPr>
          <w:p>
            <w:pPr>
              <w:spacing w:after="0"/>
              <w:rPr>
                <w:sz w:val="20"/>
                <w:szCs w:val="20"/>
                <w:color w:val="auto"/>
              </w:rPr>
            </w:pPr>
            <w:r>
              <w:rPr>
                <w:rFonts w:ascii="Arial" w:cs="Arial" w:eastAsia="Arial" w:hAnsi="Arial"/>
                <w:sz w:val="18"/>
                <w:szCs w:val="18"/>
                <w:color w:val="auto"/>
                <w:w w:val="94"/>
              </w:rPr>
              <w:t>(a) At the date of grant, the risk fee rate for stock options awarded in 2019 was 1.7%.</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During 2021, the Company granted approximately 331,000 options that were valued using a Monte Carlo simulation (not included in the table above). The Monte Carlo simulation calculated a fair value per option of $40.30 using the following assumptions: volatility of 40.0%, risk-free interest rate of 1.19%, and a term of 4.5 years. During 2020, the Company granted 1,350,000 options that were valued using a Monte Carlo simulation (not included in the table above). The Monte Carlo simulation calculated a fair value per option of $26.90 using the following assumptions: volatility of 37.0%, risk-free interest rate of 0.33%, and a term of 5.0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39"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r>
              <w:rPr>
                <w:rFonts w:ascii="Arial" w:cs="Arial" w:eastAsia="Arial" w:hAnsi="Arial"/>
                <w:sz w:val="18"/>
                <w:szCs w:val="18"/>
                <w:color w:val="auto"/>
                <w:w w:val="98"/>
              </w:rPr>
              <w:t>Summary restricted stock activity is presented in the table below:</w:t>
            </w:r>
          </w:p>
        </w:tc>
        <w:tc>
          <w:tcPr>
            <w:tcW w:w="3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Date Fair Value</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2020</w:t>
            </w:r>
          </w:p>
        </w:tc>
        <w:tc>
          <w:tcPr>
            <w:tcW w:w="46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485,510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126.62</w:t>
            </w: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Granted</w:t>
            </w:r>
          </w:p>
        </w:tc>
        <w:tc>
          <w:tcPr>
            <w:tcW w:w="4680" w:type="dxa"/>
            <w:vAlign w:val="bottom"/>
            <w:gridSpan w:val="2"/>
          </w:tcPr>
          <w:p>
            <w:pPr>
              <w:jc w:val="right"/>
              <w:ind w:right="30"/>
              <w:spacing w:after="0"/>
              <w:rPr>
                <w:sz w:val="20"/>
                <w:szCs w:val="20"/>
                <w:color w:val="auto"/>
              </w:rPr>
            </w:pPr>
            <w:r>
              <w:rPr>
                <w:rFonts w:ascii="Arial" w:cs="Arial" w:eastAsia="Arial" w:hAnsi="Arial"/>
                <w:sz w:val="18"/>
                <w:szCs w:val="18"/>
                <w:color w:val="auto"/>
              </w:rPr>
              <w:t>191,184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117.35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4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(107,700)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115.85</w:t>
            </w: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(33,890)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98.18</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at December 31, 2021</w:t>
            </w:r>
          </w:p>
        </w:tc>
        <w:tc>
          <w:tcPr>
            <w:tcW w:w="4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535,104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127.96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Arial" w:cs="Arial" w:eastAsia="Arial" w:hAnsi="Arial"/>
                <w:sz w:val="18"/>
                <w:szCs w:val="18"/>
                <w:color w:val="auto"/>
              </w:rPr>
              <w:t>92</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2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120" w:type="dxa"/>
            <w:vAlign w:val="bottom"/>
            <w:tcBorders>
              <w:bottom w:val="single" w:sz="8" w:color="auto"/>
            </w:tcBorders>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5" w:name="page96"/>
    <w:bookmarkEnd w:id="95"/>
    <w:p>
      <w:pPr>
        <w:jc w:val="both"/>
        <w:spacing w:after="0" w:line="271" w:lineRule="auto"/>
        <w:rPr>
          <w:sz w:val="20"/>
          <w:szCs w:val="20"/>
          <w:color w:val="auto"/>
        </w:rPr>
      </w:pPr>
      <w:r>
        <w:rPr>
          <w:rFonts w:ascii="Arial" w:cs="Arial" w:eastAsia="Arial" w:hAnsi="Arial"/>
          <w:sz w:val="18"/>
          <w:szCs w:val="18"/>
          <w:color w:val="auto"/>
        </w:rPr>
        <w:t>The fair value of shares vested in the years ended December 31, 2021, 2020 and 2019 was $13.8 million, $15.4 million and $16.6 million, respectively. As of December 31, 2021, there was $17.3 million of total unrecognized compensation cost related to unvested time-based restricted stock, which is expected to be recognized over a weighted-average period of 3.0 years. As of December 31, 2021, there was $16.8 million of total unrecognized compensation costs related to unvested performance-based restricted stock, which is expected to be recognized based on Company performance over a weighted-average period of 2.0 years. The weighted average grant date fair value of restricted stock granted during the years ended December 31, 2021, 2020 and 2019 was $115.85, $117.97 and $145.93 per share, respectively.</w:t>
      </w:r>
    </w:p>
    <w:p>
      <w:pPr>
        <w:spacing w:after="0" w:line="389"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(17) Business Segment Information</w:t>
        </w:r>
      </w:hyperlink>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currently operates in the following three reportable operating segments:</w:t>
      </w:r>
    </w:p>
    <w:p>
      <w:pPr>
        <w:spacing w:after="0" w:line="170" w:lineRule="exact"/>
        <w:rPr>
          <w:sz w:val="20"/>
          <w:szCs w:val="20"/>
          <w:color w:val="auto"/>
        </w:rPr>
      </w:pPr>
    </w:p>
    <w:p>
      <w:pPr>
        <w:jc w:val="both"/>
        <w:ind w:firstLine="278"/>
        <w:spacing w:after="0" w:line="292" w:lineRule="auto"/>
        <w:tabs>
          <w:tab w:leader="none" w:pos="47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Through the EFT Processing Segment, the Company processes transactions for a network of ATMs and POS terminals across Europe, the Middle East, Africa, Asia Pacific and the United States. The Company provides comprehensive electronic payment solutions consisting of ATM cash withdrawal services, ATM network participation, outsourced ATM and POS management solutions, credit, debit and prepaid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spacing w:after="0" w:line="187" w:lineRule="exact"/>
        <w:rPr>
          <w:rFonts w:ascii="Arial" w:cs="Arial" w:eastAsia="Arial" w:hAnsi="Arial"/>
          <w:sz w:val="17"/>
          <w:szCs w:val="17"/>
          <w:color w:val="auto"/>
        </w:rPr>
      </w:pPr>
    </w:p>
    <w:p>
      <w:pPr>
        <w:ind w:firstLine="278"/>
        <w:spacing w:after="0" w:line="293" w:lineRule="auto"/>
        <w:tabs>
          <w:tab w:leader="none" w:pos="4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the U.S. and South America.</w:t>
      </w:r>
    </w:p>
    <w:p>
      <w:pPr>
        <w:spacing w:after="0" w:line="169" w:lineRule="exact"/>
        <w:rPr>
          <w:rFonts w:ascii="Arial" w:cs="Arial" w:eastAsia="Arial" w:hAnsi="Arial"/>
          <w:sz w:val="18"/>
          <w:szCs w:val="18"/>
          <w:color w:val="auto"/>
        </w:rPr>
      </w:pPr>
    </w:p>
    <w:p>
      <w:pPr>
        <w:jc w:val="both"/>
        <w:ind w:firstLine="278"/>
        <w:spacing w:after="0" w:line="270" w:lineRule="auto"/>
        <w:tabs>
          <w:tab w:leader="none" w:pos="4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services under the brand names Ria, AFEX, IME, and xe. Ria, AFEX, and IME provide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The Company also offers customers bill payment services, payment alternatives such as money orders and prepaid debit cards, comprehensive check cashing services, foreign currency exchange services and mobile top-up. Furthermore, xe provides cash management solutions and foreign currency risk management services to small-to-medium sized businesses.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The following tables present the Company's reportable segment results for the years ended December 31, 2021,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40" w:type="dxa"/>
            <w:vAlign w:val="bottom"/>
            <w:gridSpan w:val="8"/>
          </w:tcPr>
          <w:p>
            <w:pPr>
              <w:ind w:left="320"/>
              <w:spacing w:after="0"/>
              <w:rPr>
                <w:sz w:val="20"/>
                <w:szCs w:val="20"/>
                <w:color w:val="auto"/>
              </w:rPr>
            </w:pPr>
            <w:r>
              <w:rPr>
                <w:rFonts w:ascii="Arial" w:cs="Arial" w:eastAsia="Arial" w:hAnsi="Arial"/>
                <w:sz w:val="18"/>
                <w:szCs w:val="18"/>
                <w:b w:val="1"/>
                <w:bCs w:val="1"/>
                <w:color w:val="auto"/>
              </w:rPr>
              <w:t>For the Year Ended December 31, 2021</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Corporate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Services,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b w:val="1"/>
                <w:bCs w:val="1"/>
                <w:color w:val="auto"/>
              </w:rPr>
              <w:t>Eliminations and</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EFT Processing</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epay</w:t>
            </w:r>
          </w:p>
        </w:tc>
        <w:tc>
          <w:tcPr>
            <w:tcW w:w="1440" w:type="dxa"/>
            <w:vAlign w:val="bottom"/>
            <w:gridSpan w:val="3"/>
          </w:tcPr>
          <w:p>
            <w:pPr>
              <w:ind w:left="40"/>
              <w:spacing w:after="0"/>
              <w:rPr>
                <w:sz w:val="20"/>
                <w:szCs w:val="20"/>
                <w:color w:val="auto"/>
              </w:rPr>
            </w:pPr>
            <w:r>
              <w:rPr>
                <w:rFonts w:ascii="Arial" w:cs="Arial" w:eastAsia="Arial" w:hAnsi="Arial"/>
                <w:sz w:val="18"/>
                <w:szCs w:val="18"/>
                <w:b w:val="1"/>
                <w:bCs w:val="1"/>
                <w:color w:val="auto"/>
              </w:rPr>
              <w:t>Money Transfer</w:t>
            </w: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Consolidated</w:t>
            </w:r>
          </w:p>
        </w:tc>
      </w:tr>
      <w:tr>
        <w:trPr>
          <w:trHeight w:val="27"/>
        </w:trPr>
        <w:tc>
          <w:tcPr>
            <w:tcW w:w="4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591,138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1,011,482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1,400,957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2,995,443</w:t>
            </w:r>
          </w:p>
        </w:tc>
      </w:tr>
      <w:tr>
        <w:trPr>
          <w:trHeight w:val="237"/>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760,891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793,218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1,900,267</w:t>
            </w:r>
          </w:p>
        </w:tc>
      </w:tr>
      <w:tr>
        <w:trPr>
          <w:trHeight w:val="243"/>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Acquired contract cost impairment</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38,634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38,634</w:t>
            </w: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98,584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255,816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50,988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484,839</w:t>
            </w:r>
          </w:p>
        </w:tc>
      </w:tr>
      <w:tr>
        <w:trPr>
          <w:trHeight w:val="243"/>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47,832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157,955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6,544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251,933</w:t>
            </w: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135,754</w:t>
            </w:r>
          </w:p>
        </w:tc>
      </w:tr>
      <w:tr>
        <w:trPr>
          <w:trHeight w:val="237"/>
        </w:trPr>
        <w:tc>
          <w:tcPr>
            <w:tcW w:w="42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591,639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888,445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1,281,362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49,981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2,811,427</w:t>
            </w:r>
          </w:p>
        </w:tc>
      </w:tr>
      <w:tr>
        <w:trPr>
          <w:trHeight w:val="27"/>
        </w:trPr>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42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(58,115)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184,016</w:t>
            </w:r>
          </w:p>
        </w:tc>
      </w:tr>
      <w:tr>
        <w:trPr>
          <w:trHeight w:val="237"/>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(38,198)</w:t>
            </w: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loss,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(10,866)</w:t>
            </w: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Other gains, net</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42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(48,341)</w:t>
            </w:r>
          </w:p>
        </w:tc>
      </w:tr>
      <w:tr>
        <w:trPr>
          <w:trHeight w:val="297"/>
        </w:trPr>
        <w:tc>
          <w:tcPr>
            <w:tcW w:w="420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135,675</w:t>
            </w:r>
          </w:p>
        </w:tc>
      </w:tr>
      <w:tr>
        <w:trPr>
          <w:trHeight w:val="237"/>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assets as of December 31, 2021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1,682,680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1,234,074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1,621,726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205,796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4,744,276</w:t>
            </w:r>
          </w:p>
        </w:tc>
      </w:tr>
      <w:tr>
        <w:trPr>
          <w:trHeight w:val="459"/>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94</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28"/>
        </w:trPr>
        <w:tc>
          <w:tcPr>
            <w:tcW w:w="40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60" w:type="dxa"/>
            <w:vAlign w:val="bottom"/>
            <w:gridSpan w:val="8"/>
          </w:tcPr>
          <w:p>
            <w:pPr>
              <w:ind w:left="340"/>
              <w:spacing w:after="0"/>
              <w:rPr>
                <w:sz w:val="20"/>
                <w:szCs w:val="20"/>
                <w:color w:val="auto"/>
              </w:rPr>
            </w:pPr>
            <w:r>
              <w:rPr>
                <w:rFonts w:ascii="Arial" w:cs="Arial" w:eastAsia="Arial" w:hAnsi="Arial"/>
                <w:sz w:val="18"/>
                <w:szCs w:val="18"/>
                <w:b w:val="1"/>
                <w:bCs w:val="1"/>
                <w:color w:val="auto"/>
              </w:rPr>
              <w:t>For the Year Ended December 31, 2020</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Services,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Money</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EFT Processing</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epay</w:t>
            </w: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Transfer</w:t>
            </w:r>
          </w:p>
        </w:tc>
        <w:tc>
          <w:tcPr>
            <w:tcW w:w="14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and Other</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7"/>
        </w:trPr>
        <w:tc>
          <w:tcPr>
            <w:tcW w:w="4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468,726</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835,517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1,183,849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2,482,700</w:t>
            </w: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302,637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630,391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649,033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1,576,699</w:t>
            </w: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64,769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213,511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404,142</w:t>
            </w: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221,614</w:t>
            </w: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w w:val="98"/>
              </w:rPr>
              <w:t>Goodwill and acquired intangible assets impairment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84,741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106,602</w:t>
            </w: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127,021</w:t>
            </w:r>
          </w:p>
        </w:tc>
      </w:tr>
      <w:tr>
        <w:trPr>
          <w:trHeight w:val="23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535,437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738,839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1,124,140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2,436,078</w:t>
            </w:r>
          </w:p>
        </w:tc>
      </w:tr>
      <w:tr>
        <w:trPr>
          <w:trHeight w:val="27"/>
        </w:trPr>
        <w:tc>
          <w:tcPr>
            <w:tcW w:w="4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4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(66,711)</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46,622</w:t>
            </w: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(36,604)</w:t>
            </w: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gain, net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(3,756)</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Other gains, net</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869</w:t>
            </w:r>
          </w:p>
        </w:tc>
      </w:tr>
      <w:tr>
        <w:trPr>
          <w:trHeight w:val="27"/>
        </w:trPr>
        <w:tc>
          <w:tcPr>
            <w:tcW w:w="4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42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(38,451)</w:t>
            </w:r>
          </w:p>
        </w:tc>
      </w:tr>
      <w:tr>
        <w:trPr>
          <w:trHeight w:val="297"/>
        </w:trPr>
        <w:tc>
          <w:tcPr>
            <w:tcW w:w="424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8,171</w:t>
            </w:r>
          </w:p>
        </w:tc>
      </w:tr>
      <w:tr>
        <w:trPr>
          <w:trHeight w:val="237"/>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assets as of December 31, 2020</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1,541,610</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1,135,204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1,755,651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494,246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4,926,711</w:t>
            </w:r>
          </w:p>
        </w:tc>
      </w:tr>
      <w:tr>
        <w:trPr>
          <w:trHeight w:val="459"/>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95</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4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0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0"/>
              </w:rPr>
              <w:t>For the Year Ended December 31, 2019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Services,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EFT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Money</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Processing</w:t>
            </w:r>
          </w:p>
        </w:tc>
        <w:tc>
          <w:tcPr>
            <w:tcW w:w="30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epay</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Transfer</w:t>
            </w: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and Other</w:t>
            </w: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w w:val="85"/>
              </w:rPr>
              <w:t>Consolidated</w:t>
            </w:r>
          </w:p>
        </w:tc>
      </w:tr>
      <w:tr>
        <w:trPr>
          <w:trHeight w:val="27"/>
        </w:trPr>
        <w:tc>
          <w:tcPr>
            <w:tcW w:w="4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888,712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769,329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1,096,226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2,750,109</w:t>
            </w:r>
          </w:p>
        </w:tc>
      </w:tr>
      <w:tr>
        <w:trPr>
          <w:trHeight w:val="237"/>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397,132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576,757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1,556,483</w:t>
            </w: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87,603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61,540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208,792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36,809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394,744</w:t>
            </w: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211,944</w:t>
            </w: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71,819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6,774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111,744</w:t>
            </w: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592,072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680,125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961,436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41,282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2,274,915</w:t>
            </w:r>
          </w:p>
        </w:tc>
      </w:tr>
      <w:tr>
        <w:trPr>
          <w:trHeight w:val="237"/>
        </w:trPr>
        <w:tc>
          <w:tcPr>
            <w:tcW w:w="444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296,640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89,204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134,790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(45,440)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475,194</w:t>
            </w: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1,969</w:t>
            </w: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(36,237)</w:t>
            </w:r>
          </w:p>
        </w:tc>
      </w:tr>
      <w:tr>
        <w:trPr>
          <w:trHeight w:val="243"/>
        </w:trPr>
        <w:tc>
          <w:tcPr>
            <w:tcW w:w="444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loss, net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2,701</w:t>
            </w: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 net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(9,820)</w:t>
            </w:r>
          </w:p>
        </w:tc>
      </w:tr>
      <w:tr>
        <w:trPr>
          <w:trHeight w:val="237"/>
        </w:trPr>
        <w:tc>
          <w:tcPr>
            <w:tcW w:w="444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(41,387)</w:t>
            </w: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4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433,807</w:t>
            </w: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1,914,144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962,671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1,560,136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220,715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4,657,666</w:t>
            </w:r>
          </w:p>
        </w:tc>
      </w:tr>
      <w:tr>
        <w:trPr>
          <w:trHeight w:val="486"/>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8"/>
        </w:trPr>
        <w:tc>
          <w:tcPr>
            <w:tcW w:w="4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9" w:name="page100"/>
    <w:bookmarkEnd w:id="99"/>
    <w:p>
      <w:pPr>
        <w:jc w:val="both"/>
        <w:spacing w:after="0" w:line="293" w:lineRule="auto"/>
        <w:rPr>
          <w:sz w:val="20"/>
          <w:szCs w:val="20"/>
          <w:color w:val="auto"/>
        </w:rPr>
      </w:pPr>
      <w:r>
        <w:rPr>
          <w:rFonts w:ascii="Arial" w:cs="Arial" w:eastAsia="Arial" w:hAnsi="Arial"/>
          <w:sz w:val="18"/>
          <w:szCs w:val="18"/>
          <w:color w:val="auto"/>
        </w:rPr>
        <w:t>Total revenues for the years ended December 31, 2021, 2020 and 2019, and property and equipment and total assets as of December 31, 2021 and 2020, summarized by geographic location, were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Revenues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1"/>
              </w:rPr>
              <w:t>Property and Equipment, net</w:t>
            </w:r>
          </w:p>
        </w:tc>
        <w:tc>
          <w:tcPr>
            <w:tcW w:w="200" w:type="dxa"/>
            <w:vAlign w:val="bottom"/>
          </w:tcPr>
          <w:p>
            <w:pPr>
              <w:spacing w:after="0"/>
              <w:rPr>
                <w:sz w:val="20"/>
                <w:szCs w:val="20"/>
                <w:color w:val="auto"/>
              </w:rPr>
            </w:pPr>
          </w:p>
        </w:tc>
        <w:tc>
          <w:tcPr>
            <w:tcW w:w="21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Total Assets</w:t>
            </w:r>
          </w:p>
        </w:tc>
      </w:tr>
      <w:tr>
        <w:trPr>
          <w:trHeight w:val="270"/>
        </w:trPr>
        <w:tc>
          <w:tcPr>
            <w:tcW w:w="2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For the year ended December 31,</w:t>
            </w:r>
          </w:p>
        </w:tc>
        <w:tc>
          <w:tcPr>
            <w:tcW w:w="280" w:type="dxa"/>
            <w:vAlign w:val="bottom"/>
          </w:tcPr>
          <w:p>
            <w:pPr>
              <w:spacing w:after="0"/>
              <w:rPr>
                <w:sz w:val="23"/>
                <w:szCs w:val="23"/>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7"/>
              </w:rPr>
              <w:t>as of December 31,</w:t>
            </w:r>
          </w:p>
        </w:tc>
        <w:tc>
          <w:tcPr>
            <w:tcW w:w="200" w:type="dxa"/>
            <w:vAlign w:val="bottom"/>
          </w:tcPr>
          <w:p>
            <w:pPr>
              <w:spacing w:after="0"/>
              <w:rPr>
                <w:sz w:val="23"/>
                <w:szCs w:val="23"/>
                <w:color w:val="auto"/>
              </w:rPr>
            </w:pPr>
          </w:p>
        </w:tc>
        <w:tc>
          <w:tcPr>
            <w:tcW w:w="21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26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7"/>
        </w:trPr>
        <w:tc>
          <w:tcPr>
            <w:tcW w:w="22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805,028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725,135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716,576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59,469</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1,040,190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1,255,983</w:t>
            </w: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Germany</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631,550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533,999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518,146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32,126</w:t>
            </w: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38,808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901,724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797,627</w:t>
            </w:r>
          </w:p>
        </w:tc>
      </w:tr>
      <w:tr>
        <w:trPr>
          <w:trHeight w:val="27"/>
        </w:trPr>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Spain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157,766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118,934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50,321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291,254</w:t>
            </w: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United Kingdom</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143,914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118,024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135,006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13,783</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371,090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402,587</w:t>
            </w:r>
          </w:p>
        </w:tc>
      </w:tr>
      <w:tr>
        <w:trPr>
          <w:trHeight w:val="27"/>
        </w:trPr>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130,095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92,006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18,279</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231,548</w:t>
            </w: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Poland</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93,654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89,688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24,091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201,506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206,016</w:t>
            </w:r>
          </w:p>
        </w:tc>
      </w:tr>
      <w:tr>
        <w:trPr>
          <w:trHeight w:val="27"/>
        </w:trPr>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173,154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123,343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32,705</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182,073</w:t>
            </w: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France</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166,655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119,265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94,352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7,038</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134,981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112,335</w:t>
            </w:r>
          </w:p>
        </w:tc>
      </w:tr>
      <w:tr>
        <w:trPr>
          <w:trHeight w:val="27"/>
        </w:trPr>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Greece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61,627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39,705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10,815</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78,439</w:t>
            </w: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Malaysia</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50,039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73,541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74,948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1,998</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91,813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115,448</w:t>
            </w:r>
          </w:p>
        </w:tc>
      </w:tr>
      <w:tr>
        <w:trPr>
          <w:trHeight w:val="27"/>
        </w:trPr>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46,851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46,062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2,791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68,577</w:t>
            </w: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New Zealand</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56,480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47,368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3,949</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231,468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254,580</w:t>
            </w:r>
          </w:p>
        </w:tc>
      </w:tr>
      <w:tr>
        <w:trPr>
          <w:trHeight w:val="27"/>
        </w:trPr>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478,630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355,630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468,785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88,016</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903,527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930,244</w:t>
            </w: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Total foreign</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7"/>
              </w:rPr>
              <w:t>2,190,415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1,757,565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2,033,533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285,912</w:t>
            </w: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322,868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3,704,086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3,670,728</w:t>
            </w:r>
          </w:p>
        </w:tc>
      </w:tr>
      <w:tr>
        <w:trPr>
          <w:trHeight w:val="27"/>
        </w:trPr>
        <w:tc>
          <w:tcPr>
            <w:tcW w:w="22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2,995,443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2,482,700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2,750,109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345,381</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4,744,276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4,926,711</w:t>
            </w:r>
          </w:p>
        </w:tc>
      </w:tr>
      <w:tr>
        <w:trPr>
          <w:trHeight w:val="20"/>
        </w:trPr>
        <w:tc>
          <w:tcPr>
            <w:tcW w:w="2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Revenues are attributed to countries based on location of the customer, with the exception of software sales made by the Company's software subsidiary, which are attributed to the U.S.</w:t>
      </w:r>
    </w:p>
    <w:p>
      <w:pPr>
        <w:spacing w:after="0" w:line="125"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(18) Financial Instruments and Fair Value Measurements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3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credit risk primarily relates to trade accounts receivable and cash and cash equivalents. The EFT Processing Segment's customer base includes the most significant international card organizations and certain banks in its markets. The epay Segment's customer base is diverse and includes several major retailers and/or distributors in markets that they operate. The Money Transfer Segment trade accounts receivable are primarily due from independent agents that collect cash from customers on the Company's behalf and generally remit the cash within one week. The Company performs ongoing evaluations of its customers' financial condition and limits the amount of credit extended, or purchases credit enhancement protection, when deemed necessary, but generally requires no collateral. See Note 15, Valuation and Qualifying Accounts, for further disclosure.</w:t>
      </w:r>
    </w:p>
    <w:p>
      <w:pPr>
        <w:spacing w:after="0" w:line="16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invests excess cash not required for use in operations primarily in high credit quality, short-term duration securities that the Company believes bear minimal risk.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540" w:right="20"/>
        <w:spacing w:after="0" w:line="250" w:lineRule="auto"/>
        <w:rPr>
          <w:sz w:val="20"/>
          <w:szCs w:val="20"/>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60" w:lineRule="auto"/>
        <w:rPr>
          <w:sz w:val="20"/>
          <w:szCs w:val="20"/>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-245110</wp:posOffset>
            </wp:positionV>
            <wp:extent cx="59690" cy="596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measured and recorded at fair value on a recurring basis: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As of December 31, 2021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56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Balance Sheet</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040" w:type="dxa"/>
            <w:vAlign w:val="bottom"/>
          </w:tcPr>
          <w:p>
            <w:pPr>
              <w:spacing w:after="0"/>
              <w:rPr>
                <w:sz w:val="17"/>
                <w:szCs w:val="17"/>
                <w:color w:val="auto"/>
              </w:rPr>
            </w:pPr>
          </w:p>
        </w:tc>
        <w:tc>
          <w:tcPr>
            <w:tcW w:w="2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560" w:type="dxa"/>
            <w:vAlign w:val="bottom"/>
            <w:gridSpan w:val="2"/>
          </w:tcPr>
          <w:p>
            <w:pPr>
              <w:ind w:left="880"/>
              <w:spacing w:after="0"/>
              <w:rPr>
                <w:sz w:val="20"/>
                <w:szCs w:val="20"/>
                <w:color w:val="auto"/>
              </w:rPr>
            </w:pPr>
            <w:r>
              <w:rPr>
                <w:rFonts w:ascii="Arial" w:cs="Arial" w:eastAsia="Arial" w:hAnsi="Arial"/>
                <w:sz w:val="18"/>
                <w:szCs w:val="18"/>
                <w:b w:val="1"/>
                <w:bCs w:val="1"/>
                <w:color w:val="auto"/>
              </w:rPr>
              <w:t>Classification</w:t>
            </w:r>
          </w:p>
        </w:tc>
        <w:tc>
          <w:tcPr>
            <w:tcW w:w="220" w:type="dxa"/>
            <w:vAlign w:val="bottom"/>
          </w:tcPr>
          <w:p>
            <w:pPr>
              <w:spacing w:after="0"/>
              <w:rPr>
                <w:sz w:val="20"/>
                <w:szCs w:val="20"/>
                <w:color w:val="auto"/>
              </w:rPr>
            </w:pP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460" w:type="dxa"/>
            <w:vAlign w:val="bottom"/>
            <w:gridSpan w:val="2"/>
          </w:tcPr>
          <w:p>
            <w:pPr>
              <w:ind w:left="400"/>
              <w:spacing w:after="0"/>
              <w:rPr>
                <w:sz w:val="20"/>
                <w:szCs w:val="20"/>
                <w:color w:val="auto"/>
              </w:rPr>
            </w:pPr>
            <w:r>
              <w:rPr>
                <w:rFonts w:ascii="Arial" w:cs="Arial" w:eastAsia="Arial" w:hAnsi="Arial"/>
                <w:sz w:val="18"/>
                <w:szCs w:val="18"/>
                <w:b w:val="1"/>
                <w:bCs w:val="1"/>
                <w:color w:val="auto"/>
              </w:rPr>
              <w:t>Level 2</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0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2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27,582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27,582</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2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(23,285)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(23,285)</w:t>
            </w:r>
          </w:p>
        </w:tc>
        <w:tc>
          <w:tcPr>
            <w:tcW w:w="0" w:type="dxa"/>
            <w:vAlign w:val="bottom"/>
          </w:tcPr>
          <w:p>
            <w:pPr>
              <w:spacing w:after="0"/>
              <w:rPr>
                <w:sz w:val="1"/>
                <w:szCs w:val="1"/>
                <w:color w:val="auto"/>
              </w:rPr>
            </w:pPr>
          </w:p>
        </w:tc>
      </w:tr>
      <w:tr>
        <w:trPr>
          <w:trHeight w:val="27"/>
        </w:trPr>
        <w:tc>
          <w:tcPr>
            <w:tcW w:w="304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3"/>
              </w:rPr>
              <w:t>As of December 31, 2020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56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Balance Sheet</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040" w:type="dxa"/>
            <w:vAlign w:val="bottom"/>
          </w:tcPr>
          <w:p>
            <w:pPr>
              <w:spacing w:after="0"/>
              <w:rPr>
                <w:sz w:val="17"/>
                <w:szCs w:val="17"/>
                <w:color w:val="auto"/>
              </w:rPr>
            </w:pPr>
          </w:p>
        </w:tc>
        <w:tc>
          <w:tcPr>
            <w:tcW w:w="2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560" w:type="dxa"/>
            <w:vAlign w:val="bottom"/>
            <w:gridSpan w:val="2"/>
          </w:tcPr>
          <w:p>
            <w:pPr>
              <w:ind w:left="880"/>
              <w:spacing w:after="0"/>
              <w:rPr>
                <w:sz w:val="20"/>
                <w:szCs w:val="20"/>
                <w:color w:val="auto"/>
              </w:rPr>
            </w:pPr>
            <w:r>
              <w:rPr>
                <w:rFonts w:ascii="Arial" w:cs="Arial" w:eastAsia="Arial" w:hAnsi="Arial"/>
                <w:sz w:val="18"/>
                <w:szCs w:val="18"/>
                <w:b w:val="1"/>
                <w:bCs w:val="1"/>
                <w:color w:val="auto"/>
              </w:rPr>
              <w:t>Classification</w:t>
            </w:r>
          </w:p>
        </w:tc>
        <w:tc>
          <w:tcPr>
            <w:tcW w:w="22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0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2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80,879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80,879</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2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(65,905)</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(65,905)</w:t>
            </w:r>
          </w:p>
        </w:tc>
        <w:tc>
          <w:tcPr>
            <w:tcW w:w="0" w:type="dxa"/>
            <w:vAlign w:val="bottom"/>
          </w:tcPr>
          <w:p>
            <w:pPr>
              <w:spacing w:after="0"/>
              <w:rPr>
                <w:sz w:val="1"/>
                <w:szCs w:val="1"/>
                <w:color w:val="auto"/>
              </w:rPr>
            </w:pPr>
          </w:p>
        </w:tc>
      </w:tr>
      <w:tr>
        <w:trPr>
          <w:trHeight w:val="27"/>
        </w:trPr>
        <w:tc>
          <w:tcPr>
            <w:tcW w:w="304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is based on LIBOR that resets at various intervals of less than one year. The Company estimates the fair value of the Convertible Notes and Senior Notes using quoted prices in inactive markets for identical liabilities (Level 2). As of December 31, 2021, the fair values of the Convertible Notes and Senior Notes were $589.3 million and $696.1 million, respectively, with carrying values of $468.2 million and $682.1 million, respectively.</w:t>
      </w:r>
    </w:p>
    <w:p>
      <w:pPr>
        <w:spacing w:after="0" w:line="170"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(19) Litigation and Contingencies</w:t>
        </w:r>
      </w:hyperlink>
    </w:p>
    <w:p>
      <w:pPr>
        <w:spacing w:after="0" w:line="24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From time to time, the Company is a party to legal and regulatory proceedings arising in the ordinary course of its business. Currently, there are no legal proceedings or regulatory findings that management believes, either individually or in the aggregate, would have a material adverse effect upon the Consolidated Financial Statements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1" w:name="page102"/>
    <w:bookmarkEnd w:id="101"/>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(20) Commitments</w:t>
        </w:r>
      </w:hyperlink>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As of December 31, 2021, the Company had $84.2 million of stand-by letters of credit/bank guarantees issued on its behalf, of which $3.7 million are collateralized by cash deposits held by the respective issuing banks.</w:t>
      </w:r>
    </w:p>
    <w:p>
      <w:pPr>
        <w:spacing w:after="0" w:line="17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Under certain circumstances, the Company grants guarantees in support of obligations of subsidiaries. As of December 31, 2021, the Company granted off balance sheet guarantees for cash in various ATM networks amounting to $11.4 million over the terms of the cash supply agreements and performance guarantees amounting to approximately $51.7 million over the terms of the agreements with the customers.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48" w:lineRule="exact"/>
        <w:rPr>
          <w:sz w:val="20"/>
          <w:szCs w:val="20"/>
          <w:color w:val="auto"/>
        </w:rPr>
      </w:pPr>
    </w:p>
    <w:p>
      <w:pPr>
        <w:jc w:val="both"/>
        <w:ind w:left="240" w:hanging="232"/>
        <w:spacing w:after="0" w:line="259" w:lineRule="auto"/>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December 31, 2021, the balance of such cash used in the Company's ATM networks for which the Company was responsible was approximately $558.1 million. The Company maintains insurance policies to mitigate this exposure;</w:t>
      </w:r>
    </w:p>
    <w:p>
      <w:pPr>
        <w:spacing w:after="0" w:line="200" w:lineRule="exact"/>
        <w:rPr>
          <w:rFonts w:ascii="Arial" w:cs="Arial" w:eastAsia="Arial" w:hAnsi="Arial"/>
          <w:sz w:val="18"/>
          <w:szCs w:val="18"/>
          <w:color w:val="auto"/>
        </w:rPr>
      </w:pPr>
    </w:p>
    <w:p>
      <w:pPr>
        <w:jc w:val="both"/>
        <w:ind w:left="240" w:hanging="232"/>
        <w:spacing w:after="0" w:line="303" w:lineRule="auto"/>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177" w:lineRule="exact"/>
        <w:rPr>
          <w:rFonts w:ascii="Arial" w:cs="Arial" w:eastAsia="Arial" w:hAnsi="Arial"/>
          <w:sz w:val="17"/>
          <w:szCs w:val="17"/>
          <w:color w:val="auto"/>
        </w:rPr>
      </w:pPr>
    </w:p>
    <w:p>
      <w:pPr>
        <w:jc w:val="both"/>
        <w:ind w:left="240" w:hanging="232"/>
        <w:spacing w:after="0" w:line="279" w:lineRule="auto"/>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196" w:lineRule="exact"/>
        <w:rPr>
          <w:rFonts w:ascii="Arial" w:cs="Arial" w:eastAsia="Arial" w:hAnsi="Arial"/>
          <w:sz w:val="18"/>
          <w:szCs w:val="18"/>
          <w:color w:val="auto"/>
        </w:rPr>
      </w:pPr>
    </w:p>
    <w:p>
      <w:pPr>
        <w:jc w:val="both"/>
        <w:ind w:left="240" w:hanging="232"/>
        <w:spacing w:after="0" w:line="279" w:lineRule="auto"/>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196" w:lineRule="exact"/>
        <w:rPr>
          <w:rFonts w:ascii="Arial" w:cs="Arial" w:eastAsia="Arial" w:hAnsi="Arial"/>
          <w:sz w:val="18"/>
          <w:szCs w:val="18"/>
          <w:color w:val="auto"/>
        </w:rPr>
      </w:pPr>
    </w:p>
    <w:p>
      <w:pPr>
        <w:jc w:val="both"/>
        <w:ind w:left="240" w:hanging="232"/>
        <w:spacing w:after="0" w:line="290" w:lineRule="auto"/>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189" w:lineRule="exact"/>
        <w:rPr>
          <w:rFonts w:ascii="Arial" w:cs="Arial" w:eastAsia="Arial" w:hAnsi="Arial"/>
          <w:sz w:val="17"/>
          <w:szCs w:val="17"/>
          <w:color w:val="auto"/>
        </w:rPr>
      </w:pPr>
    </w:p>
    <w:p>
      <w:pPr>
        <w:jc w:val="both"/>
        <w:ind w:left="240" w:hanging="232"/>
        <w:spacing w:after="0" w:line="279" w:lineRule="auto"/>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December 31, 2021 or 2020.</w:t>
      </w:r>
    </w:p>
    <w:p>
      <w:pPr>
        <w:spacing w:after="0" w:line="125"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(21) Related Party Transactions</w:t>
        </w:r>
      </w:hyperlink>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leases an airplane from a company owned by Mr. Michael J. Brown, Euronet's Chief Executive Officer, President and Chairman of the Board of Directors. The airplane is leased for business use on a per flight hour basis at competitive commercial rates with no minimum usage requirement. Euronet incurred expenses of $0.1 million, $0.1 million and $0.3 million during the years ended December 31, 2021, 2020 and 2019, respectively, for the use of this airplane.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2" w:name="page103"/>
    <w:bookmarkEnd w:id="102"/>
    <w:p>
      <w:pPr>
        <w:ind w:left="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2021.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of 2021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Euronet Worldwide, Inc.:</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is responsible for establishing and maintaining an effective internal control over financial reporting as this term is defined under Rule 13a-15(f) of the Securities Exchange Act of 1934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of Euronet Worldwide, Inc. assessed the effectiveness of the Company's internal control over financial reporting as of December 31, 2021. In making this assessment, it used the criteria set forth by the Committee of Sponsoring Organizations of the Treadway Commission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(2013). Based on these criteria and our assessment, we have determined that, as of December 31, 2021, the Company's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was effective.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KPMG LLP, an independent registered public accounting firm, as stated in their audit report, included herein.</w:t>
      </w:r>
    </w:p>
    <w:p>
      <w:pPr>
        <w:spacing w:after="0" w:line="200" w:lineRule="exact"/>
        <w:rPr>
          <w:sz w:val="20"/>
          <w:szCs w:val="20"/>
          <w:color w:val="auto"/>
        </w:rPr>
      </w:pPr>
    </w:p>
    <w:p>
      <w:pPr>
        <w:spacing w:after="0" w:line="321"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72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pacing w:after="0" w:line="33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72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3"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information under “Election of Directors,” “Delinquent Section 16(a) Reports” (if applicable) and “Meetings and Committees of the Board of Directors” in the Proxy Statement for the 2022 Annual Meeting of Stockholders, which will be filed with the SEC no later than 120 days after December 31, 2021, is incorporated herein by reference. Information concerning our Code of Business Conduct and Ethics for our employees, including our Chief Executive Officer and Chief Financial Officer, is set forth under “Availability of Reports, Certain Committee Charters, and Other Information” in Part I of this Annual Report on Form 10-K and incorporated herein by reference. Information concerning executive officers is set forth under “Information about our Executive Officers” in Part I of this Annual Report on Form 10-K and incorporated herein by reference.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Ethics and any waiver from a provision of our Code of Ethics by disclosing such information on a Form 8-K or on our Website at www.euronetworldwide.com under For Investors/Corporate Governance.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under “Compensation Tables,” “Compensation Discussion and Analysis,” “Director Compensation,” “Compensation Committee Report” and “Compensation Committee Interlocks and Insider Participation” in the Proxy Statement for the 2022 Annual Meeting of Stockholders, which will be filed with the SEC no later than 120 days after December 31, 2021, is incorporated herein by reference.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under “Beneficial Ownership of Common Stock”, “Election of Directors” and "Compensation Tables - Shares Issuable under Stockholder Approved Plans" in the Proxy Statement for the 2022 Annual Meeting of Stockholders, which will be filed with the SEC no later than 120 days after December 31, 2021, is incorporated herein by reference.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under “Certain Relationships and Related Transactions and Director Independence” in the Proxy Statement for the 2022 Annual Meeting of Stockholders, which will be filed with the SEC no later than 120 days after December 31, 2021, is incorporated herein by reference.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information under “Audit Matters - Fees of the Company's Independent Auditors” and - "Audit Matters - Audit Committee Pre-Approval Policy" in the Proxy Statement for the 2022 Annual Meeting of Stockholders, which will be filed with the SEC no later than 120 days after December 31, 2021, is incorporated herein by reference.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List of Documents Filed as Part of this Report.</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1. Financial Statements</w:t>
      </w:r>
    </w:p>
    <w:p>
      <w:pPr>
        <w:spacing w:after="0" w:line="225" w:lineRule="exact"/>
        <w:rPr>
          <w:sz w:val="20"/>
          <w:szCs w:val="20"/>
          <w:color w:val="auto"/>
        </w:rPr>
      </w:pPr>
    </w:p>
    <w:p>
      <w:pPr>
        <w:ind w:left="260" w:right="820"/>
        <w:spacing w:after="0" w:line="277" w:lineRule="auto"/>
        <w:rPr>
          <w:sz w:val="20"/>
          <w:szCs w:val="20"/>
          <w:color w:val="auto"/>
        </w:rPr>
      </w:pPr>
      <w:r>
        <w:rPr>
          <w:rFonts w:ascii="Arial" w:cs="Arial" w:eastAsia="Arial" w:hAnsi="Arial"/>
          <w:sz w:val="18"/>
          <w:szCs w:val="18"/>
          <w:color w:val="auto"/>
        </w:rPr>
        <w:t>The Consolidated Financial Statements and accompanying notes, together with the report of KPMG LLP, appear in Part II, Item 8 - Financial Statements and Supplementary Data, of this Form 10-K.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 Schedules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3. Exhibits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that are required to be filed or incorporated by reference herein are listed in the Exhibit Index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6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500" w:type="dxa"/>
            <w:vAlign w:val="bottom"/>
            <w:gridSpan w:val="14"/>
          </w:tcPr>
          <w:p>
            <w:pPr>
              <w:ind w:left="200"/>
              <w:spacing w:after="0"/>
              <w:rPr>
                <w:sz w:val="20"/>
                <w:szCs w:val="20"/>
                <w:color w:val="auto"/>
              </w:rPr>
            </w:pPr>
            <w:r>
              <w:rPr>
                <w:rFonts w:ascii="Arial" w:cs="Arial" w:eastAsia="Arial" w:hAnsi="Arial"/>
                <w:sz w:val="14"/>
                <w:szCs w:val="14"/>
                <w:b w:val="1"/>
                <w:bCs w:val="1"/>
                <w:color w:val="auto"/>
              </w:rPr>
              <w:t>Description</w:t>
            </w:r>
          </w:p>
        </w:tc>
      </w:tr>
      <w:tr>
        <w:trPr>
          <w:trHeight w:val="526"/>
        </w:trPr>
        <w:tc>
          <w:tcPr>
            <w:tcW w:w="1140" w:type="dxa"/>
            <w:vAlign w:val="bottom"/>
            <w:tcBorders>
              <w:top w:val="single" w:sz="8" w:color="auto"/>
            </w:tcBorders>
          </w:tcPr>
          <w:p>
            <w:pPr>
              <w:jc w:val="right"/>
              <w:ind w:right="792"/>
              <w:spacing w:after="0"/>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40" w:type="dxa"/>
            <w:vAlign w:val="bottom"/>
            <w:tcBorders>
              <w:top w:val="single" w:sz="8" w:color="auto"/>
              <w:bottom w:val="single" w:sz="8" w:color="0000FF"/>
            </w:tcBorders>
            <w:gridSpan w:val="15"/>
          </w:tcPr>
          <w:p>
            <w:pPr>
              <w:spacing w:after="0"/>
              <w:rPr>
                <w:rFonts w:ascii="Arial" w:cs="Arial" w:eastAsia="Arial" w:hAnsi="Arial"/>
                <w:sz w:val="18"/>
                <w:szCs w:val="18"/>
                <w:color w:val="0000FF"/>
                <w:w w:val="92"/>
              </w:rPr>
            </w:pPr>
            <w:hyperlink r:id="rId188">
              <w:r>
                <w:rPr>
                  <w:rFonts w:ascii="Arial" w:cs="Arial" w:eastAsia="Arial" w:hAnsi="Arial"/>
                  <w:sz w:val="18"/>
                  <w:szCs w:val="18"/>
                  <w:color w:val="0000FF"/>
                  <w:w w:val="92"/>
                </w:rPr>
                <w:t>Certificate of Incorporation of Euronet Worldwide, Inc., as amended (filed as Exhibit 3.2 to the Company's Current Report on Form 8-K</w:t>
              </w:r>
            </w:hyperlink>
          </w:p>
        </w:tc>
        <w:tc>
          <w:tcPr>
            <w:tcW w:w="20" w:type="dxa"/>
            <w:vAlign w:val="bottom"/>
            <w:tcBorders>
              <w:top w:val="single" w:sz="8" w:color="auto"/>
            </w:tcBorders>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6"/>
          </w:tcPr>
          <w:p>
            <w:pPr>
              <w:spacing w:after="0" w:line="196" w:lineRule="exact"/>
              <w:rPr>
                <w:rFonts w:ascii="Arial" w:cs="Arial" w:eastAsia="Arial" w:hAnsi="Arial"/>
                <w:sz w:val="18"/>
                <w:szCs w:val="18"/>
                <w:color w:val="0000FF"/>
              </w:rPr>
            </w:pPr>
            <w:hyperlink r:id="rId188">
              <w:r>
                <w:rPr>
                  <w:rFonts w:ascii="Arial" w:cs="Arial" w:eastAsia="Arial" w:hAnsi="Arial"/>
                  <w:sz w:val="18"/>
                  <w:szCs w:val="18"/>
                  <w:color w:val="0000FF"/>
                </w:rPr>
                <w:t>filed on May 22, 2009 and incorporated by reference herein)</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6"/>
          </w:tcPr>
          <w:p>
            <w:pPr>
              <w:spacing w:after="0"/>
              <w:rPr>
                <w:rFonts w:ascii="Arial" w:cs="Arial" w:eastAsia="Arial" w:hAnsi="Arial"/>
                <w:sz w:val="18"/>
                <w:szCs w:val="18"/>
                <w:color w:val="0000FF"/>
                <w:w w:val="96"/>
              </w:rPr>
            </w:pPr>
            <w:hyperlink r:id="rId189">
              <w:r>
                <w:rPr>
                  <w:rFonts w:ascii="Arial" w:cs="Arial" w:eastAsia="Arial" w:hAnsi="Arial"/>
                  <w:sz w:val="18"/>
                  <w:szCs w:val="18"/>
                  <w:color w:val="0000FF"/>
                  <w:w w:val="96"/>
                </w:rPr>
                <w:t>Certificate of Amendment to Certificate of Incorporation of Euronet Worldwide, Inc. (filed as Exhibit 3.1 to the Company's Current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189">
              <w:r>
                <w:rPr>
                  <w:rFonts w:ascii="Arial" w:cs="Arial" w:eastAsia="Arial" w:hAnsi="Arial"/>
                  <w:sz w:val="18"/>
                  <w:szCs w:val="18"/>
                  <w:color w:val="0000FF"/>
                </w:rPr>
                <w:t>Report on Form 8-K filed on May 22, 2009 and incorporated by reference herein)</w:t>
              </w:r>
            </w:hyperlink>
          </w:p>
        </w:tc>
        <w:tc>
          <w:tcPr>
            <w:tcW w:w="380" w:type="dxa"/>
            <w:vAlign w:val="bottom"/>
            <w:gridSpan w:val="6"/>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Arial" w:cs="Arial" w:eastAsia="Arial" w:hAnsi="Arial"/>
                <w:sz w:val="18"/>
                <w:szCs w:val="18"/>
                <w:color w:val="auto"/>
                <w:w w:val="95"/>
              </w:rPr>
              <w:t>3.3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FF"/>
            </w:tcBorders>
            <w:gridSpan w:val="11"/>
          </w:tcPr>
          <w:p>
            <w:pPr>
              <w:spacing w:after="0"/>
              <w:rPr>
                <w:rFonts w:ascii="Arial" w:cs="Arial" w:eastAsia="Arial" w:hAnsi="Arial"/>
                <w:sz w:val="18"/>
                <w:szCs w:val="18"/>
                <w:color w:val="0000FF"/>
                <w:w w:val="90"/>
              </w:rPr>
            </w:pPr>
            <w:hyperlink r:id="rId190">
              <w:r>
                <w:rPr>
                  <w:rFonts w:ascii="Arial" w:cs="Arial" w:eastAsia="Arial" w:hAnsi="Arial"/>
                  <w:sz w:val="18"/>
                  <w:szCs w:val="18"/>
                  <w:color w:val="0000FF"/>
                  <w:w w:val="90"/>
                </w:rPr>
                <w:t>Amended and Restated Certificate of Designations, Preferences and Rights of Series A Junior Participating Preferred Stock (filed as</w:t>
              </w:r>
            </w:hyperlink>
          </w:p>
        </w:tc>
        <w:tc>
          <w:tcPr>
            <w:tcW w:w="34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6"/>
          </w:tcPr>
          <w:p>
            <w:pPr>
              <w:spacing w:after="0" w:line="196" w:lineRule="exact"/>
              <w:rPr>
                <w:rFonts w:ascii="Arial" w:cs="Arial" w:eastAsia="Arial" w:hAnsi="Arial"/>
                <w:sz w:val="18"/>
                <w:szCs w:val="18"/>
                <w:color w:val="0000FF"/>
              </w:rPr>
            </w:pPr>
            <w:hyperlink r:id="rId190">
              <w:r>
                <w:rPr>
                  <w:rFonts w:ascii="Arial" w:cs="Arial" w:eastAsia="Arial" w:hAnsi="Arial"/>
                  <w:sz w:val="18"/>
                  <w:szCs w:val="18"/>
                  <w:color w:val="0000FF"/>
                </w:rPr>
                <w:t>Exhibit 3.1 to the Company's Current Report on Form 8-K filed on March 29, 2013, and incorporated herein by reference)</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Arial" w:cs="Arial" w:eastAsia="Arial" w:hAnsi="Arial"/>
                <w:sz w:val="18"/>
                <w:szCs w:val="18"/>
                <w:color w:val="auto"/>
                <w:w w:val="95"/>
              </w:rPr>
              <w:t>3.4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12"/>
          </w:tcPr>
          <w:p>
            <w:pPr>
              <w:spacing w:after="0"/>
              <w:rPr>
                <w:rFonts w:ascii="Arial" w:cs="Arial" w:eastAsia="Arial" w:hAnsi="Arial"/>
                <w:sz w:val="18"/>
                <w:szCs w:val="18"/>
                <w:color w:val="0000FF"/>
                <w:w w:val="91"/>
              </w:rPr>
            </w:pPr>
            <w:hyperlink r:id="rId191">
              <w:r>
                <w:rPr>
                  <w:rFonts w:ascii="Arial" w:cs="Arial" w:eastAsia="Arial" w:hAnsi="Arial"/>
                  <w:sz w:val="18"/>
                  <w:szCs w:val="18"/>
                  <w:color w:val="0000FF"/>
                  <w:w w:val="91"/>
                </w:rPr>
                <w:t>Amended and Restated Bylaws of Euronet Worldwide, Inc. (filed as Exhibit 3.2 to the Company's Current Report on Form 8-K filed on</w:t>
              </w:r>
            </w:hyperlink>
          </w:p>
        </w:tc>
        <w:tc>
          <w:tcPr>
            <w:tcW w:w="10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6"/>
          </w:tcPr>
          <w:p>
            <w:pPr>
              <w:spacing w:after="0" w:line="196" w:lineRule="exact"/>
              <w:rPr>
                <w:rFonts w:ascii="Arial" w:cs="Arial" w:eastAsia="Arial" w:hAnsi="Arial"/>
                <w:sz w:val="18"/>
                <w:szCs w:val="18"/>
                <w:color w:val="0000FF"/>
              </w:rPr>
            </w:pPr>
            <w:hyperlink r:id="rId191">
              <w:r>
                <w:rPr>
                  <w:rFonts w:ascii="Arial" w:cs="Arial" w:eastAsia="Arial" w:hAnsi="Arial"/>
                  <w:sz w:val="18"/>
                  <w:szCs w:val="18"/>
                  <w:color w:val="0000FF"/>
                </w:rPr>
                <w:t>February 28, 2017, and incorporated herein by reference)</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Arial" w:cs="Arial" w:eastAsia="Arial" w:hAnsi="Arial"/>
                <w:sz w:val="18"/>
                <w:szCs w:val="18"/>
                <w:color w:val="auto"/>
                <w:w w:val="95"/>
              </w:rPr>
              <w:t>4.1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6"/>
          </w:tcPr>
          <w:p>
            <w:pPr>
              <w:spacing w:after="0"/>
              <w:rPr>
                <w:rFonts w:ascii="Arial" w:cs="Arial" w:eastAsia="Arial" w:hAnsi="Arial"/>
                <w:sz w:val="18"/>
                <w:szCs w:val="18"/>
                <w:color w:val="0000FF"/>
                <w:w w:val="91"/>
              </w:rPr>
            </w:pPr>
            <w:hyperlink r:id="rId192">
              <w:r>
                <w:rPr>
                  <w:rFonts w:ascii="Arial" w:cs="Arial" w:eastAsia="Arial" w:hAnsi="Arial"/>
                  <w:sz w:val="18"/>
                  <w:szCs w:val="18"/>
                  <w:color w:val="0000FF"/>
                  <w:w w:val="91"/>
                </w:rPr>
                <w:t>Indenture, dated May 22, 2019, between Euronet Worldwide, Inc. and U.S. Bank National Association, as trustee (filed as Exhibit 4.1 to</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92">
              <w:r>
                <w:rPr>
                  <w:rFonts w:ascii="Arial" w:cs="Arial" w:eastAsia="Arial" w:hAnsi="Arial"/>
                  <w:sz w:val="18"/>
                  <w:szCs w:val="18"/>
                  <w:color w:val="0000FF"/>
                </w:rPr>
                <w:t>the Company's Current Report on Form 8-K filed on May 22, 2019 and incorporated by reference herein)</w:t>
              </w:r>
            </w:hyperlink>
          </w:p>
        </w:tc>
        <w:tc>
          <w:tcPr>
            <w:tcW w:w="6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4"/>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Arial" w:cs="Arial" w:eastAsia="Arial" w:hAnsi="Arial"/>
                <w:sz w:val="18"/>
                <w:szCs w:val="18"/>
                <w:color w:val="auto"/>
                <w:w w:val="95"/>
              </w:rPr>
              <w:t>4.2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14"/>
          </w:tcPr>
          <w:p>
            <w:pPr>
              <w:spacing w:after="0"/>
              <w:rPr>
                <w:rFonts w:ascii="Arial" w:cs="Arial" w:eastAsia="Arial" w:hAnsi="Arial"/>
                <w:sz w:val="18"/>
                <w:szCs w:val="18"/>
                <w:color w:val="0000FF"/>
                <w:w w:val="90"/>
              </w:rPr>
            </w:pPr>
            <w:hyperlink r:id="rId192">
              <w:r>
                <w:rPr>
                  <w:rFonts w:ascii="Arial" w:cs="Arial" w:eastAsia="Arial" w:hAnsi="Arial"/>
                  <w:sz w:val="18"/>
                  <w:szCs w:val="18"/>
                  <w:color w:val="0000FF"/>
                  <w:w w:val="90"/>
                </w:rPr>
                <w:t>Supplemental Indenture, dated May 22, 2019, between Euronet Worldwide, Inc. and U.S. Bank National Association, as trustee (filed as</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Exhibit 4.2 to the Company's Current Report on Form 8-K filed on May 22, 2019 and incorporated by reference herein)</w:t>
              </w:r>
            </w:hyperlink>
          </w:p>
        </w:tc>
        <w:tc>
          <w:tcPr>
            <w:tcW w:w="1240" w:type="dxa"/>
            <w:vAlign w:val="bottom"/>
            <w:gridSpan w:val="9"/>
          </w:tcPr>
          <w:p>
            <w:pPr>
              <w:spacing w:after="0"/>
              <w:rPr>
                <w:sz w:val="17"/>
                <w:szCs w:val="17"/>
                <w:color w:val="auto"/>
              </w:rPr>
            </w:pPr>
          </w:p>
        </w:tc>
      </w:tr>
      <w:tr>
        <w:trPr>
          <w:trHeight w:val="574"/>
        </w:trPr>
        <w:tc>
          <w:tcPr>
            <w:tcW w:w="1140" w:type="dxa"/>
            <w:vAlign w:val="bottom"/>
          </w:tcPr>
          <w:p>
            <w:pPr>
              <w:jc w:val="right"/>
              <w:ind w:right="792"/>
              <w:spacing w:after="0"/>
              <w:rPr>
                <w:sz w:val="20"/>
                <w:szCs w:val="20"/>
                <w:color w:val="auto"/>
              </w:rPr>
            </w:pPr>
            <w:r>
              <w:rPr>
                <w:rFonts w:ascii="Arial" w:cs="Arial" w:eastAsia="Arial" w:hAnsi="Arial"/>
                <w:sz w:val="18"/>
                <w:szCs w:val="18"/>
                <w:color w:val="auto"/>
                <w:w w:val="95"/>
              </w:rPr>
              <w:t>4.3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6"/>
          </w:tcPr>
          <w:p>
            <w:pPr>
              <w:spacing w:after="0"/>
              <w:rPr>
                <w:rFonts w:ascii="Arial" w:cs="Arial" w:eastAsia="Arial" w:hAnsi="Arial"/>
                <w:sz w:val="18"/>
                <w:szCs w:val="18"/>
                <w:color w:val="0000FF"/>
              </w:rPr>
            </w:pPr>
            <w:hyperlink r:id="rId192">
              <w:r>
                <w:rPr>
                  <w:rFonts w:ascii="Arial" w:cs="Arial" w:eastAsia="Arial" w:hAnsi="Arial"/>
                  <w:sz w:val="18"/>
                  <w:szCs w:val="18"/>
                  <w:color w:val="0000FF"/>
                </w:rPr>
                <w:t>Form of 1.375% Senior Note due 2026 (included as Exhibit A to Exhibit 4.1 above).</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4"/>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Arial" w:cs="Arial" w:eastAsia="Arial" w:hAnsi="Arial"/>
                <w:sz w:val="18"/>
                <w:szCs w:val="18"/>
                <w:color w:val="auto"/>
                <w:w w:val="95"/>
              </w:rPr>
              <w:t>4.4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6"/>
          </w:tcPr>
          <w:p>
            <w:pPr>
              <w:spacing w:after="0"/>
              <w:rPr>
                <w:rFonts w:ascii="Arial" w:cs="Arial" w:eastAsia="Arial" w:hAnsi="Arial"/>
                <w:sz w:val="18"/>
                <w:szCs w:val="18"/>
                <w:color w:val="0000EE"/>
                <w:w w:val="94"/>
              </w:rPr>
            </w:pPr>
            <w:hyperlink r:id="rId193">
              <w:r>
                <w:rPr>
                  <w:rFonts w:ascii="Arial" w:cs="Arial" w:eastAsia="Arial" w:hAnsi="Arial"/>
                  <w:sz w:val="18"/>
                  <w:szCs w:val="18"/>
                  <w:color w:val="0000EE"/>
                  <w:w w:val="94"/>
                </w:rPr>
                <w:t>Indenture, dated March 18, 2019, between the Company and U.S. Bank National Association, as trustee (filed as Exhibit 4.1 to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Company's Current Report on Form 8-K filed on March 18, 2019 and incorporated by reference herein)</w:t>
              </w:r>
            </w:hyperlink>
          </w:p>
        </w:tc>
        <w:tc>
          <w:tcPr>
            <w:tcW w:w="460" w:type="dxa"/>
            <w:vAlign w:val="bottom"/>
            <w:gridSpan w:val="7"/>
          </w:tcPr>
          <w:p>
            <w:pPr>
              <w:spacing w:after="0"/>
              <w:rPr>
                <w:sz w:val="17"/>
                <w:szCs w:val="17"/>
                <w:color w:val="auto"/>
              </w:rPr>
            </w:pPr>
          </w:p>
        </w:tc>
      </w:tr>
      <w:tr>
        <w:trPr>
          <w:trHeight w:val="425"/>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tcBorders>
              <w:top w:val="single" w:sz="8" w:color="0000EE"/>
            </w:tcBorders>
            <w:gridSpan w:val="3"/>
          </w:tcPr>
          <w:p>
            <w:pPr>
              <w:ind w:left="4100"/>
              <w:spacing w:after="0"/>
              <w:rPr>
                <w:sz w:val="20"/>
                <w:szCs w:val="20"/>
                <w:color w:val="auto"/>
              </w:rPr>
            </w:pPr>
            <w:r>
              <w:rPr>
                <w:rFonts w:ascii="Arial" w:cs="Arial" w:eastAsia="Arial" w:hAnsi="Arial"/>
                <w:sz w:val="18"/>
                <w:szCs w:val="18"/>
                <w:color w:val="auto"/>
              </w:rPr>
              <w:t>102</w:t>
            </w:r>
          </w:p>
        </w:tc>
        <w:tc>
          <w:tcPr>
            <w:tcW w:w="20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4.5</w:t>
            </w:r>
          </w:p>
        </w:tc>
        <w:tc>
          <w:tcPr>
            <w:tcW w:w="6840" w:type="dxa"/>
            <w:vAlign w:val="bottom"/>
            <w:tcBorders>
              <w:bottom w:val="single" w:sz="8" w:color="0000FF"/>
            </w:tcBorders>
            <w:gridSpan w:val="7"/>
          </w:tcPr>
          <w:p>
            <w:pPr>
              <w:spacing w:after="0"/>
              <w:rPr>
                <w:rFonts w:ascii="Arial" w:cs="Arial" w:eastAsia="Arial" w:hAnsi="Arial"/>
                <w:sz w:val="18"/>
                <w:szCs w:val="18"/>
                <w:color w:val="0000FF"/>
                <w:w w:val="91"/>
              </w:rPr>
            </w:pPr>
            <w:hyperlink r:id="rId193">
              <w:r>
                <w:rPr>
                  <w:rFonts w:ascii="Arial" w:cs="Arial" w:eastAsia="Arial" w:hAnsi="Arial"/>
                  <w:sz w:val="18"/>
                  <w:szCs w:val="18"/>
                  <w:color w:val="0000FF"/>
                  <w:w w:val="91"/>
                </w:rPr>
                <w:t>Form of 0.75% Convertible Senior Note due 2049 (included as Exhibit A to Exhibit 4.4 above)</w:t>
              </w:r>
            </w:hyperlink>
          </w:p>
        </w:tc>
        <w:tc>
          <w:tcPr>
            <w:tcW w:w="3040" w:type="dxa"/>
            <w:vAlign w:val="bottom"/>
            <w:gridSpan w:val="23"/>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4.6</w:t>
            </w:r>
          </w:p>
        </w:tc>
        <w:tc>
          <w:tcPr>
            <w:tcW w:w="9700" w:type="dxa"/>
            <w:vAlign w:val="bottom"/>
            <w:tcBorders>
              <w:bottom w:val="single" w:sz="8" w:color="0000EE"/>
            </w:tcBorders>
            <w:gridSpan w:val="24"/>
          </w:tcPr>
          <w:p>
            <w:pPr>
              <w:spacing w:after="0"/>
              <w:rPr>
                <w:rFonts w:ascii="Arial" w:cs="Arial" w:eastAsia="Arial" w:hAnsi="Arial"/>
                <w:sz w:val="18"/>
                <w:szCs w:val="18"/>
                <w:color w:val="0000EE"/>
                <w:w w:val="91"/>
              </w:rPr>
            </w:pPr>
            <w:hyperlink r:id="rId196">
              <w:r>
                <w:rPr>
                  <w:rFonts w:ascii="Arial" w:cs="Arial" w:eastAsia="Arial" w:hAnsi="Arial"/>
                  <w:sz w:val="18"/>
                  <w:szCs w:val="18"/>
                  <w:color w:val="0000EE"/>
                  <w:w w:val="91"/>
                </w:rPr>
                <w:t>Description of Securities (filed as Exhibit 4.6 to the Company's Annual Report on Form 10-K filed on March 3, 2020 and incorporated</w:t>
              </w:r>
            </w:hyperlink>
          </w:p>
        </w:tc>
        <w:tc>
          <w:tcPr>
            <w:tcW w:w="18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96">
              <w:r>
                <w:rPr>
                  <w:rFonts w:ascii="Arial" w:cs="Arial" w:eastAsia="Arial" w:hAnsi="Arial"/>
                  <w:sz w:val="18"/>
                  <w:szCs w:val="18"/>
                  <w:color w:val="0000EE"/>
                  <w:w w:val="88"/>
                </w:rPr>
                <w:t>herein by reference.</w:t>
              </w:r>
            </w:hyperlink>
          </w:p>
        </w:tc>
        <w:tc>
          <w:tcPr>
            <w:tcW w:w="8440" w:type="dxa"/>
            <w:vAlign w:val="bottom"/>
            <w:gridSpan w:val="29"/>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9700" w:type="dxa"/>
            <w:vAlign w:val="bottom"/>
            <w:tcBorders>
              <w:bottom w:val="single" w:sz="8" w:color="0000FF"/>
            </w:tcBorders>
            <w:gridSpan w:val="24"/>
          </w:tcPr>
          <w:p>
            <w:pPr>
              <w:spacing w:after="0"/>
              <w:rPr>
                <w:rFonts w:ascii="Arial" w:cs="Arial" w:eastAsia="Arial" w:hAnsi="Arial"/>
                <w:sz w:val="18"/>
                <w:szCs w:val="18"/>
                <w:color w:val="0000FF"/>
                <w:w w:val="91"/>
              </w:rPr>
            </w:pPr>
            <w:hyperlink r:id="rId197">
              <w:r>
                <w:rPr>
                  <w:rFonts w:ascii="Arial" w:cs="Arial" w:eastAsia="Arial" w:hAnsi="Arial"/>
                  <w:sz w:val="18"/>
                  <w:szCs w:val="18"/>
                  <w:color w:val="0000FF"/>
                  <w:w w:val="91"/>
                </w:rPr>
                <w:t>Form of Employee Restricted Stock Grant Agreement pursuant to Euronet Worldwide, Inc. 2006 Stock Incentive Plan (filed as Exhibit</w:t>
              </w:r>
            </w:hyperlink>
          </w:p>
        </w:tc>
        <w:tc>
          <w:tcPr>
            <w:tcW w:w="18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7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97">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8</w:t>
              </w:r>
              <w:r>
                <w:rPr>
                  <w:rFonts w:ascii="Arial" w:cs="Arial" w:eastAsia="Arial" w:hAnsi="Arial"/>
                  <w:sz w:val="18"/>
                  <w:szCs w:val="18"/>
                  <w:color w:val="0000FF"/>
                  <w:w w:val="90"/>
                </w:rPr>
                <w:t xml:space="preserve"> to the Company's Quarterly Report on Form 10-Q filed on August 4, 2006, and incorporated by reference herein) (2)</w:t>
              </w:r>
            </w:hyperlink>
          </w:p>
        </w:tc>
        <w:tc>
          <w:tcPr>
            <w:tcW w:w="1120" w:type="dxa"/>
            <w:vAlign w:val="bottom"/>
            <w:gridSpan w:val="20"/>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10.2</w:t>
            </w:r>
          </w:p>
        </w:tc>
        <w:tc>
          <w:tcPr>
            <w:tcW w:w="9440" w:type="dxa"/>
            <w:vAlign w:val="bottom"/>
            <w:tcBorders>
              <w:bottom w:val="single" w:sz="8" w:color="0000FF"/>
            </w:tcBorders>
            <w:gridSpan w:val="16"/>
          </w:tcPr>
          <w:p>
            <w:pPr>
              <w:spacing w:after="0"/>
              <w:rPr>
                <w:rFonts w:ascii="Arial" w:cs="Arial" w:eastAsia="Arial" w:hAnsi="Arial"/>
                <w:sz w:val="18"/>
                <w:szCs w:val="18"/>
                <w:color w:val="0000FF"/>
                <w:w w:val="91"/>
              </w:rPr>
            </w:pPr>
            <w:hyperlink r:id="rId198">
              <w:r>
                <w:rPr>
                  <w:rFonts w:ascii="Arial" w:cs="Arial" w:eastAsia="Arial" w:hAnsi="Arial"/>
                  <w:sz w:val="18"/>
                  <w:szCs w:val="18"/>
                  <w:color w:val="0000FF"/>
                  <w:w w:val="91"/>
                </w:rPr>
                <w:t>Form of Employee Restricted Stock Unit Agreement for Executives and Directors pursuant to Euronet Worldwide, Inc. 2006 Stock</w:t>
              </w:r>
            </w:hyperlink>
          </w:p>
        </w:tc>
        <w:tc>
          <w:tcPr>
            <w:tcW w:w="440" w:type="dxa"/>
            <w:vAlign w:val="bottom"/>
            <w:gridSpan w:val="1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0"/>
          </w:tcPr>
          <w:p>
            <w:pPr>
              <w:spacing w:after="0" w:line="196" w:lineRule="exact"/>
              <w:rPr>
                <w:rFonts w:ascii="Arial" w:cs="Arial" w:eastAsia="Arial" w:hAnsi="Arial"/>
                <w:sz w:val="18"/>
                <w:szCs w:val="18"/>
                <w:color w:val="0000FF"/>
                <w:w w:val="95"/>
              </w:rPr>
            </w:pPr>
            <w:hyperlink r:id="rId198">
              <w:r>
                <w:rPr>
                  <w:rFonts w:ascii="Arial" w:cs="Arial" w:eastAsia="Arial" w:hAnsi="Arial"/>
                  <w:sz w:val="18"/>
                  <w:szCs w:val="18"/>
                  <w:color w:val="0000FF"/>
                  <w:w w:val="95"/>
                </w:rPr>
                <w:t>Incentive Plan (filed as Exhibit 10.39 to the Company's Annual Report on Form 10- K filed February 28, 2007, and incorporated by</w:t>
              </w:r>
            </w:hyperlink>
          </w:p>
        </w:tc>
      </w:tr>
      <w:tr>
        <w:trPr>
          <w:trHeight w:val="196"/>
        </w:trPr>
        <w:tc>
          <w:tcPr>
            <w:tcW w:w="136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198">
              <w:r>
                <w:rPr>
                  <w:rFonts w:ascii="Arial" w:cs="Arial" w:eastAsia="Arial" w:hAnsi="Arial"/>
                  <w:sz w:val="18"/>
                  <w:szCs w:val="18"/>
                  <w:color w:val="0000FF"/>
                  <w:w w:val="88"/>
                </w:rPr>
                <w:t>reference herein) (2)</w:t>
              </w:r>
            </w:hyperlink>
          </w:p>
        </w:tc>
        <w:tc>
          <w:tcPr>
            <w:tcW w:w="8000" w:type="dxa"/>
            <w:vAlign w:val="bottom"/>
            <w:tcBorders>
              <w:top w:val="single" w:sz="8" w:color="0000FF"/>
            </w:tcBorders>
            <w:gridSpan w:val="16"/>
          </w:tcPr>
          <w:p>
            <w:pPr>
              <w:spacing w:after="0"/>
              <w:rPr>
                <w:sz w:val="17"/>
                <w:szCs w:val="17"/>
                <w:color w:val="auto"/>
              </w:rPr>
            </w:pPr>
          </w:p>
        </w:tc>
        <w:tc>
          <w:tcPr>
            <w:tcW w:w="400" w:type="dxa"/>
            <w:vAlign w:val="bottom"/>
            <w:gridSpan w:val="12"/>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10.3</w:t>
            </w:r>
          </w:p>
        </w:tc>
        <w:tc>
          <w:tcPr>
            <w:tcW w:w="9580" w:type="dxa"/>
            <w:vAlign w:val="bottom"/>
            <w:tcBorders>
              <w:bottom w:val="single" w:sz="8" w:color="0000FF"/>
            </w:tcBorders>
            <w:gridSpan w:val="19"/>
          </w:tcPr>
          <w:p>
            <w:pPr>
              <w:spacing w:after="0"/>
              <w:rPr>
                <w:rFonts w:ascii="Arial" w:cs="Arial" w:eastAsia="Arial" w:hAnsi="Arial"/>
                <w:sz w:val="18"/>
                <w:szCs w:val="18"/>
                <w:color w:val="0000FF"/>
                <w:w w:val="90"/>
              </w:rPr>
            </w:pPr>
            <w:hyperlink r:id="rId199">
              <w:r>
                <w:rPr>
                  <w:rFonts w:ascii="Arial" w:cs="Arial" w:eastAsia="Arial" w:hAnsi="Arial"/>
                  <w:sz w:val="18"/>
                  <w:szCs w:val="18"/>
                  <w:color w:val="0000FF"/>
                  <w:w w:val="90"/>
                </w:rPr>
                <w:t>Employment Agreement dated June 19, 2007 between Euronet Worldwide, Inc. and Kevin J. Caponecchi (filed as Exhibit 10.1 to the</w:t>
              </w:r>
            </w:hyperlink>
          </w:p>
        </w:tc>
        <w:tc>
          <w:tcPr>
            <w:tcW w:w="300" w:type="dxa"/>
            <w:vAlign w:val="bottom"/>
            <w:gridSpan w:val="11"/>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62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199">
              <w:r>
                <w:rPr>
                  <w:rFonts w:ascii="Arial" w:cs="Arial" w:eastAsia="Arial" w:hAnsi="Arial"/>
                  <w:sz w:val="18"/>
                  <w:szCs w:val="18"/>
                  <w:color w:val="0000FF"/>
                  <w:w w:val="90"/>
                </w:rPr>
                <w:t>Company's Current Report on Form 8-K filed on June 25, 2007, and incorporated by reference herein) (2)</w:t>
              </w:r>
            </w:hyperlink>
          </w:p>
        </w:tc>
        <w:tc>
          <w:tcPr>
            <w:tcW w:w="2260" w:type="dxa"/>
            <w:vAlign w:val="bottom"/>
            <w:gridSpan w:val="21"/>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9880" w:type="dxa"/>
            <w:vAlign w:val="bottom"/>
            <w:gridSpan w:val="30"/>
          </w:tcPr>
          <w:p>
            <w:pPr>
              <w:spacing w:after="0"/>
              <w:rPr>
                <w:rFonts w:ascii="Arial" w:cs="Arial" w:eastAsia="Arial" w:hAnsi="Arial"/>
                <w:sz w:val="18"/>
                <w:szCs w:val="18"/>
                <w:color w:val="0000FF"/>
                <w:w w:val="98"/>
              </w:rPr>
            </w:pPr>
            <w:hyperlink r:id="rId200">
              <w:r>
                <w:rPr>
                  <w:rFonts w:ascii="Arial" w:cs="Arial" w:eastAsia="Arial" w:hAnsi="Arial"/>
                  <w:sz w:val="18"/>
                  <w:szCs w:val="18"/>
                  <w:color w:val="0000FF"/>
                  <w:w w:val="98"/>
                </w:rPr>
                <w:t>Amended and Restated Employment Agreement dated April 10, 2008 between Euronet Worldwide, Inc. and Michael J. Brown,</w:t>
              </w:r>
            </w:hyperlink>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60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200">
              <w:r>
                <w:rPr>
                  <w:rFonts w:ascii="Arial" w:cs="Arial" w:eastAsia="Arial" w:hAnsi="Arial"/>
                  <w:sz w:val="18"/>
                  <w:szCs w:val="18"/>
                  <w:color w:val="0000FF"/>
                  <w:w w:val="92"/>
                </w:rPr>
                <w:t>Chairman and Chief Executive Officer (filed as Exhibit 10.3 to the Company's Quarterly Report on Form 10-Q filed on May 9, 2008,</w:t>
              </w:r>
            </w:hyperlink>
          </w:p>
        </w:tc>
        <w:tc>
          <w:tcPr>
            <w:tcW w:w="28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0"/>
          </w:tcPr>
          <w:p>
            <w:pPr>
              <w:spacing w:after="0" w:line="196" w:lineRule="exact"/>
              <w:rPr>
                <w:rFonts w:ascii="Arial" w:cs="Arial" w:eastAsia="Arial" w:hAnsi="Arial"/>
                <w:sz w:val="18"/>
                <w:szCs w:val="18"/>
                <w:color w:val="0000FF"/>
              </w:rPr>
            </w:pPr>
            <w:hyperlink r:id="rId200">
              <w:r>
                <w:rPr>
                  <w:rFonts w:ascii="Arial" w:cs="Arial" w:eastAsia="Arial" w:hAnsi="Arial"/>
                  <w:sz w:val="18"/>
                  <w:szCs w:val="18"/>
                  <w:color w:val="0000FF"/>
                </w:rPr>
                <w:t>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10.5</w:t>
            </w:r>
          </w:p>
        </w:tc>
        <w:tc>
          <w:tcPr>
            <w:tcW w:w="9700" w:type="dxa"/>
            <w:vAlign w:val="bottom"/>
            <w:tcBorders>
              <w:bottom w:val="single" w:sz="8" w:color="0000FF"/>
            </w:tcBorders>
            <w:gridSpan w:val="23"/>
          </w:tcPr>
          <w:p>
            <w:pPr>
              <w:spacing w:after="0"/>
              <w:rPr>
                <w:rFonts w:ascii="Arial" w:cs="Arial" w:eastAsia="Arial" w:hAnsi="Arial"/>
                <w:sz w:val="18"/>
                <w:szCs w:val="18"/>
                <w:color w:val="0000FF"/>
                <w:w w:val="91"/>
              </w:rPr>
            </w:pPr>
            <w:hyperlink r:id="rId201">
              <w:r>
                <w:rPr>
                  <w:rFonts w:ascii="Arial" w:cs="Arial" w:eastAsia="Arial" w:hAnsi="Arial"/>
                  <w:sz w:val="18"/>
                  <w:szCs w:val="18"/>
                  <w:color w:val="0000FF"/>
                  <w:w w:val="91"/>
                </w:rPr>
                <w:t>Amended and Restated Employment Agreement dated April 10, 2008 between Euronet Worldwide, Inc. and Rick L. Weller, Executive</w:t>
              </w:r>
            </w:hyperlink>
          </w:p>
        </w:tc>
        <w:tc>
          <w:tcPr>
            <w:tcW w:w="18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201">
              <w:r>
                <w:rPr>
                  <w:rFonts w:ascii="Arial" w:cs="Arial" w:eastAsia="Arial" w:hAnsi="Arial"/>
                  <w:sz w:val="18"/>
                  <w:szCs w:val="18"/>
                  <w:color w:val="0000FF"/>
                  <w:w w:val="91"/>
                </w:rPr>
                <w:t>Vice President and Chief Financial Officer (filed as Exhibit 10.4 to the Company's Quarterly Report on Form 10-Q filed on May 9, 2008,</w:t>
              </w:r>
            </w:hyperlink>
          </w:p>
        </w:tc>
      </w:tr>
      <w:tr>
        <w:trPr>
          <w:trHeight w:val="196"/>
        </w:trPr>
        <w:tc>
          <w:tcPr>
            <w:tcW w:w="1360" w:type="dxa"/>
            <w:vAlign w:val="bottom"/>
          </w:tcPr>
          <w:p>
            <w:pPr>
              <w:spacing w:after="0"/>
              <w:rPr>
                <w:sz w:val="17"/>
                <w:szCs w:val="17"/>
                <w:color w:val="auto"/>
              </w:rPr>
            </w:pPr>
          </w:p>
        </w:tc>
        <w:tc>
          <w:tcPr>
            <w:tcW w:w="9880" w:type="dxa"/>
            <w:vAlign w:val="bottom"/>
            <w:gridSpan w:val="30"/>
          </w:tcPr>
          <w:p>
            <w:pPr>
              <w:spacing w:after="0" w:line="196" w:lineRule="exact"/>
              <w:rPr>
                <w:rFonts w:ascii="Arial" w:cs="Arial" w:eastAsia="Arial" w:hAnsi="Arial"/>
                <w:sz w:val="18"/>
                <w:szCs w:val="18"/>
                <w:color w:val="0000FF"/>
              </w:rPr>
            </w:pPr>
            <w:hyperlink r:id="rId201">
              <w:r>
                <w:rPr>
                  <w:rFonts w:ascii="Arial" w:cs="Arial" w:eastAsia="Arial" w:hAnsi="Arial"/>
                  <w:sz w:val="18"/>
                  <w:szCs w:val="18"/>
                  <w:color w:val="0000FF"/>
                </w:rPr>
                <w:t>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10.6</w:t>
            </w:r>
          </w:p>
        </w:tc>
        <w:tc>
          <w:tcPr>
            <w:tcW w:w="9800" w:type="dxa"/>
            <w:vAlign w:val="bottom"/>
            <w:tcBorders>
              <w:bottom w:val="single" w:sz="8" w:color="0000FF"/>
            </w:tcBorders>
            <w:gridSpan w:val="28"/>
          </w:tcPr>
          <w:p>
            <w:pPr>
              <w:spacing w:after="0"/>
              <w:rPr>
                <w:rFonts w:ascii="Arial" w:cs="Arial" w:eastAsia="Arial" w:hAnsi="Arial"/>
                <w:sz w:val="18"/>
                <w:szCs w:val="18"/>
                <w:color w:val="0000FF"/>
                <w:w w:val="90"/>
              </w:rPr>
            </w:pPr>
            <w:hyperlink r:id="rId202">
              <w:r>
                <w:rPr>
                  <w:rFonts w:ascii="Arial" w:cs="Arial" w:eastAsia="Arial" w:hAnsi="Arial"/>
                  <w:sz w:val="18"/>
                  <w:szCs w:val="18"/>
                  <w:color w:val="0000FF"/>
                  <w:w w:val="90"/>
                </w:rPr>
                <w:t>Amended and Restated Employment Agreement dated April 10, 2008 between Euronet Worldwide, Inc. and Juan C. Bianchi, Executive</w:t>
              </w:r>
            </w:hyperlink>
          </w:p>
        </w:tc>
        <w:tc>
          <w:tcPr>
            <w:tcW w:w="8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76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202">
              <w:r>
                <w:rPr>
                  <w:rFonts w:ascii="Arial" w:cs="Arial" w:eastAsia="Arial" w:hAnsi="Arial"/>
                  <w:sz w:val="18"/>
                  <w:szCs w:val="18"/>
                  <w:color w:val="0000FF"/>
                  <w:w w:val="91"/>
                </w:rPr>
                <w:t>Vice President and Managing Director, Money Transfer Segment (filed as Exhibit 10.6 to the Company's Quarterly Report on Form 10-</w:t>
              </w:r>
            </w:hyperlink>
          </w:p>
        </w:tc>
        <w:tc>
          <w:tcPr>
            <w:tcW w:w="12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7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202">
              <w:r>
                <w:rPr>
                  <w:rFonts w:ascii="Arial" w:cs="Arial" w:eastAsia="Arial" w:hAnsi="Arial"/>
                  <w:sz w:val="18"/>
                  <w:szCs w:val="18"/>
                  <w:color w:val="0000FF"/>
                  <w:w w:val="90"/>
                </w:rPr>
                <w:t>Q filed on May 9, 2008, and incorporated by reference herein) (2)</w:t>
              </w:r>
            </w:hyperlink>
          </w:p>
        </w:tc>
        <w:tc>
          <w:tcPr>
            <w:tcW w:w="5140" w:type="dxa"/>
            <w:vAlign w:val="bottom"/>
            <w:gridSpan w:val="25"/>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10.7</w:t>
            </w:r>
          </w:p>
        </w:tc>
        <w:tc>
          <w:tcPr>
            <w:tcW w:w="9880" w:type="dxa"/>
            <w:vAlign w:val="bottom"/>
            <w:gridSpan w:val="30"/>
          </w:tcPr>
          <w:p>
            <w:pPr>
              <w:spacing w:after="0"/>
              <w:rPr>
                <w:rFonts w:ascii="Arial" w:cs="Arial" w:eastAsia="Arial" w:hAnsi="Arial"/>
                <w:sz w:val="18"/>
                <w:szCs w:val="18"/>
                <w:color w:val="0000FF"/>
                <w:w w:val="93"/>
              </w:rPr>
            </w:pPr>
            <w:hyperlink r:id="rId203">
              <w:r>
                <w:rPr>
                  <w:rFonts w:ascii="Arial" w:cs="Arial" w:eastAsia="Arial" w:hAnsi="Arial"/>
                  <w:sz w:val="18"/>
                  <w:szCs w:val="18"/>
                  <w:color w:val="0000FF"/>
                  <w:w w:val="93"/>
                </w:rPr>
                <w:t>Form of Indemnification Agreement, (filed as Exhibit 10.1 to the Company's Current Report on Form 8-K filed on December 22, 2008,</w:t>
              </w:r>
            </w:hyperlink>
          </w:p>
        </w:tc>
      </w:tr>
      <w:tr>
        <w:trPr>
          <w:trHeight w:val="196"/>
        </w:trPr>
        <w:tc>
          <w:tcPr>
            <w:tcW w:w="1360" w:type="dxa"/>
            <w:vAlign w:val="bottom"/>
          </w:tcPr>
          <w:p>
            <w:pPr>
              <w:spacing w:after="0"/>
              <w:rPr>
                <w:sz w:val="17"/>
                <w:szCs w:val="17"/>
                <w:color w:val="auto"/>
              </w:rPr>
            </w:pPr>
          </w:p>
        </w:tc>
        <w:tc>
          <w:tcPr>
            <w:tcW w:w="974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203">
              <w:r>
                <w:rPr>
                  <w:rFonts w:ascii="Arial" w:cs="Arial" w:eastAsia="Arial" w:hAnsi="Arial"/>
                  <w:sz w:val="18"/>
                  <w:szCs w:val="18"/>
                  <w:color w:val="0000FF"/>
                </w:rPr>
                <w:t>and incorporated by reference herein)</w:t>
              </w:r>
            </w:hyperlink>
          </w:p>
        </w:tc>
        <w:tc>
          <w:tcPr>
            <w:tcW w:w="140" w:type="dxa"/>
            <w:vAlign w:val="bottom"/>
            <w:gridSpan w:val="5"/>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3"/>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10.8</w:t>
            </w:r>
          </w:p>
        </w:tc>
        <w:tc>
          <w:tcPr>
            <w:tcW w:w="9660" w:type="dxa"/>
            <w:vAlign w:val="bottom"/>
            <w:tcBorders>
              <w:bottom w:val="single" w:sz="8" w:color="0000EE"/>
            </w:tcBorders>
            <w:gridSpan w:val="22"/>
          </w:tcPr>
          <w:p>
            <w:pPr>
              <w:spacing w:after="0"/>
              <w:rPr>
                <w:rFonts w:ascii="Arial" w:cs="Arial" w:eastAsia="Arial" w:hAnsi="Arial"/>
                <w:sz w:val="18"/>
                <w:szCs w:val="18"/>
                <w:color w:val="0000EE"/>
                <w:w w:val="91"/>
              </w:rPr>
            </w:pPr>
            <w:hyperlink r:id="rId204">
              <w:r>
                <w:rPr>
                  <w:rFonts w:ascii="Arial" w:cs="Arial" w:eastAsia="Arial" w:hAnsi="Arial"/>
                  <w:sz w:val="18"/>
                  <w:szCs w:val="18"/>
                  <w:color w:val="0000EE"/>
                  <w:w w:val="91"/>
                </w:rPr>
                <w:t>Euronet Worldwide, Inc. 2006 Stock Incentive Plan, as amended and restated (filed as Appendix B to the Company's Definitive Proxy</w:t>
              </w:r>
            </w:hyperlink>
          </w:p>
        </w:tc>
        <w:tc>
          <w:tcPr>
            <w:tcW w:w="22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3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Statement filed on April 4, 2021, and incorporated by reference herein) (2)</w:t>
              </w:r>
            </w:hyperlink>
          </w:p>
        </w:tc>
        <w:tc>
          <w:tcPr>
            <w:tcW w:w="4500" w:type="dxa"/>
            <w:vAlign w:val="bottom"/>
            <w:gridSpan w:val="24"/>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10.9</w:t>
            </w:r>
          </w:p>
        </w:tc>
        <w:tc>
          <w:tcPr>
            <w:tcW w:w="9820" w:type="dxa"/>
            <w:vAlign w:val="bottom"/>
            <w:tcBorders>
              <w:bottom w:val="single" w:sz="8" w:color="0000FF"/>
            </w:tcBorders>
            <w:gridSpan w:val="29"/>
          </w:tcPr>
          <w:p>
            <w:pPr>
              <w:spacing w:after="0"/>
              <w:rPr>
                <w:rFonts w:ascii="Arial" w:cs="Arial" w:eastAsia="Arial" w:hAnsi="Arial"/>
                <w:sz w:val="18"/>
                <w:szCs w:val="18"/>
                <w:color w:val="0000FF"/>
                <w:w w:val="91"/>
              </w:rPr>
            </w:pPr>
            <w:hyperlink r:id="rId205">
              <w:r>
                <w:rPr>
                  <w:rFonts w:ascii="Arial" w:cs="Arial" w:eastAsia="Arial" w:hAnsi="Arial"/>
                  <w:sz w:val="18"/>
                  <w:szCs w:val="18"/>
                  <w:color w:val="0000FF"/>
                  <w:w w:val="91"/>
                </w:rPr>
                <w:t>Form of Employee Restricted Stock Unit Agreement, as amended, pursuant to Euronet Worldwide, Inc. 2006 Stock Incentive Plan (filed</w:t>
              </w:r>
            </w:hyperlink>
          </w:p>
        </w:tc>
        <w:tc>
          <w:tcPr>
            <w:tcW w:w="6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30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205">
              <w:r>
                <w:rPr>
                  <w:rFonts w:ascii="Arial" w:cs="Arial" w:eastAsia="Arial" w:hAnsi="Arial"/>
                  <w:sz w:val="18"/>
                  <w:szCs w:val="18"/>
                  <w:color w:val="0000FF"/>
                  <w:w w:val="91"/>
                </w:rPr>
                <w:t>as Exhibit 10.1 to the Company's Quarterly Report on Form 10-Q filed on May 7, 2010 and incorporated by reference herein) (2)</w:t>
              </w:r>
            </w:hyperlink>
          </w:p>
        </w:tc>
        <w:tc>
          <w:tcPr>
            <w:tcW w:w="580" w:type="dxa"/>
            <w:vAlign w:val="bottom"/>
            <w:gridSpan w:val="16"/>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10.10</w:t>
            </w:r>
          </w:p>
        </w:tc>
        <w:tc>
          <w:tcPr>
            <w:tcW w:w="9640" w:type="dxa"/>
            <w:vAlign w:val="bottom"/>
            <w:tcBorders>
              <w:bottom w:val="single" w:sz="8" w:color="0000FF"/>
            </w:tcBorders>
            <w:gridSpan w:val="21"/>
          </w:tcPr>
          <w:p>
            <w:pPr>
              <w:spacing w:after="0"/>
              <w:rPr>
                <w:rFonts w:ascii="Arial" w:cs="Arial" w:eastAsia="Arial" w:hAnsi="Arial"/>
                <w:sz w:val="18"/>
                <w:szCs w:val="18"/>
                <w:color w:val="0000FF"/>
                <w:w w:val="91"/>
              </w:rPr>
            </w:pPr>
            <w:hyperlink r:id="rId206">
              <w:r>
                <w:rPr>
                  <w:rFonts w:ascii="Arial" w:cs="Arial" w:eastAsia="Arial" w:hAnsi="Arial"/>
                  <w:sz w:val="18"/>
                  <w:szCs w:val="18"/>
                  <w:color w:val="0000FF"/>
                  <w:w w:val="91"/>
                </w:rPr>
                <w:t>Form of Nonqualified Stock Option Agreement, as amended, pursuant to Euronet Worldwide, Inc. 2006 Stock Incentive Plan (filed as</w:t>
              </w:r>
            </w:hyperlink>
          </w:p>
        </w:tc>
        <w:tc>
          <w:tcPr>
            <w:tcW w:w="240" w:type="dxa"/>
            <w:vAlign w:val="bottom"/>
            <w:gridSpan w:val="9"/>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10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206">
              <w:r>
                <w:rPr>
                  <w:rFonts w:ascii="Arial" w:cs="Arial" w:eastAsia="Arial" w:hAnsi="Arial"/>
                  <w:sz w:val="18"/>
                  <w:szCs w:val="18"/>
                  <w:color w:val="0000FF"/>
                  <w:w w:val="91"/>
                </w:rPr>
                <w:t>Exhibit 10.2 to the Company's Quarterly Report on Form 10-Q filed on May 7, 2010 and incorporated by reference herein) (2)</w:t>
              </w:r>
            </w:hyperlink>
          </w:p>
        </w:tc>
        <w:tc>
          <w:tcPr>
            <w:tcW w:w="780" w:type="dxa"/>
            <w:vAlign w:val="bottom"/>
            <w:gridSpan w:val="19"/>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10.11.1</w:t>
            </w:r>
          </w:p>
        </w:tc>
        <w:tc>
          <w:tcPr>
            <w:tcW w:w="9880" w:type="dxa"/>
            <w:vAlign w:val="bottom"/>
            <w:gridSpan w:val="30"/>
          </w:tcPr>
          <w:p>
            <w:pPr>
              <w:spacing w:after="0"/>
              <w:rPr>
                <w:rFonts w:ascii="Arial" w:cs="Arial" w:eastAsia="Arial" w:hAnsi="Arial"/>
                <w:sz w:val="18"/>
                <w:szCs w:val="18"/>
                <w:color w:val="0000FF"/>
                <w:w w:val="98"/>
              </w:rPr>
            </w:pPr>
            <w:hyperlink r:id="rId207">
              <w:r>
                <w:rPr>
                  <w:rFonts w:ascii="Arial" w:cs="Arial" w:eastAsia="Arial" w:hAnsi="Arial"/>
                  <w:sz w:val="18"/>
                  <w:szCs w:val="18"/>
                  <w:color w:val="0000FF"/>
                  <w:w w:val="98"/>
                </w:rPr>
                <w:t>Employment Agreement dated May 21, 2018 between Euronet Worldwide, Inc. and Nikos Fountas (filed as Exhibit 10.1 to the</w:t>
              </w:r>
            </w:hyperlink>
          </w:p>
        </w:tc>
      </w:tr>
      <w:tr>
        <w:trPr>
          <w:trHeight w:val="196"/>
        </w:trPr>
        <w:tc>
          <w:tcPr>
            <w:tcW w:w="1360" w:type="dxa"/>
            <w:vAlign w:val="bottom"/>
          </w:tcPr>
          <w:p>
            <w:pPr>
              <w:spacing w:after="0"/>
              <w:rPr>
                <w:sz w:val="17"/>
                <w:szCs w:val="17"/>
                <w:color w:val="auto"/>
              </w:rPr>
            </w:pPr>
          </w:p>
        </w:tc>
        <w:tc>
          <w:tcPr>
            <w:tcW w:w="75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207">
              <w:r>
                <w:rPr>
                  <w:rFonts w:ascii="Arial" w:cs="Arial" w:eastAsia="Arial" w:hAnsi="Arial"/>
                  <w:sz w:val="18"/>
                  <w:szCs w:val="18"/>
                  <w:color w:val="0000FF"/>
                  <w:w w:val="91"/>
                </w:rPr>
                <w:t>Company's Current Report on Form 8-K filed on May 23, 2018 and incorporated by reference herein) (2)</w:t>
              </w:r>
            </w:hyperlink>
          </w:p>
        </w:tc>
        <w:tc>
          <w:tcPr>
            <w:tcW w:w="1580" w:type="dxa"/>
            <w:vAlign w:val="bottom"/>
            <w:tcBorders>
              <w:top w:val="single" w:sz="8" w:color="0000FF"/>
            </w:tcBorders>
            <w:gridSpan w:val="4"/>
          </w:tcPr>
          <w:p>
            <w:pPr>
              <w:spacing w:after="0"/>
              <w:rPr>
                <w:sz w:val="17"/>
                <w:szCs w:val="17"/>
                <w:color w:val="auto"/>
              </w:rPr>
            </w:pPr>
          </w:p>
        </w:tc>
        <w:tc>
          <w:tcPr>
            <w:tcW w:w="720" w:type="dxa"/>
            <w:vAlign w:val="bottom"/>
            <w:gridSpan w:val="18"/>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10.11.2</w:t>
            </w:r>
          </w:p>
        </w:tc>
        <w:tc>
          <w:tcPr>
            <w:tcW w:w="9360" w:type="dxa"/>
            <w:vAlign w:val="bottom"/>
            <w:tcBorders>
              <w:bottom w:val="single" w:sz="8" w:color="0000FF"/>
            </w:tcBorders>
            <w:gridSpan w:val="15"/>
          </w:tcPr>
          <w:p>
            <w:pPr>
              <w:spacing w:after="0"/>
              <w:rPr>
                <w:rFonts w:ascii="Arial" w:cs="Arial" w:eastAsia="Arial" w:hAnsi="Arial"/>
                <w:sz w:val="18"/>
                <w:szCs w:val="18"/>
                <w:color w:val="0000FF"/>
                <w:w w:val="90"/>
              </w:rPr>
            </w:pPr>
            <w:hyperlink r:id="rId208">
              <w:r>
                <w:rPr>
                  <w:rFonts w:ascii="Arial" w:cs="Arial" w:eastAsia="Arial" w:hAnsi="Arial"/>
                  <w:sz w:val="18"/>
                  <w:szCs w:val="18"/>
                  <w:color w:val="0000FF"/>
                  <w:w w:val="90"/>
                </w:rPr>
                <w:t>Deed of Amendment to the Service Agreement dated May 21, 2018 between Euronet Worldwide, Inc. and Nikos Fountas (filed as</w:t>
              </w:r>
            </w:hyperlink>
          </w:p>
        </w:tc>
        <w:tc>
          <w:tcPr>
            <w:tcW w:w="520" w:type="dxa"/>
            <w:vAlign w:val="bottom"/>
            <w:gridSpan w:val="1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0"/>
          </w:tcPr>
          <w:p>
            <w:pPr>
              <w:spacing w:after="0" w:line="196" w:lineRule="exact"/>
              <w:rPr>
                <w:rFonts w:ascii="Arial" w:cs="Arial" w:eastAsia="Arial" w:hAnsi="Arial"/>
                <w:sz w:val="18"/>
                <w:szCs w:val="18"/>
                <w:color w:val="0000FF"/>
                <w:w w:val="97"/>
              </w:rPr>
            </w:pPr>
            <w:hyperlink r:id="rId208">
              <w:r>
                <w:rPr>
                  <w:rFonts w:ascii="Arial" w:cs="Arial" w:eastAsia="Arial" w:hAnsi="Arial"/>
                  <w:sz w:val="18"/>
                  <w:szCs w:val="18"/>
                  <w:color w:val="0000FF"/>
                  <w:w w:val="97"/>
                </w:rPr>
                <w:t>Exhibit 10.2 to the Company's Quarterly Report on Form 10-Q filed on August 3, 2018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3"/>
            <w:shd w:val="clear" w:color="auto" w:fill="0000FF"/>
          </w:tcPr>
          <w:p>
            <w:pPr>
              <w:spacing w:after="0" w:line="20" w:lineRule="exact"/>
              <w:rPr>
                <w:sz w:val="1"/>
                <w:szCs w:val="1"/>
                <w:color w:val="auto"/>
              </w:rPr>
            </w:pPr>
          </w:p>
        </w:tc>
        <w:tc>
          <w:tcPr>
            <w:tcW w:w="6580" w:type="dxa"/>
            <w:vAlign w:val="bottom"/>
            <w:gridSpan w:val="10"/>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10.12</w:t>
            </w:r>
          </w:p>
        </w:tc>
        <w:tc>
          <w:tcPr>
            <w:tcW w:w="9460" w:type="dxa"/>
            <w:vAlign w:val="bottom"/>
            <w:tcBorders>
              <w:bottom w:val="single" w:sz="8" w:color="0000FF"/>
            </w:tcBorders>
            <w:gridSpan w:val="17"/>
          </w:tcPr>
          <w:p>
            <w:pPr>
              <w:spacing w:after="0"/>
              <w:rPr>
                <w:rFonts w:ascii="Arial" w:cs="Arial" w:eastAsia="Arial" w:hAnsi="Arial"/>
                <w:sz w:val="18"/>
                <w:szCs w:val="18"/>
                <w:color w:val="0000FF"/>
                <w:w w:val="90"/>
              </w:rPr>
            </w:pPr>
            <w:hyperlink r:id="rId209">
              <w:r>
                <w:rPr>
                  <w:rFonts w:ascii="Arial" w:cs="Arial" w:eastAsia="Arial" w:hAnsi="Arial"/>
                  <w:sz w:val="18"/>
                  <w:szCs w:val="18"/>
                  <w:color w:val="0000FF"/>
                  <w:w w:val="90"/>
                </w:rPr>
                <w:t>Bonus Compensation Agreement between Euronet Worldwide, Inc. and Nikos Fountas, Senior Vice President - Managing Director,</w:t>
              </w:r>
            </w:hyperlink>
          </w:p>
        </w:tc>
        <w:tc>
          <w:tcPr>
            <w:tcW w:w="420" w:type="dxa"/>
            <w:vAlign w:val="bottom"/>
            <w:gridSpan w:val="1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0"/>
          </w:tcPr>
          <w:p>
            <w:pPr>
              <w:spacing w:after="0" w:line="196" w:lineRule="exact"/>
              <w:rPr>
                <w:rFonts w:ascii="Arial" w:cs="Arial" w:eastAsia="Arial" w:hAnsi="Arial"/>
                <w:sz w:val="18"/>
                <w:szCs w:val="18"/>
                <w:color w:val="0000FF"/>
                <w:w w:val="91"/>
              </w:rPr>
            </w:pPr>
            <w:hyperlink r:id="rId209">
              <w:r>
                <w:rPr>
                  <w:rFonts w:ascii="Arial" w:cs="Arial" w:eastAsia="Arial" w:hAnsi="Arial"/>
                  <w:sz w:val="18"/>
                  <w:szCs w:val="18"/>
                  <w:color w:val="0000FF"/>
                  <w:w w:val="91"/>
                </w:rPr>
                <w:t>Europe EFT Processing Segment (filed as Exhibit 10.26 to the Company's Annual Report on Form 10-K filed on February 25, 2011 and</w:t>
              </w:r>
            </w:hyperlink>
          </w:p>
        </w:tc>
      </w:tr>
      <w:tr>
        <w:trPr>
          <w:trHeight w:val="196"/>
        </w:trPr>
        <w:tc>
          <w:tcPr>
            <w:tcW w:w="136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209">
              <w:r>
                <w:rPr>
                  <w:rFonts w:ascii="Arial" w:cs="Arial" w:eastAsia="Arial" w:hAnsi="Arial"/>
                  <w:sz w:val="18"/>
                  <w:szCs w:val="18"/>
                  <w:color w:val="0000FF"/>
                  <w:w w:val="90"/>
                </w:rPr>
                <w:t>incorporated by reference herein) (2)</w:t>
              </w:r>
            </w:hyperlink>
          </w:p>
        </w:tc>
        <w:tc>
          <w:tcPr>
            <w:tcW w:w="7080" w:type="dxa"/>
            <w:vAlign w:val="bottom"/>
            <w:tcBorders>
              <w:top w:val="single" w:sz="8" w:color="0000FF"/>
            </w:tcBorders>
            <w:gridSpan w:val="24"/>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99"/>
        </w:trPr>
        <w:tc>
          <w:tcPr>
            <w:tcW w:w="1360" w:type="dxa"/>
            <w:vAlign w:val="bottom"/>
          </w:tcPr>
          <w:p>
            <w:pPr>
              <w:spacing w:after="0"/>
              <w:rPr>
                <w:sz w:val="24"/>
                <w:szCs w:val="24"/>
                <w:color w:val="auto"/>
              </w:rPr>
            </w:pPr>
          </w:p>
        </w:tc>
        <w:tc>
          <w:tcPr>
            <w:tcW w:w="4740" w:type="dxa"/>
            <w:vAlign w:val="bottom"/>
            <w:gridSpan w:val="5"/>
          </w:tcPr>
          <w:p>
            <w:pPr>
              <w:ind w:left="4120"/>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13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10.13</w:t>
            </w:r>
          </w:p>
        </w:tc>
        <w:tc>
          <w:tcPr>
            <w:tcW w:w="9720" w:type="dxa"/>
            <w:vAlign w:val="bottom"/>
            <w:tcBorders>
              <w:bottom w:val="single" w:sz="8" w:color="0000FF"/>
            </w:tcBorders>
            <w:gridSpan w:val="20"/>
          </w:tcPr>
          <w:p>
            <w:pPr>
              <w:spacing w:after="0"/>
              <w:rPr>
                <w:rFonts w:ascii="Arial" w:cs="Arial" w:eastAsia="Arial" w:hAnsi="Arial"/>
                <w:sz w:val="18"/>
                <w:szCs w:val="18"/>
                <w:color w:val="0000FF"/>
                <w:w w:val="90"/>
              </w:rPr>
            </w:pPr>
            <w:hyperlink r:id="rId212">
              <w:r>
                <w:rPr>
                  <w:rFonts w:ascii="Arial" w:cs="Arial" w:eastAsia="Arial" w:hAnsi="Arial"/>
                  <w:sz w:val="18"/>
                  <w:szCs w:val="18"/>
                  <w:color w:val="0000FF"/>
                  <w:w w:val="90"/>
                </w:rPr>
                <w:t>Euronet Worldwide, Inc. Employee Stock Purchase Plan, as amended (filed as Exhibit 10.18 to the Company's Annual Report on Form</w:t>
              </w:r>
            </w:hyperlink>
          </w:p>
        </w:tc>
        <w:tc>
          <w:tcPr>
            <w:tcW w:w="1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FF"/>
              </w:rPr>
            </w:pPr>
            <w:hyperlink r:id="rId212">
              <w:r>
                <w:rPr>
                  <w:rFonts w:ascii="Arial" w:cs="Arial" w:eastAsia="Arial" w:hAnsi="Arial"/>
                  <w:sz w:val="18"/>
                  <w:szCs w:val="18"/>
                  <w:color w:val="0000FF"/>
                </w:rPr>
                <w:t>10-K filed on February 26, 2016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10.14</w:t>
            </w:r>
          </w:p>
        </w:tc>
        <w:tc>
          <w:tcPr>
            <w:tcW w:w="9660" w:type="dxa"/>
            <w:vAlign w:val="bottom"/>
            <w:tcBorders>
              <w:bottom w:val="single" w:sz="8" w:color="0000FF"/>
            </w:tcBorders>
            <w:gridSpan w:val="19"/>
          </w:tcPr>
          <w:p>
            <w:pPr>
              <w:spacing w:after="0"/>
              <w:rPr>
                <w:rFonts w:ascii="Arial" w:cs="Arial" w:eastAsia="Arial" w:hAnsi="Arial"/>
                <w:sz w:val="18"/>
                <w:szCs w:val="18"/>
                <w:color w:val="0000FF"/>
                <w:w w:val="91"/>
              </w:rPr>
            </w:pPr>
            <w:hyperlink r:id="rId213">
              <w:r>
                <w:rPr>
                  <w:rFonts w:ascii="Arial" w:cs="Arial" w:eastAsia="Arial" w:hAnsi="Arial"/>
                  <w:sz w:val="18"/>
                  <w:szCs w:val="18"/>
                  <w:color w:val="0000FF"/>
                  <w:w w:val="91"/>
                </w:rPr>
                <w:t>Euronet Worldwide, Inc. Executive Annual Incentive Plan, as amended and restated (filed as Appendix B to the Company's Definitive</w:t>
              </w:r>
            </w:hyperlink>
          </w:p>
        </w:tc>
        <w:tc>
          <w:tcPr>
            <w:tcW w:w="22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FF"/>
              </w:rPr>
            </w:pPr>
            <w:hyperlink r:id="rId213">
              <w:r>
                <w:rPr>
                  <w:rFonts w:ascii="Arial" w:cs="Arial" w:eastAsia="Arial" w:hAnsi="Arial"/>
                  <w:sz w:val="18"/>
                  <w:szCs w:val="18"/>
                  <w:color w:val="0000FF"/>
                </w:rPr>
                <w:t>Proxy Statement on Form DEF 14A filed on April 8, 2016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10.15</w:t>
            </w:r>
          </w:p>
        </w:tc>
        <w:tc>
          <w:tcPr>
            <w:tcW w:w="9880" w:type="dxa"/>
            <w:vAlign w:val="bottom"/>
            <w:gridSpan w:val="23"/>
          </w:tcPr>
          <w:p>
            <w:pPr>
              <w:spacing w:after="0"/>
              <w:rPr>
                <w:rFonts w:ascii="Arial" w:cs="Arial" w:eastAsia="Arial" w:hAnsi="Arial"/>
                <w:sz w:val="18"/>
                <w:szCs w:val="18"/>
                <w:color w:val="0000FF"/>
                <w:w w:val="98"/>
              </w:rPr>
            </w:pPr>
            <w:hyperlink r:id="rId214">
              <w:r>
                <w:rPr>
                  <w:rFonts w:ascii="Arial" w:cs="Arial" w:eastAsia="Arial" w:hAnsi="Arial"/>
                  <w:sz w:val="18"/>
                  <w:szCs w:val="18"/>
                  <w:color w:val="0000FF"/>
                  <w:w w:val="98"/>
                </w:rPr>
                <w:t>Credit agreement dated as of October 17, 2018 among Euronet Worldwide, Inc. and certain subsidiaries, as borrowers, certain</w:t>
              </w:r>
            </w:hyperlink>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3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214">
              <w:r>
                <w:rPr>
                  <w:rFonts w:ascii="Arial" w:cs="Arial" w:eastAsia="Arial" w:hAnsi="Arial"/>
                  <w:sz w:val="18"/>
                  <w:szCs w:val="18"/>
                  <w:color w:val="0000FF"/>
                  <w:w w:val="90"/>
                </w:rPr>
                <w:t>subsidiaries, as guarantors, the lenders party thereto, Bank of America, N.A., as administrative agent, Wells Fargo Bank, National</w:t>
              </w:r>
            </w:hyperlink>
          </w:p>
        </w:tc>
        <w:tc>
          <w:tcPr>
            <w:tcW w:w="54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FF"/>
                <w:w w:val="95"/>
              </w:rPr>
            </w:pPr>
            <w:hyperlink r:id="rId214">
              <w:r>
                <w:rPr>
                  <w:rFonts w:ascii="Arial" w:cs="Arial" w:eastAsia="Arial" w:hAnsi="Arial"/>
                  <w:sz w:val="18"/>
                  <w:szCs w:val="18"/>
                  <w:color w:val="0000FF"/>
                  <w:w w:val="95"/>
                </w:rPr>
                <w:t>Association and U.S. Bank National Association, as co-syndication agents, et al. (filed as Exhibit 10.1 to the Company's Quarterly</w:t>
              </w:r>
            </w:hyperlink>
          </w:p>
        </w:tc>
      </w:tr>
      <w:tr>
        <w:trPr>
          <w:trHeight w:val="196"/>
        </w:trPr>
        <w:tc>
          <w:tcPr>
            <w:tcW w:w="1360" w:type="dxa"/>
            <w:vAlign w:val="bottom"/>
          </w:tcPr>
          <w:p>
            <w:pPr>
              <w:spacing w:after="0"/>
              <w:rPr>
                <w:sz w:val="17"/>
                <w:szCs w:val="17"/>
                <w:color w:val="auto"/>
              </w:rPr>
            </w:pPr>
          </w:p>
        </w:tc>
        <w:tc>
          <w:tcPr>
            <w:tcW w:w="93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214">
              <w:r>
                <w:rPr>
                  <w:rFonts w:ascii="Arial" w:cs="Arial" w:eastAsia="Arial" w:hAnsi="Arial"/>
                  <w:sz w:val="18"/>
                  <w:szCs w:val="18"/>
                  <w:color w:val="0000FF"/>
                </w:rPr>
                <w:t>Report on Form 10-Q filed on November 2, 2018 and incorporated by reference herein)</w:t>
              </w:r>
            </w:hyperlink>
          </w:p>
        </w:tc>
        <w:tc>
          <w:tcPr>
            <w:tcW w:w="500" w:type="dxa"/>
            <w:vAlign w:val="bottom"/>
            <w:gridSpan w:val="7"/>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10.16</w:t>
            </w:r>
          </w:p>
        </w:tc>
        <w:tc>
          <w:tcPr>
            <w:tcW w:w="9640" w:type="dxa"/>
            <w:vAlign w:val="bottom"/>
            <w:tcBorders>
              <w:bottom w:val="single" w:sz="8" w:color="0000FF"/>
            </w:tcBorders>
            <w:gridSpan w:val="18"/>
          </w:tcPr>
          <w:p>
            <w:pPr>
              <w:spacing w:after="0"/>
              <w:rPr>
                <w:rFonts w:ascii="Arial" w:cs="Arial" w:eastAsia="Arial" w:hAnsi="Arial"/>
                <w:sz w:val="18"/>
                <w:szCs w:val="18"/>
                <w:color w:val="0000FF"/>
                <w:w w:val="91"/>
              </w:rPr>
            </w:pPr>
            <w:hyperlink r:id="rId215">
              <w:r>
                <w:rPr>
                  <w:rFonts w:ascii="Arial" w:cs="Arial" w:eastAsia="Arial" w:hAnsi="Arial"/>
                  <w:sz w:val="18"/>
                  <w:szCs w:val="18"/>
                  <w:color w:val="0000FF"/>
                  <w:w w:val="91"/>
                </w:rPr>
                <w:t>Form of Nonqualified Stock Option Agreement, as amended, pursuant to Euronet Worldwide, Inc. 2006 Stock Incentive Plan (filed as</w:t>
              </w:r>
            </w:hyperlink>
          </w:p>
        </w:tc>
        <w:tc>
          <w:tcPr>
            <w:tcW w:w="24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FF"/>
                <w:w w:val="98"/>
              </w:rPr>
            </w:pPr>
            <w:hyperlink r:id="rId215">
              <w:r>
                <w:rPr>
                  <w:rFonts w:ascii="Arial" w:cs="Arial" w:eastAsia="Arial" w:hAnsi="Arial"/>
                  <w:sz w:val="18"/>
                  <w:szCs w:val="18"/>
                  <w:color w:val="0000FF"/>
                  <w:w w:val="98"/>
                </w:rPr>
                <w:t>Exhibit 10.19 to the Company's Annual Report on Form 10-K filed on March 1, 2018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10.17</w:t>
            </w:r>
          </w:p>
        </w:tc>
        <w:tc>
          <w:tcPr>
            <w:tcW w:w="9820" w:type="dxa"/>
            <w:vAlign w:val="bottom"/>
            <w:tcBorders>
              <w:bottom w:val="single" w:sz="8" w:color="0000FF"/>
            </w:tcBorders>
            <w:gridSpan w:val="22"/>
          </w:tcPr>
          <w:p>
            <w:pPr>
              <w:spacing w:after="0"/>
              <w:rPr>
                <w:rFonts w:ascii="Arial" w:cs="Arial" w:eastAsia="Arial" w:hAnsi="Arial"/>
                <w:sz w:val="18"/>
                <w:szCs w:val="18"/>
                <w:color w:val="0000FF"/>
                <w:w w:val="91"/>
              </w:rPr>
            </w:pPr>
            <w:hyperlink r:id="rId216">
              <w:r>
                <w:rPr>
                  <w:rFonts w:ascii="Arial" w:cs="Arial" w:eastAsia="Arial" w:hAnsi="Arial"/>
                  <w:sz w:val="18"/>
                  <w:szCs w:val="18"/>
                  <w:color w:val="0000FF"/>
                  <w:w w:val="91"/>
                </w:rPr>
                <w:t>Form of Restricted Stock Unit Agreement, as amended, pursuant to Euronet Worldwide, Inc. 2006 Stock Incentive Plan (filed as Exhibit</w:t>
              </w:r>
            </w:hyperlink>
          </w:p>
        </w:tc>
        <w:tc>
          <w:tcPr>
            <w:tcW w:w="6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FF"/>
              </w:rPr>
            </w:pPr>
            <w:hyperlink r:id="rId216">
              <w:r>
                <w:rPr>
                  <w:rFonts w:ascii="Arial" w:cs="Arial" w:eastAsia="Arial" w:hAnsi="Arial"/>
                  <w:sz w:val="18"/>
                  <w:szCs w:val="18"/>
                  <w:color w:val="0000FF"/>
                </w:rPr>
                <w:t>10.</w:t>
              </w:r>
              <w:r>
                <w:rPr>
                  <w:rFonts w:ascii="Arial" w:cs="Arial" w:eastAsia="Arial" w:hAnsi="Arial"/>
                  <w:sz w:val="18"/>
                  <w:szCs w:val="18"/>
                  <w:u w:val="single" w:color="auto"/>
                  <w:color w:val="0000FF"/>
                </w:rPr>
                <w:t>20</w:t>
              </w:r>
              <w:r>
                <w:rPr>
                  <w:rFonts w:ascii="Arial" w:cs="Arial" w:eastAsia="Arial" w:hAnsi="Arial"/>
                  <w:sz w:val="18"/>
                  <w:szCs w:val="18"/>
                  <w:color w:val="0000FF"/>
                </w:rPr>
                <w:t xml:space="preserve"> to the Company's Annual Report on Form 10-K filed on March 1, 2018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10.18</w:t>
            </w:r>
          </w:p>
        </w:tc>
        <w:tc>
          <w:tcPr>
            <w:tcW w:w="9880" w:type="dxa"/>
            <w:vAlign w:val="bottom"/>
            <w:gridSpan w:val="23"/>
          </w:tcPr>
          <w:p>
            <w:pPr>
              <w:spacing w:after="0"/>
              <w:rPr>
                <w:rFonts w:ascii="Arial" w:cs="Arial" w:eastAsia="Arial" w:hAnsi="Arial"/>
                <w:sz w:val="18"/>
                <w:szCs w:val="18"/>
                <w:color w:val="0000EE"/>
                <w:w w:val="95"/>
              </w:rPr>
            </w:pPr>
            <w:hyperlink r:id="rId217">
              <w:r>
                <w:rPr>
                  <w:rFonts w:ascii="Arial" w:cs="Arial" w:eastAsia="Arial" w:hAnsi="Arial"/>
                  <w:sz w:val="18"/>
                  <w:szCs w:val="18"/>
                  <w:color w:val="0000EE"/>
                  <w:w w:val="95"/>
                </w:rPr>
                <w:t>Letter Amendment No. 1 dated August 26, 2019 to the Credit Agreement dated as of October 17, 2018 (filed as Exhibit 10.3 to the</w:t>
              </w:r>
            </w:hyperlink>
          </w:p>
        </w:tc>
      </w:tr>
      <w:tr>
        <w:trPr>
          <w:trHeight w:val="196"/>
        </w:trPr>
        <w:tc>
          <w:tcPr>
            <w:tcW w:w="1360" w:type="dxa"/>
            <w:vAlign w:val="bottom"/>
          </w:tcPr>
          <w:p>
            <w:pPr>
              <w:spacing w:after="0"/>
              <w:rPr>
                <w:sz w:val="17"/>
                <w:szCs w:val="17"/>
                <w:color w:val="auto"/>
              </w:rPr>
            </w:pPr>
          </w:p>
        </w:tc>
        <w:tc>
          <w:tcPr>
            <w:tcW w:w="94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17">
              <w:r>
                <w:rPr>
                  <w:rFonts w:ascii="Arial" w:cs="Arial" w:eastAsia="Arial" w:hAnsi="Arial"/>
                  <w:sz w:val="18"/>
                  <w:szCs w:val="18"/>
                  <w:color w:val="0000EE"/>
                </w:rPr>
                <w:t>Company's Quarterly Report on Form 10-Q filed August 3, 2021 and incorporated by reference herein)</w:t>
              </w:r>
            </w:hyperlink>
          </w:p>
        </w:tc>
        <w:tc>
          <w:tcPr>
            <w:tcW w:w="480" w:type="dxa"/>
            <w:vAlign w:val="bottom"/>
            <w:gridSpan w:val="6"/>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39"/>
        </w:trPr>
        <w:tc>
          <w:tcPr>
            <w:tcW w:w="1360" w:type="dxa"/>
            <w:vAlign w:val="bottom"/>
          </w:tcPr>
          <w:p>
            <w:pPr>
              <w:spacing w:after="0"/>
              <w:rPr>
                <w:sz w:val="20"/>
                <w:szCs w:val="20"/>
                <w:color w:val="auto"/>
              </w:rPr>
            </w:pPr>
            <w:r>
              <w:rPr>
                <w:rFonts w:ascii="Arial" w:cs="Arial" w:eastAsia="Arial" w:hAnsi="Arial"/>
                <w:sz w:val="18"/>
                <w:szCs w:val="18"/>
                <w:color w:val="auto"/>
              </w:rPr>
              <w:t>10.19</w:t>
            </w:r>
          </w:p>
        </w:tc>
        <w:tc>
          <w:tcPr>
            <w:tcW w:w="9880" w:type="dxa"/>
            <w:vAlign w:val="bottom"/>
            <w:gridSpan w:val="23"/>
          </w:tcPr>
          <w:p>
            <w:pPr>
              <w:spacing w:after="0"/>
              <w:rPr>
                <w:rFonts w:ascii="Arial" w:cs="Arial" w:eastAsia="Arial" w:hAnsi="Arial"/>
                <w:sz w:val="18"/>
                <w:szCs w:val="18"/>
                <w:color w:val="0000EE"/>
                <w:w w:val="91"/>
              </w:rPr>
            </w:pPr>
            <w:hyperlink r:id="rId218">
              <w:r>
                <w:rPr>
                  <w:rFonts w:ascii="Arial" w:cs="Arial" w:eastAsia="Arial" w:hAnsi="Arial"/>
                  <w:sz w:val="18"/>
                  <w:szCs w:val="18"/>
                  <w:color w:val="0000EE"/>
                  <w:w w:val="91"/>
                </w:rPr>
                <w:t>Letter Amendment No. 2 dated as of September 17, 2020 to the Credit Agreement dated as of October 17, 2018 (filed as Exhibit 10.1 to</w:t>
              </w:r>
            </w:hyperlink>
          </w:p>
        </w:tc>
      </w:tr>
      <w:tr>
        <w:trPr>
          <w:trHeight w:val="196"/>
        </w:trPr>
        <w:tc>
          <w:tcPr>
            <w:tcW w:w="1360" w:type="dxa"/>
            <w:vAlign w:val="bottom"/>
          </w:tcPr>
          <w:p>
            <w:pPr>
              <w:spacing w:after="0"/>
              <w:rPr>
                <w:sz w:val="17"/>
                <w:szCs w:val="17"/>
                <w:color w:val="auto"/>
              </w:rPr>
            </w:pPr>
          </w:p>
        </w:tc>
        <w:tc>
          <w:tcPr>
            <w:tcW w:w="7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218">
              <w:r>
                <w:rPr>
                  <w:rFonts w:ascii="Arial" w:cs="Arial" w:eastAsia="Arial" w:hAnsi="Arial"/>
                  <w:sz w:val="18"/>
                  <w:szCs w:val="18"/>
                  <w:color w:val="0000EE"/>
                  <w:w w:val="90"/>
                </w:rPr>
                <w:t>the Company's Current Report on Form 8-K filed September 18, 2020 and incorporated by reference herein)</w:t>
              </w:r>
            </w:hyperlink>
          </w:p>
        </w:tc>
        <w:tc>
          <w:tcPr>
            <w:tcW w:w="1980" w:type="dxa"/>
            <w:vAlign w:val="bottom"/>
            <w:tcBorders>
              <w:top w:val="single" w:sz="8" w:color="0000EE"/>
            </w:tcBorders>
            <w:gridSpan w:val="10"/>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80"/>
        </w:trPr>
        <w:tc>
          <w:tcPr>
            <w:tcW w:w="1360" w:type="dxa"/>
            <w:vAlign w:val="bottom"/>
          </w:tcPr>
          <w:p>
            <w:pPr>
              <w:spacing w:after="0"/>
              <w:rPr>
                <w:sz w:val="20"/>
                <w:szCs w:val="20"/>
                <w:color w:val="auto"/>
              </w:rPr>
            </w:pPr>
            <w:r>
              <w:rPr>
                <w:rFonts w:ascii="Arial" w:cs="Arial" w:eastAsia="Arial" w:hAnsi="Arial"/>
                <w:sz w:val="18"/>
                <w:szCs w:val="18"/>
                <w:color w:val="auto"/>
              </w:rPr>
              <w:t>21.1</w:t>
            </w:r>
          </w:p>
        </w:tc>
        <w:tc>
          <w:tcPr>
            <w:tcW w:w="2380" w:type="dxa"/>
            <w:vAlign w:val="bottom"/>
            <w:tcBorders>
              <w:bottom w:val="single" w:sz="8" w:color="0000EE"/>
            </w:tcBorders>
          </w:tcPr>
          <w:p>
            <w:pPr>
              <w:spacing w:after="0"/>
              <w:rPr>
                <w:rFonts w:ascii="Arial" w:cs="Arial" w:eastAsia="Arial" w:hAnsi="Arial"/>
                <w:sz w:val="18"/>
                <w:szCs w:val="18"/>
                <w:color w:val="0000EE"/>
                <w:w w:val="90"/>
              </w:rPr>
            </w:pPr>
            <w:hyperlink w:anchor="page111">
              <w:r>
                <w:rPr>
                  <w:rFonts w:ascii="Arial" w:cs="Arial" w:eastAsia="Arial" w:hAnsi="Arial"/>
                  <w:sz w:val="18"/>
                  <w:szCs w:val="18"/>
                  <w:color w:val="0000EE"/>
                  <w:w w:val="90"/>
                </w:rPr>
                <w:t>Subsidiaries of the Registrant (1)</w:t>
              </w:r>
            </w:hyperlink>
          </w:p>
        </w:tc>
        <w:tc>
          <w:tcPr>
            <w:tcW w:w="7500" w:type="dxa"/>
            <w:vAlign w:val="bottom"/>
            <w:gridSpan w:val="22"/>
          </w:tcPr>
          <w:p>
            <w:pPr>
              <w:spacing w:after="0"/>
              <w:rPr>
                <w:sz w:val="24"/>
                <w:szCs w:val="24"/>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23.1</w:t>
            </w:r>
          </w:p>
        </w:tc>
        <w:tc>
          <w:tcPr>
            <w:tcW w:w="45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14">
              <w:r>
                <w:rPr>
                  <w:rFonts w:ascii="Arial" w:cs="Arial" w:eastAsia="Arial" w:hAnsi="Arial"/>
                  <w:sz w:val="18"/>
                  <w:szCs w:val="18"/>
                  <w:color w:val="0000EE"/>
                  <w:w w:val="91"/>
                </w:rPr>
                <w:t>Consent of Independent Registered Public Accounting Firm (1)</w:t>
              </w:r>
            </w:hyperlink>
          </w:p>
        </w:tc>
        <w:tc>
          <w:tcPr>
            <w:tcW w:w="5300" w:type="dxa"/>
            <w:vAlign w:val="bottom"/>
            <w:gridSpan w:val="17"/>
          </w:tcPr>
          <w:p>
            <w:pPr>
              <w:spacing w:after="0"/>
              <w:rPr>
                <w:sz w:val="24"/>
                <w:szCs w:val="24"/>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426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15">
              <w:r>
                <w:rPr>
                  <w:rFonts w:ascii="Arial" w:cs="Arial" w:eastAsia="Arial" w:hAnsi="Arial"/>
                  <w:sz w:val="18"/>
                  <w:szCs w:val="18"/>
                  <w:color w:val="0000EE"/>
                  <w:w w:val="93"/>
                </w:rPr>
                <w:t>Section 302 — Certification of Chief Executive Officer (1)</w:t>
              </w:r>
            </w:hyperlink>
          </w:p>
        </w:tc>
        <w:tc>
          <w:tcPr>
            <w:tcW w:w="5620" w:type="dxa"/>
            <w:vAlign w:val="bottom"/>
            <w:gridSpan w:val="18"/>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9880" w:type="dxa"/>
            <w:vAlign w:val="bottom"/>
            <w:gridSpan w:val="23"/>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Section 302 — Certification of Chief Financial Officer (1)</w:t>
              </w:r>
            </w:hyperlink>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4200" w:type="dxa"/>
            <w:vAlign w:val="bottom"/>
            <w:tcBorders>
              <w:top w:val="single" w:sz="8" w:color="0000EE"/>
            </w:tcBorders>
            <w:gridSpan w:val="4"/>
          </w:tcPr>
          <w:p>
            <w:pPr>
              <w:spacing w:after="0"/>
              <w:rPr>
                <w:rFonts w:ascii="Arial" w:cs="Arial" w:eastAsia="Arial" w:hAnsi="Arial"/>
                <w:sz w:val="18"/>
                <w:szCs w:val="18"/>
                <w:color w:val="0000EE"/>
                <w:w w:val="97"/>
              </w:rPr>
            </w:pPr>
            <w:hyperlink w:anchor="page117">
              <w:r>
                <w:rPr>
                  <w:rFonts w:ascii="Arial" w:cs="Arial" w:eastAsia="Arial" w:hAnsi="Arial"/>
                  <w:sz w:val="18"/>
                  <w:szCs w:val="18"/>
                  <w:color w:val="0000EE"/>
                  <w:w w:val="97"/>
                </w:rPr>
                <w:t>Section 906 Certification of Chief Executive Officer (3)</w:t>
              </w:r>
            </w:hyperlink>
          </w:p>
        </w:tc>
        <w:tc>
          <w:tcPr>
            <w:tcW w:w="5680" w:type="dxa"/>
            <w:vAlign w:val="bottom"/>
            <w:gridSpan w:val="19"/>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32.2</w:t>
            </w:r>
          </w:p>
        </w:tc>
        <w:tc>
          <w:tcPr>
            <w:tcW w:w="39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118">
              <w:r>
                <w:rPr>
                  <w:rFonts w:ascii="Arial" w:cs="Arial" w:eastAsia="Arial" w:hAnsi="Arial"/>
                  <w:sz w:val="18"/>
                  <w:szCs w:val="18"/>
                  <w:color w:val="0000EE"/>
                  <w:w w:val="93"/>
                </w:rPr>
                <w:t>Section 906 Certification of Chief Financial Officer (3)</w:t>
              </w:r>
            </w:hyperlink>
          </w:p>
        </w:tc>
        <w:tc>
          <w:tcPr>
            <w:tcW w:w="40" w:type="dxa"/>
            <w:vAlign w:val="bottom"/>
            <w:tcBorders>
              <w:top w:val="single" w:sz="8" w:color="0000EE"/>
            </w:tcBorders>
          </w:tcPr>
          <w:p>
            <w:pPr>
              <w:spacing w:after="0"/>
              <w:rPr>
                <w:sz w:val="24"/>
                <w:szCs w:val="24"/>
                <w:color w:val="auto"/>
              </w:rPr>
            </w:pPr>
          </w:p>
        </w:tc>
        <w:tc>
          <w:tcPr>
            <w:tcW w:w="5860" w:type="dxa"/>
            <w:vAlign w:val="bottom"/>
            <w:gridSpan w:val="20"/>
          </w:tcPr>
          <w:p>
            <w:pPr>
              <w:spacing w:after="0"/>
              <w:rPr>
                <w:sz w:val="24"/>
                <w:szCs w:val="24"/>
                <w:color w:val="auto"/>
              </w:rPr>
            </w:pPr>
          </w:p>
        </w:tc>
      </w:tr>
      <w:tr>
        <w:trPr>
          <w:trHeight w:val="438"/>
        </w:trPr>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9880" w:type="dxa"/>
            <w:vAlign w:val="bottom"/>
            <w:gridSpan w:val="23"/>
          </w:tcPr>
          <w:p>
            <w:pPr>
              <w:spacing w:after="0"/>
              <w:rPr>
                <w:sz w:val="20"/>
                <w:szCs w:val="20"/>
                <w:color w:val="auto"/>
              </w:rPr>
            </w:pPr>
            <w:r>
              <w:rPr>
                <w:rFonts w:ascii="Arial" w:cs="Arial" w:eastAsia="Arial" w:hAnsi="Arial"/>
                <w:sz w:val="18"/>
                <w:szCs w:val="18"/>
                <w:color w:val="auto"/>
                <w:w w:val="92"/>
              </w:rPr>
              <w:t>The following materials from Euronet Worldwide, Inc.’s Annual Report on Form 10-K for the year ended December 31, 2021, formatted</w:t>
            </w:r>
          </w:p>
        </w:tc>
      </w:tr>
      <w:tr>
        <w:trPr>
          <w:trHeight w:val="216"/>
        </w:trPr>
        <w:tc>
          <w:tcPr>
            <w:tcW w:w="1360" w:type="dxa"/>
            <w:vAlign w:val="bottom"/>
          </w:tcPr>
          <w:p>
            <w:pPr>
              <w:spacing w:after="0"/>
              <w:rPr>
                <w:sz w:val="18"/>
                <w:szCs w:val="18"/>
                <w:color w:val="auto"/>
              </w:rPr>
            </w:pPr>
          </w:p>
        </w:tc>
        <w:tc>
          <w:tcPr>
            <w:tcW w:w="9880" w:type="dxa"/>
            <w:vAlign w:val="bottom"/>
            <w:gridSpan w:val="23"/>
          </w:tcPr>
          <w:p>
            <w:pPr>
              <w:spacing w:after="0"/>
              <w:rPr>
                <w:sz w:val="20"/>
                <w:szCs w:val="20"/>
                <w:color w:val="auto"/>
              </w:rPr>
            </w:pPr>
            <w:r>
              <w:rPr>
                <w:rFonts w:ascii="Arial" w:cs="Arial" w:eastAsia="Arial" w:hAnsi="Arial"/>
                <w:sz w:val="18"/>
                <w:szCs w:val="18"/>
                <w:color w:val="auto"/>
              </w:rPr>
              <w:t>inline XBRL (eXtensible Business Reporting Language): (i) Consolidated Balance Sheets at December 31, 2021 and 2020,</w:t>
            </w:r>
          </w:p>
        </w:tc>
      </w:tr>
      <w:tr>
        <w:trPr>
          <w:trHeight w:val="230"/>
        </w:trPr>
        <w:tc>
          <w:tcPr>
            <w:tcW w:w="1360" w:type="dxa"/>
            <w:vAlign w:val="bottom"/>
          </w:tcPr>
          <w:p>
            <w:pPr>
              <w:spacing w:after="0"/>
              <w:rPr>
                <w:sz w:val="20"/>
                <w:szCs w:val="20"/>
                <w:color w:val="auto"/>
              </w:rPr>
            </w:pPr>
          </w:p>
        </w:tc>
        <w:tc>
          <w:tcPr>
            <w:tcW w:w="9880" w:type="dxa"/>
            <w:vAlign w:val="bottom"/>
            <w:gridSpan w:val="23"/>
          </w:tcPr>
          <w:p>
            <w:pPr>
              <w:spacing w:after="0"/>
              <w:rPr>
                <w:sz w:val="20"/>
                <w:szCs w:val="20"/>
                <w:color w:val="auto"/>
              </w:rPr>
            </w:pPr>
            <w:r>
              <w:rPr>
                <w:rFonts w:ascii="Arial" w:cs="Arial" w:eastAsia="Arial" w:hAnsi="Arial"/>
                <w:sz w:val="18"/>
                <w:szCs w:val="18"/>
                <w:color w:val="auto"/>
                <w:w w:val="96"/>
              </w:rPr>
              <w:t>(ii) Consolidated Statements of Income for the years ended December 31, 2021, 2020 and 2019, (iii) Consolidated Statements of</w:t>
            </w:r>
          </w:p>
        </w:tc>
      </w:tr>
    </w:tbl>
    <w:p>
      <w:pPr>
        <w:jc w:val="both"/>
        <w:ind w:left="1360"/>
        <w:spacing w:after="0" w:line="255" w:lineRule="auto"/>
        <w:rPr>
          <w:sz w:val="20"/>
          <w:szCs w:val="20"/>
          <w:color w:val="auto"/>
        </w:rPr>
      </w:pPr>
      <w:r>
        <w:rPr>
          <w:rFonts w:ascii="Arial" w:cs="Arial" w:eastAsia="Arial" w:hAnsi="Arial"/>
          <w:sz w:val="18"/>
          <w:szCs w:val="18"/>
          <w:color w:val="auto"/>
        </w:rPr>
        <w:t>Comprehensive Operations for the years ended December 31, 2021, 2020 and 2019, (iv) Consolidated Statements of Changes in Equity for the years ended December 31, 2021, 2020 and 2019, (v) Consolidated Statements of Cash Flows for the years ended December 31, 2021, 2020 and 2019, and (vi) Notes to the Consolidated Financial Statements.</w:t>
      </w:r>
    </w:p>
    <w:p>
      <w:pPr>
        <w:spacing w:after="0" w:line="217" w:lineRule="exact"/>
        <w:rPr>
          <w:sz w:val="20"/>
          <w:szCs w:val="20"/>
          <w:color w:val="auto"/>
        </w:rPr>
      </w:pPr>
    </w:p>
    <w:p>
      <w:pPr>
        <w:ind w:left="1360" w:hanging="135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(contained in Exhibit 101)</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w:t>
      </w:r>
    </w:p>
    <w:p>
      <w:pPr>
        <w:spacing w:after="0" w:line="157" w:lineRule="exact"/>
        <w:rPr>
          <w:sz w:val="20"/>
          <w:szCs w:val="20"/>
          <w:color w:val="auto"/>
        </w:rPr>
      </w:pPr>
    </w:p>
    <w:p>
      <w:pPr>
        <w:ind w:left="460" w:hanging="425"/>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rFonts w:ascii="Arial" w:cs="Arial" w:eastAsia="Arial" w:hAnsi="Arial"/>
          <w:sz w:val="18"/>
          <w:szCs w:val="18"/>
          <w:color w:val="auto"/>
        </w:rPr>
      </w:pPr>
    </w:p>
    <w:p>
      <w:pPr>
        <w:ind w:left="460" w:hanging="412"/>
        <w:spacing w:after="0"/>
        <w:tabs>
          <w:tab w:leader="none" w:pos="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required to be filed as Exhibits pursuant to Item 15(a) of this report.</w:t>
      </w:r>
    </w:p>
    <w:p>
      <w:pPr>
        <w:spacing w:after="0" w:line="198" w:lineRule="exact"/>
        <w:rPr>
          <w:rFonts w:ascii="Arial" w:cs="Arial" w:eastAsia="Arial" w:hAnsi="Arial"/>
          <w:sz w:val="18"/>
          <w:szCs w:val="18"/>
          <w:color w:val="auto"/>
        </w:rPr>
      </w:pPr>
    </w:p>
    <w:p>
      <w:pPr>
        <w:ind w:left="460" w:hanging="412"/>
        <w:spacing w:after="0"/>
        <w:tabs>
          <w:tab w:leader="none" w:pos="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10-K.</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7" w:name="page108"/>
    <w:bookmarkEnd w:id="107"/>
    <w:p>
      <w:pPr>
        <w:jc w:val="both"/>
        <w:spacing w:after="0" w:line="287" w:lineRule="auto"/>
        <w:rPr>
          <w:sz w:val="20"/>
          <w:szCs w:val="20"/>
          <w:color w:val="auto"/>
        </w:rPr>
      </w:pPr>
      <w:r>
        <w:rPr>
          <w:rFonts w:ascii="Arial" w:cs="Arial" w:eastAsia="Arial" w:hAnsi="Arial"/>
          <w:sz w:val="16"/>
          <w:szCs w:val="16"/>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8" w:name="page109"/>
    <w:bookmarkEnd w:id="108"/>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2022</w:t>
      </w:r>
    </w:p>
    <w:p>
      <w:pPr>
        <w:spacing w:after="0" w:line="17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31750</wp:posOffset>
            </wp:positionV>
            <wp:extent cx="34201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Chairman of the Board of Directors, Chief Executive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Officer, President and Director (principal executive officer)</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80" w:type="dxa"/>
            <w:vAlign w:val="bottom"/>
            <w:gridSpan w:val="9"/>
          </w:tcPr>
          <w:p>
            <w:pPr>
              <w:spacing w:after="0"/>
              <w:rPr>
                <w:sz w:val="14"/>
                <w:szCs w:val="14"/>
                <w:color w:val="auto"/>
              </w:rPr>
            </w:pPr>
          </w:p>
        </w:tc>
        <w:tc>
          <w:tcPr>
            <w:tcW w:w="35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500" w:type="dxa"/>
            <w:vAlign w:val="bottom"/>
          </w:tcPr>
          <w:p>
            <w:pPr>
              <w:spacing w:after="0"/>
              <w:rPr>
                <w:sz w:val="14"/>
                <w:szCs w:val="14"/>
                <w:color w:val="auto"/>
              </w:rPr>
            </w:pPr>
          </w:p>
        </w:tc>
      </w:tr>
      <w:tr>
        <w:trPr>
          <w:trHeight w:val="4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gridSpan w:val="13"/>
          </w:tcPr>
          <w:p>
            <w:pPr>
              <w:jc w:val="center"/>
              <w:ind w:right="1140"/>
              <w:spacing w:after="0"/>
              <w:rPr>
                <w:sz w:val="20"/>
                <w:szCs w:val="20"/>
                <w:color w:val="auto"/>
              </w:rPr>
            </w:pPr>
            <w:r>
              <w:rPr>
                <w:rFonts w:ascii="Arial" w:cs="Arial" w:eastAsia="Arial" w:hAnsi="Arial"/>
                <w:sz w:val="18"/>
                <w:szCs w:val="18"/>
                <w:color w:val="auto"/>
                <w:w w:val="93"/>
              </w:rPr>
              <w:t>/s/ Michael J. Brown</w:t>
            </w: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6"/>
          </w:tcPr>
          <w:p>
            <w:pPr>
              <w:jc w:val="center"/>
              <w:ind w:right="40"/>
              <w:spacing w:after="0"/>
              <w:rPr>
                <w:sz w:val="20"/>
                <w:szCs w:val="20"/>
                <w:color w:val="auto"/>
              </w:rPr>
            </w:pPr>
            <w:r>
              <w:rPr>
                <w:rFonts w:ascii="Arial" w:cs="Arial" w:eastAsia="Arial" w:hAnsi="Arial"/>
                <w:sz w:val="18"/>
                <w:szCs w:val="18"/>
                <w:b w:val="1"/>
                <w:bCs w:val="1"/>
                <w:color w:val="auto"/>
                <w:w w:val="92"/>
              </w:rPr>
              <w:t>Michael J. Brown</w:t>
            </w:r>
          </w:p>
        </w:tc>
        <w:tc>
          <w:tcPr>
            <w:tcW w:w="1140" w:type="dxa"/>
            <w:vAlign w:val="bottom"/>
            <w:gridSpan w:val="6"/>
          </w:tcPr>
          <w:p>
            <w:pPr>
              <w:spacing w:after="0"/>
              <w:rPr>
                <w:sz w:val="19"/>
                <w:szCs w:val="19"/>
                <w:color w:val="auto"/>
              </w:rPr>
            </w:pPr>
          </w:p>
        </w:tc>
        <w:tc>
          <w:tcPr>
            <w:tcW w:w="6380" w:type="dxa"/>
            <w:vAlign w:val="bottom"/>
            <w:gridSpan w:val="3"/>
          </w:tcPr>
          <w:p>
            <w:pPr>
              <w:ind w:left="960"/>
              <w:spacing w:after="0"/>
              <w:rPr>
                <w:sz w:val="20"/>
                <w:szCs w:val="20"/>
                <w:color w:val="auto"/>
              </w:rPr>
            </w:pPr>
            <w:r>
              <w:rPr>
                <w:rFonts w:ascii="Arial" w:cs="Arial" w:eastAsia="Arial" w:hAnsi="Arial"/>
                <w:sz w:val="18"/>
                <w:szCs w:val="18"/>
                <w:color w:val="auto"/>
                <w:w w:val="91"/>
              </w:rPr>
              <w:t>Chairman of the Board of Directors, Chief Executive Officer, President and</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2"/>
          </w:tcPr>
          <w:p>
            <w:pPr>
              <w:jc w:val="center"/>
              <w:ind w:right="1180"/>
              <w:spacing w:after="0"/>
              <w:rPr>
                <w:sz w:val="20"/>
                <w:szCs w:val="20"/>
                <w:color w:val="auto"/>
              </w:rPr>
            </w:pPr>
            <w:r>
              <w:rPr>
                <w:rFonts w:ascii="Arial" w:cs="Arial" w:eastAsia="Arial" w:hAnsi="Arial"/>
                <w:sz w:val="18"/>
                <w:szCs w:val="18"/>
                <w:color w:val="auto"/>
                <w:w w:val="89"/>
              </w:rPr>
              <w:t>February 22, 2022</w:t>
            </w:r>
          </w:p>
        </w:tc>
        <w:tc>
          <w:tcPr>
            <w:tcW w:w="6380" w:type="dxa"/>
            <w:vAlign w:val="bottom"/>
            <w:gridSpan w:val="3"/>
          </w:tcPr>
          <w:p>
            <w:pPr>
              <w:ind w:left="960"/>
              <w:spacing w:after="0"/>
              <w:rPr>
                <w:sz w:val="20"/>
                <w:szCs w:val="20"/>
                <w:color w:val="auto"/>
              </w:rPr>
            </w:pPr>
            <w:r>
              <w:rPr>
                <w:rFonts w:ascii="Arial" w:cs="Arial" w:eastAsia="Arial" w:hAnsi="Arial"/>
                <w:sz w:val="18"/>
                <w:szCs w:val="18"/>
                <w:color w:val="auto"/>
              </w:rPr>
              <w:t>Director (principal executive officer)</w:t>
            </w:r>
          </w:p>
        </w:tc>
      </w:tr>
      <w:tr>
        <w:trPr>
          <w:trHeight w:val="4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Rick L. Weller</w:t>
            </w:r>
          </w:p>
        </w:tc>
        <w:tc>
          <w:tcPr>
            <w:tcW w:w="1240" w:type="dxa"/>
            <w:vAlign w:val="bottom"/>
            <w:gridSpan w:val="8"/>
          </w:tcPr>
          <w:p>
            <w:pPr>
              <w:spacing w:after="0"/>
              <w:rPr>
                <w:sz w:val="24"/>
                <w:szCs w:val="24"/>
                <w:color w:val="auto"/>
              </w:rPr>
            </w:pP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20" w:type="dxa"/>
            <w:vAlign w:val="bottom"/>
            <w:gridSpan w:val="11"/>
          </w:tcPr>
          <w:p>
            <w:pPr>
              <w:jc w:val="center"/>
              <w:ind w:right="1240"/>
              <w:spacing w:after="0"/>
              <w:rPr>
                <w:sz w:val="20"/>
                <w:szCs w:val="20"/>
                <w:color w:val="auto"/>
              </w:rPr>
            </w:pPr>
            <w:r>
              <w:rPr>
                <w:rFonts w:ascii="Arial" w:cs="Arial" w:eastAsia="Arial" w:hAnsi="Arial"/>
                <w:sz w:val="18"/>
                <w:szCs w:val="18"/>
                <w:b w:val="1"/>
                <w:bCs w:val="1"/>
                <w:color w:val="auto"/>
                <w:w w:val="94"/>
              </w:rPr>
              <w:t>Rick L. Weller</w:t>
            </w:r>
          </w:p>
        </w:tc>
        <w:tc>
          <w:tcPr>
            <w:tcW w:w="6380" w:type="dxa"/>
            <w:vAlign w:val="bottom"/>
            <w:gridSpan w:val="3"/>
          </w:tcPr>
          <w:p>
            <w:pPr>
              <w:ind w:left="960"/>
              <w:spacing w:after="0"/>
              <w:rPr>
                <w:sz w:val="20"/>
                <w:szCs w:val="20"/>
                <w:color w:val="auto"/>
              </w:rPr>
            </w:pPr>
            <w:r>
              <w:rPr>
                <w:rFonts w:ascii="Arial" w:cs="Arial" w:eastAsia="Arial" w:hAnsi="Arial"/>
                <w:sz w:val="18"/>
                <w:szCs w:val="18"/>
                <w:color w:val="auto"/>
                <w:w w:val="96"/>
              </w:rPr>
              <w:t>Chief Financial Officer and Chief Accounting Officer (principal financial</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2"/>
          </w:tcPr>
          <w:p>
            <w:pPr>
              <w:jc w:val="center"/>
              <w:ind w:right="1180"/>
              <w:spacing w:after="0"/>
              <w:rPr>
                <w:sz w:val="20"/>
                <w:szCs w:val="20"/>
                <w:color w:val="auto"/>
              </w:rPr>
            </w:pPr>
            <w:r>
              <w:rPr>
                <w:rFonts w:ascii="Arial" w:cs="Arial" w:eastAsia="Arial" w:hAnsi="Arial"/>
                <w:sz w:val="18"/>
                <w:szCs w:val="18"/>
                <w:color w:val="auto"/>
                <w:w w:val="89"/>
              </w:rPr>
              <w:t>February 22, 2022</w:t>
            </w:r>
          </w:p>
        </w:tc>
        <w:tc>
          <w:tcPr>
            <w:tcW w:w="6380" w:type="dxa"/>
            <w:vAlign w:val="bottom"/>
            <w:gridSpan w:val="3"/>
          </w:tcPr>
          <w:p>
            <w:pPr>
              <w:ind w:left="960"/>
              <w:spacing w:after="0"/>
              <w:rPr>
                <w:sz w:val="20"/>
                <w:szCs w:val="20"/>
                <w:color w:val="auto"/>
              </w:rPr>
            </w:pPr>
            <w:r>
              <w:rPr>
                <w:rFonts w:ascii="Arial" w:cs="Arial" w:eastAsia="Arial" w:hAnsi="Arial"/>
                <w:sz w:val="18"/>
                <w:szCs w:val="18"/>
                <w:color w:val="auto"/>
              </w:rPr>
              <w:t>officer and principal accounting officer)</w:t>
            </w:r>
          </w:p>
        </w:tc>
      </w:tr>
      <w:tr>
        <w:trPr>
          <w:trHeight w:val="52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gridSpan w:val="13"/>
          </w:tcPr>
          <w:p>
            <w:pPr>
              <w:jc w:val="center"/>
              <w:ind w:right="1120"/>
              <w:spacing w:after="0"/>
              <w:rPr>
                <w:sz w:val="20"/>
                <w:szCs w:val="20"/>
                <w:color w:val="auto"/>
              </w:rPr>
            </w:pPr>
            <w:r>
              <w:rPr>
                <w:rFonts w:ascii="Arial" w:cs="Arial" w:eastAsia="Arial" w:hAnsi="Arial"/>
                <w:sz w:val="18"/>
                <w:szCs w:val="18"/>
                <w:color w:val="auto"/>
                <w:w w:val="89"/>
              </w:rPr>
              <w:t>/s/ Paul S. Althasen</w:t>
            </w: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9"/>
              </w:rPr>
              <w:t>Paul S. Althasen</w:t>
            </w:r>
          </w:p>
        </w:tc>
        <w:tc>
          <w:tcPr>
            <w:tcW w:w="1180" w:type="dxa"/>
            <w:vAlign w:val="bottom"/>
            <w:gridSpan w:val="7"/>
          </w:tcPr>
          <w:p>
            <w:pPr>
              <w:spacing w:after="0"/>
              <w:rPr>
                <w:sz w:val="19"/>
                <w:szCs w:val="19"/>
                <w:color w:val="auto"/>
              </w:rPr>
            </w:pPr>
          </w:p>
        </w:tc>
        <w:tc>
          <w:tcPr>
            <w:tcW w:w="3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2"/>
          </w:tcPr>
          <w:p>
            <w:pPr>
              <w:jc w:val="center"/>
              <w:ind w:right="1180"/>
              <w:spacing w:after="0"/>
              <w:rPr>
                <w:sz w:val="20"/>
                <w:szCs w:val="20"/>
                <w:color w:val="auto"/>
              </w:rPr>
            </w:pPr>
            <w:r>
              <w:rPr>
                <w:rFonts w:ascii="Arial" w:cs="Arial" w:eastAsia="Arial" w:hAnsi="Arial"/>
                <w:sz w:val="18"/>
                <w:szCs w:val="18"/>
                <w:color w:val="auto"/>
                <w:w w:val="89"/>
              </w:rPr>
              <w:t>February 22, 2022</w:t>
            </w:r>
          </w:p>
        </w:tc>
        <w:tc>
          <w:tcPr>
            <w:tcW w:w="6380" w:type="dxa"/>
            <w:vAlign w:val="bottom"/>
            <w:gridSpan w:val="3"/>
          </w:tcPr>
          <w:p>
            <w:pPr>
              <w:ind w:left="960"/>
              <w:spacing w:after="0"/>
              <w:rPr>
                <w:sz w:val="20"/>
                <w:szCs w:val="20"/>
                <w:color w:val="auto"/>
              </w:rPr>
            </w:pPr>
            <w:r>
              <w:rPr>
                <w:rFonts w:ascii="Arial" w:cs="Arial" w:eastAsia="Arial" w:hAnsi="Arial"/>
                <w:sz w:val="18"/>
                <w:szCs w:val="18"/>
                <w:color w:val="auto"/>
              </w:rPr>
              <w:t>Director</w:t>
            </w:r>
          </w:p>
        </w:tc>
      </w:tr>
      <w:tr>
        <w:trPr>
          <w:trHeight w:val="4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Borders>
              <w:bottom w:val="single" w:sz="8" w:color="auto"/>
            </w:tcBorders>
            <w:gridSpan w:val="14"/>
          </w:tcPr>
          <w:p>
            <w:pPr>
              <w:jc w:val="center"/>
              <w:ind w:right="20"/>
              <w:spacing w:after="0"/>
              <w:rPr>
                <w:sz w:val="20"/>
                <w:szCs w:val="20"/>
                <w:color w:val="auto"/>
              </w:rPr>
            </w:pPr>
            <w:r>
              <w:rPr>
                <w:rFonts w:ascii="Arial" w:cs="Arial" w:eastAsia="Arial" w:hAnsi="Arial"/>
                <w:sz w:val="18"/>
                <w:szCs w:val="18"/>
                <w:color w:val="auto"/>
                <w:w w:val="93"/>
              </w:rPr>
              <w:t>/s/ Andrzej Olechowski</w:t>
            </w:r>
          </w:p>
        </w:tc>
        <w:tc>
          <w:tcPr>
            <w:tcW w:w="1020" w:type="dxa"/>
            <w:vAlign w:val="bottom"/>
            <w:gridSpan w:val="2"/>
          </w:tcPr>
          <w:p>
            <w:pPr>
              <w:spacing w:after="0"/>
              <w:rPr>
                <w:sz w:val="24"/>
                <w:szCs w:val="24"/>
                <w:color w:val="auto"/>
              </w:rPr>
            </w:pP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80" w:type="dxa"/>
            <w:vAlign w:val="bottom"/>
            <w:gridSpan w:val="14"/>
          </w:tcPr>
          <w:p>
            <w:pPr>
              <w:jc w:val="center"/>
              <w:ind w:right="1080"/>
              <w:spacing w:after="0"/>
              <w:rPr>
                <w:sz w:val="20"/>
                <w:szCs w:val="20"/>
                <w:color w:val="auto"/>
              </w:rPr>
            </w:pPr>
            <w:r>
              <w:rPr>
                <w:rFonts w:ascii="Arial" w:cs="Arial" w:eastAsia="Arial" w:hAnsi="Arial"/>
                <w:sz w:val="18"/>
                <w:szCs w:val="18"/>
                <w:b w:val="1"/>
                <w:bCs w:val="1"/>
                <w:color w:val="auto"/>
                <w:w w:val="91"/>
              </w:rPr>
              <w:t>Andrzej Olechowski</w:t>
            </w:r>
          </w:p>
        </w:tc>
        <w:tc>
          <w:tcPr>
            <w:tcW w:w="3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2"/>
          </w:tcPr>
          <w:p>
            <w:pPr>
              <w:jc w:val="center"/>
              <w:ind w:right="1180"/>
              <w:spacing w:after="0"/>
              <w:rPr>
                <w:sz w:val="20"/>
                <w:szCs w:val="20"/>
                <w:color w:val="auto"/>
              </w:rPr>
            </w:pPr>
            <w:r>
              <w:rPr>
                <w:rFonts w:ascii="Arial" w:cs="Arial" w:eastAsia="Arial" w:hAnsi="Arial"/>
                <w:sz w:val="18"/>
                <w:szCs w:val="18"/>
                <w:color w:val="auto"/>
                <w:w w:val="89"/>
              </w:rPr>
              <w:t>February 22, 2022</w:t>
            </w:r>
          </w:p>
        </w:tc>
        <w:tc>
          <w:tcPr>
            <w:tcW w:w="6380" w:type="dxa"/>
            <w:vAlign w:val="bottom"/>
            <w:gridSpan w:val="3"/>
          </w:tcPr>
          <w:p>
            <w:pPr>
              <w:ind w:left="960"/>
              <w:spacing w:after="0"/>
              <w:rPr>
                <w:sz w:val="20"/>
                <w:szCs w:val="20"/>
                <w:color w:val="auto"/>
              </w:rPr>
            </w:pPr>
            <w:r>
              <w:rPr>
                <w:rFonts w:ascii="Arial" w:cs="Arial" w:eastAsia="Arial" w:hAnsi="Arial"/>
                <w:sz w:val="18"/>
                <w:szCs w:val="18"/>
                <w:color w:val="auto"/>
              </w:rPr>
              <w:t>Director</w:t>
            </w:r>
          </w:p>
        </w:tc>
      </w:tr>
      <w:tr>
        <w:trPr>
          <w:trHeight w:val="52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gridSpan w:val="16"/>
          </w:tcPr>
          <w:p>
            <w:pPr>
              <w:jc w:val="center"/>
              <w:ind w:right="1020"/>
              <w:spacing w:after="0"/>
              <w:rPr>
                <w:sz w:val="20"/>
                <w:szCs w:val="20"/>
                <w:color w:val="auto"/>
              </w:rPr>
            </w:pPr>
            <w:r>
              <w:rPr>
                <w:rFonts w:ascii="Arial" w:cs="Arial" w:eastAsia="Arial" w:hAnsi="Arial"/>
                <w:sz w:val="18"/>
                <w:szCs w:val="18"/>
                <w:color w:val="auto"/>
                <w:w w:val="93"/>
              </w:rPr>
              <w:t>/s/ Michael N. Frumkin</w:t>
            </w: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11"/>
          </w:tcPr>
          <w:p>
            <w:pPr>
              <w:jc w:val="center"/>
              <w:ind w:right="60"/>
              <w:spacing w:after="0"/>
              <w:rPr>
                <w:sz w:val="20"/>
                <w:szCs w:val="20"/>
                <w:color w:val="auto"/>
              </w:rPr>
            </w:pPr>
            <w:r>
              <w:rPr>
                <w:rFonts w:ascii="Arial" w:cs="Arial" w:eastAsia="Arial" w:hAnsi="Arial"/>
                <w:sz w:val="18"/>
                <w:szCs w:val="18"/>
                <w:b w:val="1"/>
                <w:bCs w:val="1"/>
                <w:color w:val="auto"/>
                <w:w w:val="95"/>
              </w:rPr>
              <w:t>Michael N. Frumkin</w:t>
            </w:r>
          </w:p>
        </w:tc>
        <w:tc>
          <w:tcPr>
            <w:tcW w:w="1040" w:type="dxa"/>
            <w:vAlign w:val="bottom"/>
            <w:gridSpan w:val="3"/>
          </w:tcPr>
          <w:p>
            <w:pPr>
              <w:spacing w:after="0"/>
              <w:rPr>
                <w:sz w:val="19"/>
                <w:szCs w:val="19"/>
                <w:color w:val="auto"/>
              </w:rPr>
            </w:pPr>
          </w:p>
        </w:tc>
        <w:tc>
          <w:tcPr>
            <w:tcW w:w="3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2"/>
          </w:tcPr>
          <w:p>
            <w:pPr>
              <w:jc w:val="center"/>
              <w:ind w:right="1180"/>
              <w:spacing w:after="0"/>
              <w:rPr>
                <w:sz w:val="20"/>
                <w:szCs w:val="20"/>
                <w:color w:val="auto"/>
              </w:rPr>
            </w:pPr>
            <w:r>
              <w:rPr>
                <w:rFonts w:ascii="Arial" w:cs="Arial" w:eastAsia="Arial" w:hAnsi="Arial"/>
                <w:sz w:val="18"/>
                <w:szCs w:val="18"/>
                <w:color w:val="auto"/>
                <w:w w:val="89"/>
              </w:rPr>
              <w:t>February 22, 2022</w:t>
            </w:r>
          </w:p>
        </w:tc>
        <w:tc>
          <w:tcPr>
            <w:tcW w:w="6380" w:type="dxa"/>
            <w:vAlign w:val="bottom"/>
            <w:gridSpan w:val="3"/>
          </w:tcPr>
          <w:p>
            <w:pPr>
              <w:ind w:left="960"/>
              <w:spacing w:after="0"/>
              <w:rPr>
                <w:sz w:val="20"/>
                <w:szCs w:val="20"/>
                <w:color w:val="auto"/>
              </w:rPr>
            </w:pPr>
            <w:r>
              <w:rPr>
                <w:rFonts w:ascii="Arial" w:cs="Arial" w:eastAsia="Arial" w:hAnsi="Arial"/>
                <w:sz w:val="18"/>
                <w:szCs w:val="18"/>
                <w:color w:val="auto"/>
              </w:rPr>
              <w:t>Director</w:t>
            </w:r>
          </w:p>
        </w:tc>
      </w:tr>
      <w:tr>
        <w:trPr>
          <w:trHeight w:val="499"/>
        </w:trPr>
        <w:tc>
          <w:tcPr>
            <w:tcW w:w="2840" w:type="dxa"/>
            <w:vAlign w:val="bottom"/>
            <w:gridSpan w:val="18"/>
          </w:tcPr>
          <w:p>
            <w:pPr>
              <w:jc w:val="center"/>
              <w:ind w:right="920"/>
              <w:spacing w:after="0"/>
              <w:rPr>
                <w:sz w:val="20"/>
                <w:szCs w:val="20"/>
                <w:color w:val="auto"/>
              </w:rPr>
            </w:pPr>
            <w:r>
              <w:rPr>
                <w:rFonts w:ascii="Arial" w:cs="Arial" w:eastAsia="Arial" w:hAnsi="Arial"/>
                <w:sz w:val="18"/>
                <w:szCs w:val="18"/>
                <w:color w:val="auto"/>
                <w:w w:val="93"/>
              </w:rPr>
              <w:t>/s/ Thomas A. McDonnell</w:t>
            </w: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880" w:type="dxa"/>
            <w:vAlign w:val="bottom"/>
            <w:tcBorders>
              <w:top w:val="single" w:sz="8" w:color="auto"/>
            </w:tcBorders>
            <w:gridSpan w:val="16"/>
          </w:tcPr>
          <w:p>
            <w:pPr>
              <w:jc w:val="center"/>
              <w:ind w:right="20"/>
              <w:spacing w:after="0"/>
              <w:rPr>
                <w:sz w:val="20"/>
                <w:szCs w:val="20"/>
                <w:color w:val="auto"/>
              </w:rPr>
            </w:pPr>
            <w:r>
              <w:rPr>
                <w:rFonts w:ascii="Arial" w:cs="Arial" w:eastAsia="Arial" w:hAnsi="Arial"/>
                <w:sz w:val="18"/>
                <w:szCs w:val="18"/>
                <w:b w:val="1"/>
                <w:bCs w:val="1"/>
                <w:color w:val="auto"/>
                <w:w w:val="92"/>
              </w:rPr>
              <w:t>Thomas A. McDonnell</w:t>
            </w:r>
          </w:p>
        </w:tc>
        <w:tc>
          <w:tcPr>
            <w:tcW w:w="9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2"/>
          </w:tcPr>
          <w:p>
            <w:pPr>
              <w:jc w:val="center"/>
              <w:ind w:right="1180"/>
              <w:spacing w:after="0"/>
              <w:rPr>
                <w:sz w:val="20"/>
                <w:szCs w:val="20"/>
                <w:color w:val="auto"/>
              </w:rPr>
            </w:pPr>
            <w:r>
              <w:rPr>
                <w:rFonts w:ascii="Arial" w:cs="Arial" w:eastAsia="Arial" w:hAnsi="Arial"/>
                <w:sz w:val="18"/>
                <w:szCs w:val="18"/>
                <w:color w:val="auto"/>
                <w:w w:val="89"/>
              </w:rPr>
              <w:t>February 22, 2022</w:t>
            </w:r>
          </w:p>
        </w:tc>
        <w:tc>
          <w:tcPr>
            <w:tcW w:w="6380" w:type="dxa"/>
            <w:vAlign w:val="bottom"/>
            <w:gridSpan w:val="3"/>
          </w:tcPr>
          <w:p>
            <w:pPr>
              <w:ind w:left="960"/>
              <w:spacing w:after="0"/>
              <w:rPr>
                <w:sz w:val="20"/>
                <w:szCs w:val="20"/>
                <w:color w:val="auto"/>
              </w:rPr>
            </w:pPr>
            <w:r>
              <w:rPr>
                <w:rFonts w:ascii="Arial" w:cs="Arial" w:eastAsia="Arial" w:hAnsi="Arial"/>
                <w:sz w:val="18"/>
                <w:szCs w:val="18"/>
                <w:color w:val="auto"/>
              </w:rPr>
              <w:t>Director</w:t>
            </w:r>
          </w:p>
        </w:tc>
      </w:tr>
      <w:tr>
        <w:trPr>
          <w:trHeight w:val="5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15"/>
          </w:tcPr>
          <w:p>
            <w:pPr>
              <w:jc w:val="center"/>
              <w:ind w:right="1040"/>
              <w:spacing w:after="0"/>
              <w:rPr>
                <w:sz w:val="20"/>
                <w:szCs w:val="20"/>
                <w:color w:val="auto"/>
              </w:rPr>
            </w:pPr>
            <w:r>
              <w:rPr>
                <w:rFonts w:ascii="Arial" w:cs="Arial" w:eastAsia="Arial" w:hAnsi="Arial"/>
                <w:sz w:val="18"/>
                <w:szCs w:val="18"/>
                <w:color w:val="auto"/>
                <w:w w:val="92"/>
              </w:rPr>
              <w:t>/s/ Andrew B. Schmitt</w:t>
            </w: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9"/>
          </w:tcPr>
          <w:p>
            <w:pPr>
              <w:jc w:val="center"/>
              <w:ind w:right="40"/>
              <w:spacing w:after="0"/>
              <w:rPr>
                <w:sz w:val="20"/>
                <w:szCs w:val="20"/>
                <w:color w:val="auto"/>
              </w:rPr>
            </w:pPr>
            <w:r>
              <w:rPr>
                <w:rFonts w:ascii="Arial" w:cs="Arial" w:eastAsia="Arial" w:hAnsi="Arial"/>
                <w:sz w:val="18"/>
                <w:szCs w:val="18"/>
                <w:b w:val="1"/>
                <w:bCs w:val="1"/>
                <w:color w:val="auto"/>
                <w:w w:val="92"/>
              </w:rPr>
              <w:t>Andrew B. Schmitt</w:t>
            </w:r>
          </w:p>
        </w:tc>
        <w:tc>
          <w:tcPr>
            <w:tcW w:w="1080" w:type="dxa"/>
            <w:vAlign w:val="bottom"/>
            <w:gridSpan w:val="4"/>
          </w:tcPr>
          <w:p>
            <w:pPr>
              <w:spacing w:after="0"/>
              <w:rPr>
                <w:sz w:val="19"/>
                <w:szCs w:val="19"/>
                <w:color w:val="auto"/>
              </w:rPr>
            </w:pPr>
          </w:p>
        </w:tc>
        <w:tc>
          <w:tcPr>
            <w:tcW w:w="3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2"/>
          </w:tcPr>
          <w:p>
            <w:pPr>
              <w:jc w:val="center"/>
              <w:ind w:right="1180"/>
              <w:spacing w:after="0"/>
              <w:rPr>
                <w:sz w:val="20"/>
                <w:szCs w:val="20"/>
                <w:color w:val="auto"/>
              </w:rPr>
            </w:pPr>
            <w:r>
              <w:rPr>
                <w:rFonts w:ascii="Arial" w:cs="Arial" w:eastAsia="Arial" w:hAnsi="Arial"/>
                <w:sz w:val="18"/>
                <w:szCs w:val="18"/>
                <w:color w:val="auto"/>
                <w:w w:val="89"/>
              </w:rPr>
              <w:t>February 22, 2022</w:t>
            </w:r>
          </w:p>
        </w:tc>
        <w:tc>
          <w:tcPr>
            <w:tcW w:w="6380" w:type="dxa"/>
            <w:vAlign w:val="bottom"/>
            <w:gridSpan w:val="3"/>
          </w:tcPr>
          <w:p>
            <w:pPr>
              <w:ind w:left="960"/>
              <w:spacing w:after="0"/>
              <w:rPr>
                <w:sz w:val="20"/>
                <w:szCs w:val="20"/>
                <w:color w:val="auto"/>
              </w:rPr>
            </w:pPr>
            <w:r>
              <w:rPr>
                <w:rFonts w:ascii="Arial" w:cs="Arial" w:eastAsia="Arial" w:hAnsi="Arial"/>
                <w:sz w:val="18"/>
                <w:szCs w:val="18"/>
                <w:color w:val="auto"/>
              </w:rPr>
              <w:t>Director</w:t>
            </w:r>
          </w:p>
        </w:tc>
      </w:tr>
      <w:tr>
        <w:trPr>
          <w:trHeight w:val="499"/>
        </w:trPr>
        <w:tc>
          <w:tcPr>
            <w:tcW w:w="2840" w:type="dxa"/>
            <w:vAlign w:val="bottom"/>
            <w:gridSpan w:val="18"/>
          </w:tcPr>
          <w:p>
            <w:pPr>
              <w:jc w:val="center"/>
              <w:ind w:right="940"/>
              <w:spacing w:after="0"/>
              <w:rPr>
                <w:sz w:val="20"/>
                <w:szCs w:val="20"/>
                <w:color w:val="auto"/>
              </w:rPr>
            </w:pPr>
            <w:r>
              <w:rPr>
                <w:rFonts w:ascii="Arial" w:cs="Arial" w:eastAsia="Arial" w:hAnsi="Arial"/>
                <w:sz w:val="18"/>
                <w:szCs w:val="18"/>
                <w:color w:val="auto"/>
                <w:w w:val="90"/>
              </w:rPr>
              <w:t>/s/ M. Jeannine Strandjord</w:t>
            </w: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2"/>
        </w:trPr>
        <w:tc>
          <w:tcPr>
            <w:tcW w:w="2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16"/>
          </w:tcPr>
          <w:p>
            <w:pPr>
              <w:jc w:val="center"/>
              <w:ind w:right="20"/>
              <w:spacing w:after="0"/>
              <w:rPr>
                <w:sz w:val="20"/>
                <w:szCs w:val="20"/>
                <w:color w:val="auto"/>
              </w:rPr>
            </w:pPr>
            <w:r>
              <w:rPr>
                <w:rFonts w:ascii="Arial" w:cs="Arial" w:eastAsia="Arial" w:hAnsi="Arial"/>
                <w:sz w:val="18"/>
                <w:szCs w:val="18"/>
                <w:b w:val="1"/>
                <w:bCs w:val="1"/>
                <w:color w:val="auto"/>
                <w:w w:val="93"/>
              </w:rPr>
              <w:t>M. Jeannine Strandjord</w:t>
            </w:r>
          </w:p>
        </w:tc>
        <w:tc>
          <w:tcPr>
            <w:tcW w:w="9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2"/>
          </w:tcPr>
          <w:p>
            <w:pPr>
              <w:jc w:val="center"/>
              <w:ind w:right="1180"/>
              <w:spacing w:after="0"/>
              <w:rPr>
                <w:sz w:val="20"/>
                <w:szCs w:val="20"/>
                <w:color w:val="auto"/>
              </w:rPr>
            </w:pPr>
            <w:r>
              <w:rPr>
                <w:rFonts w:ascii="Arial" w:cs="Arial" w:eastAsia="Arial" w:hAnsi="Arial"/>
                <w:sz w:val="18"/>
                <w:szCs w:val="18"/>
                <w:color w:val="auto"/>
                <w:w w:val="89"/>
              </w:rPr>
              <w:t>February 22, 2022</w:t>
            </w:r>
          </w:p>
        </w:tc>
        <w:tc>
          <w:tcPr>
            <w:tcW w:w="6380" w:type="dxa"/>
            <w:vAlign w:val="bottom"/>
            <w:gridSpan w:val="3"/>
          </w:tcPr>
          <w:p>
            <w:pPr>
              <w:ind w:left="960"/>
              <w:spacing w:after="0"/>
              <w:rPr>
                <w:sz w:val="20"/>
                <w:szCs w:val="20"/>
                <w:color w:val="auto"/>
              </w:rPr>
            </w:pPr>
            <w:r>
              <w:rPr>
                <w:rFonts w:ascii="Arial" w:cs="Arial" w:eastAsia="Arial" w:hAnsi="Arial"/>
                <w:sz w:val="18"/>
                <w:szCs w:val="18"/>
                <w:color w:val="auto"/>
              </w:rPr>
              <w:t>Director</w:t>
            </w:r>
          </w:p>
        </w:tc>
      </w:tr>
      <w:tr>
        <w:trPr>
          <w:trHeight w:val="5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80" w:type="dxa"/>
            <w:vAlign w:val="bottom"/>
            <w:gridSpan w:val="14"/>
          </w:tcPr>
          <w:p>
            <w:pPr>
              <w:jc w:val="center"/>
              <w:ind w:right="1080"/>
              <w:spacing w:after="0"/>
              <w:rPr>
                <w:sz w:val="20"/>
                <w:szCs w:val="20"/>
                <w:color w:val="auto"/>
              </w:rPr>
            </w:pPr>
            <w:r>
              <w:rPr>
                <w:rFonts w:ascii="Arial" w:cs="Arial" w:eastAsia="Arial" w:hAnsi="Arial"/>
                <w:sz w:val="18"/>
                <w:szCs w:val="18"/>
                <w:color w:val="auto"/>
                <w:w w:val="93"/>
              </w:rPr>
              <w:t>/s/ Mark R. Callegari</w:t>
            </w: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Borders>
              <w:top w:val="single" w:sz="8" w:color="auto"/>
            </w:tcBorders>
            <w:gridSpan w:val="8"/>
          </w:tcPr>
          <w:p>
            <w:pPr>
              <w:jc w:val="center"/>
              <w:ind w:right="20"/>
              <w:spacing w:after="0"/>
              <w:rPr>
                <w:sz w:val="20"/>
                <w:szCs w:val="20"/>
                <w:color w:val="auto"/>
              </w:rPr>
            </w:pPr>
            <w:r>
              <w:rPr>
                <w:rFonts w:ascii="Arial" w:cs="Arial" w:eastAsia="Arial" w:hAnsi="Arial"/>
                <w:sz w:val="18"/>
                <w:szCs w:val="18"/>
                <w:b w:val="1"/>
                <w:bCs w:val="1"/>
                <w:color w:val="auto"/>
                <w:w w:val="97"/>
              </w:rPr>
              <w:t>Mark R. Callegari</w:t>
            </w:r>
          </w:p>
        </w:tc>
        <w:tc>
          <w:tcPr>
            <w:tcW w:w="1120" w:type="dxa"/>
            <w:vAlign w:val="bottom"/>
            <w:gridSpan w:val="5"/>
          </w:tcPr>
          <w:p>
            <w:pPr>
              <w:spacing w:after="0"/>
              <w:rPr>
                <w:sz w:val="19"/>
                <w:szCs w:val="19"/>
                <w:color w:val="auto"/>
              </w:rPr>
            </w:pPr>
          </w:p>
        </w:tc>
        <w:tc>
          <w:tcPr>
            <w:tcW w:w="3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12"/>
          </w:tcPr>
          <w:p>
            <w:pPr>
              <w:jc w:val="center"/>
              <w:ind w:right="1180"/>
              <w:spacing w:after="0"/>
              <w:rPr>
                <w:sz w:val="20"/>
                <w:szCs w:val="20"/>
                <w:color w:val="auto"/>
              </w:rPr>
            </w:pPr>
            <w:r>
              <w:rPr>
                <w:rFonts w:ascii="Arial" w:cs="Arial" w:eastAsia="Arial" w:hAnsi="Arial"/>
                <w:sz w:val="18"/>
                <w:szCs w:val="18"/>
                <w:color w:val="auto"/>
                <w:w w:val="89"/>
              </w:rPr>
              <w:t>February 22, 2022</w:t>
            </w:r>
          </w:p>
        </w:tc>
        <w:tc>
          <w:tcPr>
            <w:tcW w:w="6380" w:type="dxa"/>
            <w:vAlign w:val="bottom"/>
            <w:gridSpan w:val="3"/>
          </w:tcPr>
          <w:p>
            <w:pPr>
              <w:ind w:left="96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11180"/>
          </w:cols>
          <w:pgMar w:left="320" w:top="337" w:right="39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109" w:name="page110"/>
    <w:bookmarkEnd w:id="10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Euronet's wholly owned subsidiaries were:</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epay Australia Holdings Pty Ltd, incorporated in Australia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epay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HiFX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Pure Commerce Japan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Pure Commerce Pty Limited,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Financial Services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Financial Services Austria GmbH, incorporated in Austria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Middle East W.L.L., incorporated in Bahrain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Innova Taxfree Belgium SPRL, incorporated in 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Envia Financial Services Belgium SPRL, incorporated in 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YourCash Belgium N.V., incorporated in 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Telecom Net S.A. Logistica Digital, incorporated in Brazil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Services EOOD, incorporated in Bulgaria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Gescoro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HiFX Canada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Telecommunications of Canada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XE Corporation,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Chile Servicios Financieros SpA, incorporated in Chile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epay (Shanghai) Technology Development Co., Ltd. d.b.a. epay China, incorporated in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EFT-Usluge d.o.o., incorporated in Croatia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Services, Spol. s r.o., incorporated in the Czech Republic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Financial Services, Denmark ApS, incorporated in Denmark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de la Hispaniola, C.porA, incorporated in Dominican Republic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Middle East, Africa &amp; Pakistan LLC, incorporated in Egypt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de Centroamerica, S.A. de C.V., incorporated in El Salvador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epay Digital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Services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Innova Tax Free France S.A.S.U.,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France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cadooz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cadooz rewards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Delta Euronet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Innova Taxfree Germany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Deutschland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Envia Financial Services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transact Elektronische Zahlungssysteme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Card Services S.A., incorporated in Greece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Asia Holdings Limited, incorporated in Hong Kong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Banktechnikai Szolgaltato Kft.,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Services Kft.,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Services India Pvt. Ltd., incorporated in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Money Transfer Services Pvt. Ltd., incorporated in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PT Euronet Technologies Indonesia, incorporated in Indonesia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Easycash (Ireland)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360 Payments Limited, incorporated in Ireland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 Taxfree Ireland Limited, incorporated in Ireland</w:t>
      </w:r>
    </w:p>
    <w:p>
      <w:pPr>
        <w:spacing w:after="0" w:line="23"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Ireland Limited, incorporated in Ireland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YourCash Ireland Limited, incorporated in Ireland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Pure-Commerce Ltd, incorporated in Isle of Man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Pay &amp; Transaction Services S.R.L., incorporated in Italy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 Taxfree Italy S.R.L., incorporated in Italy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Italia S.R.L., incorporated in Italy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Japan KK, incorporated in Japan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Korea LLC, incorporated in Korea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Lithuania UAB, incorporated in Lithuania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Services Malaysia Sdn. Bhd., incorporated in Malaysia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IME (M) Sdn Bhd, incorporated in Malaysia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epay Mexico, S. de R. L. de C.V., incorporated in Mexico</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Mexico Solutions, S. de R.L. de C.V., incorporated in Mexico</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Transfers de Mexico, S. de R.L. de C.V., incorporated in Mexico</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EFT Services Holding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epay Netherlands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Hanco Automated Teller Machines Holdings B.V., incorporated in the Netherlands</w:t>
      </w:r>
    </w:p>
    <w:p>
      <w:pPr>
        <w:spacing w:after="0" w:line="20" w:lineRule="exact"/>
        <w:rPr>
          <w:rFonts w:ascii="Arial" w:cs="Arial" w:eastAsia="Arial" w:hAnsi="Arial"/>
          <w:sz w:val="17"/>
          <w:szCs w:val="17"/>
          <w:color w:val="auto"/>
        </w:rPr>
      </w:pPr>
    </w:p>
    <w:p>
      <w:pPr>
        <w:ind w:left="328" w:hanging="328"/>
        <w:spacing w:after="0"/>
        <w:tabs>
          <w:tab w:leader="none" w:pos="328" w:val="left"/>
        </w:tabs>
        <w:numPr>
          <w:ilvl w:val="0"/>
          <w:numId w:val="17"/>
        </w:numPr>
        <w:rPr>
          <w:rFonts w:ascii="Arial" w:cs="Arial" w:eastAsia="Arial" w:hAnsi="Arial"/>
          <w:sz w:val="16"/>
          <w:szCs w:val="16"/>
          <w:color w:val="auto"/>
        </w:rPr>
      </w:pPr>
      <w:r>
        <w:rPr>
          <w:rFonts w:ascii="Arial" w:cs="Arial" w:eastAsia="Arial" w:hAnsi="Arial"/>
          <w:sz w:val="16"/>
          <w:szCs w:val="16"/>
          <w:color w:val="auto"/>
        </w:rPr>
        <w:t>Hanco Automated Teller Machines Netherlands B.V., incorporated in the Netherlands</w:t>
      </w:r>
    </w:p>
    <w:p>
      <w:pPr>
        <w:spacing w:after="0" w:line="32" w:lineRule="exact"/>
        <w:rPr>
          <w:rFonts w:ascii="Arial" w:cs="Arial" w:eastAsia="Arial" w:hAnsi="Arial"/>
          <w:sz w:val="16"/>
          <w:szCs w:val="16"/>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 Taxfree Netherlands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XE Europe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Netherlands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Netherlands Holding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epay New Zealand Limited, incorporated in New Zealand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HiFX Limited, incorporated in New Zealand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New Zealand Limited, incorporated in New Zealand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Norway AS, incorporated in Norway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Technology Services, Inc., incorporated in the Philippines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CT202 Spółka z o.o., incorporated in Poland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Polska Spolka z o.o., incorporated in Poland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MT101 Spółka z o.o., incorporated in Poland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IME (Portugal), LDA, incorporated in Portugal</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 Tax Free Portugal Unipessoal Lda, incorporated in Portugal</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Puerto Rico, Inc., incorporated in Puerto Rico</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Services S.R.L., incorporated in Romania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Services O.O.O., incorporated in Russia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Services d.o.o., incorporated in Serbia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Pure Commerce (S) Pte. Ltd., incorporated in Singapore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Pure Commerce Shared Service Pte. Ltd., incorporated in Singapore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Pure Processing Pte. Ltd., incorporated in Singapore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Singapore Pte. Ltd., incorporated in Singapore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Services Slovakia, spol. s r.o., incorporated in Slovakia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Business Holdings, S.L.U.,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Telerecarga, S.L.U.,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 Magazine S.L.,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 Taxfree Group, S.L.,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 Taxfree Spain, S.L.,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Payment Institution EP, S.A.U.,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Spain Holdings S.L.U.,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Sweden AB, incorporated in Sweden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Services Schweiz GmbH, incorporated in Switzerland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GmbH, incorporated in Switzerland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Elektronik Islem Hizmetleri Limited Sirketi, incorporated in Turkey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Turkey Ödeme Kuruluşu Anonim Sirketi, incorporated in Turkey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Ukraine" Limited Liability Company, incorporated in Ukraine</w:t>
      </w:r>
    </w:p>
    <w:p>
      <w:pPr>
        <w:spacing w:after="0" w:line="22" w:lineRule="exact"/>
        <w:rPr>
          <w:sz w:val="20"/>
          <w:szCs w:val="20"/>
          <w:color w:val="auto"/>
        </w:rPr>
      </w:pPr>
    </w:p>
    <w:p>
      <w:pPr>
        <w:ind w:left="524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79375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7"/>
          </w:cols>
          <w:pgMar w:left="652" w:top="341" w:right="1440" w:bottom="1440" w:gutter="0" w:footer="0" w:header="0"/>
        </w:sectPr>
      </w:pPr>
    </w:p>
    <w:bookmarkStart w:id="112" w:name="page113"/>
    <w:bookmarkEnd w:id="112"/>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epay Digital Middle East FZ-LLC, incorporated in United Arab Emirates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Universal Solution Providers FZ-LLC, incorporated in United Arab Emirates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e-pay Holdings Ltd,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epay Ltd,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(London) UK Holdings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360 Finance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Payment Services Ltd,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HiFM Holdings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HiFM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HiFX Europe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IME UK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 Tax Free (UK)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Financial Services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YourCash Europe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YourCash Solutions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YourCash Holdings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YourCash ATM Systems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YourCash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Continental Exchange Solutions, Inc., incorporated in 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Continental Payment Solutions, Inc., incorporated in California,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Dolphin Debit Access, LLC, incorporated in Texas,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EFT Americas,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Pakistan Holdings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USA, LLC, incorporated in Arkansas,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PaySpot, LLC, incorporated in 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Envia, LLC, incorporated in 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Telecommunications of New York, Inc., incorporated in New York,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Telecomnet LLC,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Services LLC, incorporated in Kansas, 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Euronet also had shareholdings in the following companies that are not wholly owned:</w:t>
      </w:r>
    </w:p>
    <w:p>
      <w:pPr>
        <w:spacing w:after="0" w:line="2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Cashlink Bangladesh Ltd., incorporated in Bangladesh, of which 10%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Electronic Transactions Network Ltd., incorporated in Bangladesh, of which 100% is owned by Cashlink Bangladesh Ltd.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ETT (China) Co. Ltd., incorporated in China, of which 49% is owned by Euronet Asia Holdings Limited</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Jiayintong (Beijing) Technology Development Co. Ltd. d.b.a. Euronet China, incorporated in China, of which 85% is owned by Euronet Asia Holdings Limited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Infinitium Solutions Pvt. Ltd., incorporated in India, of which 65.09% is owned by Euronet Services India Pvt. Ltd.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Euronet Pakistan (Pvt.) Limited, incorporated in Pakistan, incorporated in Pakistan, of which 70% is owned by Euronet Pakistan Holdings, Inc.</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Movilcarga S.L., incorporated in Spain, of which 95.05% is owned by Euronet Telerecarga S.L.U.</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Card Services S.A. incorporated in Greece, of which 99.83%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PT Euronet Technologies Indonesia, incorporated in Indonesia of which 99.9%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Middle East, Africa &amp; Pakistan LLC incorporated in Egypt of which 99.5%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Telecom Net S.A. Logistica Digital, incorporated in Brazil of which 99.9% is owned by Telecomnet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Middle East WLL, incorporated in Bahrain of which 99.4%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Ukraine LLC incorporated in Ukraine, of which 99.92%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epay Mexico, S. de R.L. de C.V. of which 99% is owned by EFT Services Holding B.V.</w:t>
      </w:r>
    </w:p>
    <w:p>
      <w:pPr>
        <w:sectPr>
          <w:pgSz w:w="11900" w:h="16838" w:orient="portrait"/>
          <w:cols w:equalWidth="0" w:num="1">
            <w:col w:w="10980"/>
          </w:cols>
          <w:pgMar w:left="320" w:top="341" w:right="5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(Nos. 333-84046, 333-105478, 333-111361, 333-117948, 333-128228 and 333-231252) on Form S-3, (No. 333-116938) on Form S-4, and (Nos. 333-261016, 333-24539, 333-83555, 333-44890, 333-64634, 333-71766, 333-98013, 333-102875, 333-116920, 333-136485, 333-161245, 333-176238, and 333-190337) on Form S-8 of our report dated February 22, 2022, with respect to the consolidated financial statements of Euronet Worldwide, Inc. and the effectiveness of internal control over financial reporting.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1"/>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225" w:lineRule="exact"/>
        <w:rPr>
          <w:rFonts w:ascii="Arial" w:cs="Arial" w:eastAsia="Arial" w:hAnsi="Arial"/>
          <w:sz w:val="18"/>
          <w:szCs w:val="18"/>
          <w:color w:val="auto"/>
        </w:rPr>
      </w:pPr>
    </w:p>
    <w:p>
      <w:pPr>
        <w:jc w:val="both"/>
        <w:ind w:left="340" w:right="440" w:hanging="331"/>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1"/>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1"/>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9" w:lineRule="exact"/>
        <w:rPr>
          <w:rFonts w:ascii="Arial" w:cs="Arial" w:eastAsia="Arial" w:hAnsi="Arial"/>
          <w:sz w:val="18"/>
          <w:szCs w:val="18"/>
          <w:color w:val="auto"/>
        </w:rPr>
      </w:pPr>
    </w:p>
    <w:p>
      <w:pPr>
        <w:jc w:val="both"/>
        <w:ind w:left="980" w:right="100" w:hanging="323"/>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323"/>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540" w:hanging="323"/>
        <w:spacing w:after="0" w:line="342"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120" w:hanging="323"/>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340" w:hanging="331"/>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3"/>
        <w:spacing w:after="0" w:line="308" w:lineRule="auto"/>
        <w:tabs>
          <w:tab w:leader="none" w:pos="9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540" w:hanging="323"/>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2022</w:t>
      </w:r>
    </w:p>
    <w:p>
      <w:pPr>
        <w:spacing w:after="0" w:line="333" w:lineRule="exact"/>
        <w:rPr>
          <w:sz w:val="20"/>
          <w:szCs w:val="20"/>
          <w:color w:val="auto"/>
        </w:rPr>
      </w:pPr>
    </w:p>
    <w:p>
      <w:pPr>
        <w:jc w:val="center"/>
        <w:ind w:right="546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6903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53"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1"/>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jc w:val="both"/>
        <w:ind w:left="340" w:right="440" w:hanging="331"/>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1"/>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1"/>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right="100" w:hanging="323"/>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3"/>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right="540" w:hanging="323"/>
        <w:spacing w:after="0" w:line="342"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120" w:hanging="323"/>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9" w:lineRule="exact"/>
        <w:rPr>
          <w:rFonts w:ascii="Arial" w:cs="Arial" w:eastAsia="Arial" w:hAnsi="Arial"/>
          <w:sz w:val="18"/>
          <w:szCs w:val="18"/>
          <w:color w:val="auto"/>
        </w:rPr>
      </w:pPr>
    </w:p>
    <w:p>
      <w:pPr>
        <w:ind w:left="260" w:right="420" w:hanging="251"/>
        <w:spacing w:after="0" w:line="308" w:lineRule="auto"/>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3"/>
        <w:spacing w:after="0" w:line="308"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21" w:lineRule="exact"/>
        <w:rPr>
          <w:rFonts w:ascii="Arial" w:cs="Arial" w:eastAsia="Arial" w:hAnsi="Arial"/>
          <w:sz w:val="17"/>
          <w:szCs w:val="17"/>
          <w:color w:val="auto"/>
        </w:rPr>
      </w:pPr>
    </w:p>
    <w:p>
      <w:pPr>
        <w:ind w:left="960" w:hanging="303"/>
        <w:spacing w:after="0" w:line="277"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2022</w:t>
      </w:r>
    </w:p>
    <w:p>
      <w:pPr>
        <w:spacing w:after="0" w:line="387" w:lineRule="exact"/>
        <w:rPr>
          <w:sz w:val="20"/>
          <w:szCs w:val="20"/>
          <w:color w:val="auto"/>
        </w:rPr>
      </w:pPr>
    </w:p>
    <w:p>
      <w:pPr>
        <w:jc w:val="center"/>
        <w:ind w:right="546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690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3"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2021 as filed with the Securities and Exchange Commission on the date hereof (the “Report”), the undersigned hereby certifies, pursuant to 18 U.S.C. Section 1350, as adopted pursuant to Section 906 of the Sarbanes-Oxley Act of 2002, that:</w:t>
      </w:r>
    </w:p>
    <w:p>
      <w:pPr>
        <w:spacing w:after="0" w:line="76" w:lineRule="exact"/>
        <w:rPr>
          <w:sz w:val="20"/>
          <w:szCs w:val="20"/>
          <w:color w:val="auto"/>
        </w:rPr>
      </w:pPr>
    </w:p>
    <w:p>
      <w:pPr>
        <w:ind w:left="600" w:hanging="267"/>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346" w:lineRule="exact"/>
        <w:rPr>
          <w:rFonts w:ascii="Arial" w:cs="Arial" w:eastAsia="Arial" w:hAnsi="Arial"/>
          <w:sz w:val="18"/>
          <w:szCs w:val="18"/>
          <w:color w:val="auto"/>
        </w:rPr>
      </w:pPr>
    </w:p>
    <w:p>
      <w:pPr>
        <w:ind w:left="600" w:hanging="267"/>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jc w:val="center"/>
        <w:ind w:right="546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690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3"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2021 as filed with the Securities and Exchange Commission on the date hereof (the “Report”), the undersigned hereby certifies, pursuant to 18 U.S.C. Section 1350, as adopted pursuant to Section 906 of the Sarbanes-Oxley Act of 2002, that:</w:t>
      </w:r>
    </w:p>
    <w:p>
      <w:pPr>
        <w:spacing w:after="0" w:line="76" w:lineRule="exact"/>
        <w:rPr>
          <w:sz w:val="20"/>
          <w:szCs w:val="20"/>
          <w:color w:val="auto"/>
        </w:rPr>
      </w:pPr>
    </w:p>
    <w:p>
      <w:pPr>
        <w:ind w:left="660" w:hanging="32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7"/>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46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690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3"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2"/>
    </w:lvl>
  </w:abstractNum>
  <w:abstractNum w:abstractNumId="9">
    <w:nsid w:val="4E6AFB66"/>
    <w:multiLevelType w:val="hybridMultilevel"/>
    <w:lvl w:ilvl="0">
      <w:lvlJc w:val="left"/>
      <w:lvlText w:val="\emdash "/>
      <w:numFmt w:val="bullet"/>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04"/>
    </w:lvl>
  </w:abstractNum>
  <w:abstractNum w:abstractNumId="14">
    <w:nsid w:val="7C83E458"/>
    <w:multiLevelType w:val="hybridMultilevel"/>
    <w:lvl w:ilvl="0">
      <w:lvlJc w:val="left"/>
      <w:lvlText w:val="(%1)"/>
      <w:numFmt w:val="decimal"/>
      <w:start w:val="1"/>
    </w:lvl>
    <w:lvl w:ilvl="1">
      <w:lvlJc w:val="left"/>
      <w:lvlText w:val="(%2)"/>
      <w:numFmt w:val="decimal"/>
      <w:start w:val="2"/>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188" Type="http://schemas.openxmlformats.org/officeDocument/2006/relationships/hyperlink" Target="http://www.sec.gov/Archives/edgar/data/1029199/000101410809000126/ewi-ex32toform8k_8353998v3.htm" TargetMode="External"/><Relationship Id="rId189" Type="http://schemas.openxmlformats.org/officeDocument/2006/relationships/hyperlink" Target="http://www.sec.gov/Archives/edgar/data/1029199/000101410809000126/ewi-ex31toform8k_8353998v3.htm" TargetMode="External"/><Relationship Id="rId190" Type="http://schemas.openxmlformats.org/officeDocument/2006/relationships/hyperlink" Target="http://www.sec.gov/Archives/edgar/data/1029199/000101410813000094/ex31-certofrights.htm" TargetMode="External"/><Relationship Id="rId191" Type="http://schemas.openxmlformats.org/officeDocument/2006/relationships/hyperlink" Target="http://www.sec.gov/Archives/edgar/data/1029199/000102919917000004/exhibit32-amendedandrestat.htm" TargetMode="External"/><Relationship Id="rId192" Type="http://schemas.openxmlformats.org/officeDocument/2006/relationships/hyperlink" Target="http://www.sec.gov/Archives/edgar/data/1029199/000119312514398639/d817126dex41.htm" TargetMode="External"/><Relationship Id="rId193" Type="http://schemas.openxmlformats.org/officeDocument/2006/relationships/hyperlink" Target="http://www.sec.gov/Archives/edgar/data/1029199/000102919919000025/exhibit41indenture.htm" TargetMode="External"/><Relationship Id="rId196" Type="http://schemas.openxmlformats.org/officeDocument/2006/relationships/hyperlink" Target="http://www.sec.gov/Archives/edgar/data/1029199/000102919920000009/eeft12312019ex46.htm" TargetMode="External"/><Relationship Id="rId197" Type="http://schemas.openxmlformats.org/officeDocument/2006/relationships/hyperlink" Target="http://www.sec.gov/Archives/edgar/data/1029199/000095013706008670/c07036exv10w8.htm" TargetMode="External"/><Relationship Id="rId198" Type="http://schemas.openxmlformats.org/officeDocument/2006/relationships/hyperlink" Target="http://www.sec.gov/Archives/edgar/data/1029199/000095013707002990/c11971exv10w39.htm" TargetMode="External"/><Relationship Id="rId199" Type="http://schemas.openxmlformats.org/officeDocument/2006/relationships/hyperlink" Target="http://www.sec.gov/Archives/edgar/data/1029199/000101410807000144/ewi-ex101toform8k_7640045.htm" TargetMode="External"/><Relationship Id="rId200" Type="http://schemas.openxmlformats.org/officeDocument/2006/relationships/hyperlink" Target="http://www.sec.gov/Archives/edgar/data/1029199/000095013708007169/c26311exv10w3.htm" TargetMode="External"/><Relationship Id="rId201" Type="http://schemas.openxmlformats.org/officeDocument/2006/relationships/hyperlink" Target="http://www.sec.gov/Archives/edgar/data/1029199/000095013708007169/c26311exv10w4.htm" TargetMode="External"/><Relationship Id="rId202" Type="http://schemas.openxmlformats.org/officeDocument/2006/relationships/hyperlink" Target="http://www.sec.gov/Archives/edgar/data/1029199/000095013708007169/c26311exv10w6.htm" TargetMode="External"/><Relationship Id="rId203" Type="http://schemas.openxmlformats.org/officeDocument/2006/relationships/hyperlink" Target="http://www.sec.gov/Archives/edgar/data/1029199/000095015208010588/c48372exv10w1.htm" TargetMode="External"/><Relationship Id="rId204" Type="http://schemas.openxmlformats.org/officeDocument/2006/relationships/hyperlink" Target="http://www.sec.gov/Archives/edgar/data/1029199/000121390021020144/MainDocument.htm" TargetMode="External"/><Relationship Id="rId205" Type="http://schemas.openxmlformats.org/officeDocument/2006/relationships/hyperlink" Target="http://www.sec.gov/Archives/edgar/data/1029199/000095012310046071/c57991exv10w1.htm" TargetMode="External"/><Relationship Id="rId206" Type="http://schemas.openxmlformats.org/officeDocument/2006/relationships/hyperlink" Target="http://www.sec.gov/Archives/edgar/data/1029199/000095012310046071/c57991exv10w2.htm" TargetMode="External"/><Relationship Id="rId207" Type="http://schemas.openxmlformats.org/officeDocument/2006/relationships/hyperlink" Target="http://www.sec.gov/Archives/edgar/data/1029199/000095012311018840/c61623exv10w25.htm" TargetMode="External"/><Relationship Id="rId208" Type="http://schemas.openxmlformats.org/officeDocument/2006/relationships/hyperlink" Target="http://www.sec.gov/Archives/edgar/data/1029199/000102919917000080/exhibit101nikosfountasempl.htm" TargetMode="External"/><Relationship Id="rId209" Type="http://schemas.openxmlformats.org/officeDocument/2006/relationships/hyperlink" Target="http://www.sec.gov/Archives/edgar/data/1029199/000095012311018840/c61623exv10w26.htm" TargetMode="External"/><Relationship Id="rId212" Type="http://schemas.openxmlformats.org/officeDocument/2006/relationships/hyperlink" Target="http://www.sec.gov/Archives/edgar/data/1029199/000102919916000143/eeft12312015ex1018.htm" TargetMode="External"/><Relationship Id="rId213" Type="http://schemas.openxmlformats.org/officeDocument/2006/relationships/hyperlink" Target="http://www.sec.gov/Archives/edgar/data/1029199/000102919916000159/def14aproxystatement-2016.htm" TargetMode="External"/><Relationship Id="rId214" Type="http://schemas.openxmlformats.org/officeDocument/2006/relationships/hyperlink" Target="http://www.sec.gov/Archives/edgar/data/1029199/000102919911000015/exhibit101creditagreement.htm" TargetMode="External"/><Relationship Id="rId215" Type="http://schemas.openxmlformats.org/officeDocument/2006/relationships/hyperlink" Target="http://www.sec.gov/Archives/edgar/data/1029199/000102919918000015/eeft12312017ex1019.htm" TargetMode="External"/><Relationship Id="rId216" Type="http://schemas.openxmlformats.org/officeDocument/2006/relationships/hyperlink" Target="http://www.sec.gov/Archives/edgar/data/1029199/000102919918000015/eeft12312017ex1020.htm" TargetMode="External"/><Relationship Id="rId217" Type="http://schemas.openxmlformats.org/officeDocument/2006/relationships/hyperlink" Target="http://www.sec.gov/Archives/edgar/data/1029199/000121390021040149/ex103_5.htm" TargetMode="External"/><Relationship Id="rId218" Type="http://schemas.openxmlformats.org/officeDocument/2006/relationships/hyperlink" Target="http://www.sec.gov/Archives/edgar/data/1029199/000121390020027363/ex10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2022-02-23T05:16:09Z</dcterms:created>
  <dcterms:modified xsi:type="dcterms:W3CDTF">2022-02-23T05:16:09Z</dcterms:modified>
</cp:coreProperties>
</file>