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4"/>
          <w:szCs w:val="24"/>
          <w:color w:val="auto"/>
        </w:rPr>
      </w:pPr>
    </w:p>
    <w:p>
      <w:pPr>
        <w:ind w:left="4000" w:right="2500" w:hanging="3682"/>
        <w:spacing w:after="0" w:line="369" w:lineRule="auto"/>
        <w:tabs>
          <w:tab w:leader="none" w:pos="52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520" w:hanging="20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3900"/>
        <w:spacing w:after="0"/>
        <w:tabs>
          <w:tab w:leader="none" w:pos="61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001-31648</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EURONET WORLDWIDE, INC.</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Delaware</w:t>
            </w:r>
          </w:p>
        </w:tc>
        <w:tc>
          <w:tcPr>
            <w:tcW w:w="4660" w:type="dxa"/>
            <w:vAlign w:val="bottom"/>
          </w:tcPr>
          <w:p>
            <w:pPr>
              <w:jc w:val="right"/>
              <w:ind w:right="779"/>
              <w:spacing w:after="0"/>
              <w:rPr>
                <w:sz w:val="20"/>
                <w:szCs w:val="20"/>
                <w:color w:val="auto"/>
              </w:rPr>
            </w:pPr>
            <w:r>
              <w:rPr>
                <w:rFonts w:ascii="Arial" w:cs="Arial" w:eastAsia="Arial" w:hAnsi="Arial"/>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Arial" w:cs="Arial" w:eastAsia="Arial" w:hAnsi="Arial"/>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Arial" w:cs="Arial" w:eastAsia="Arial" w:hAnsi="Arial"/>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66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(Zip Code)</w:t>
            </w:r>
          </w:p>
        </w:tc>
      </w:tr>
      <w:tr>
        <w:trPr>
          <w:trHeight w:val="297"/>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Arial" w:cs="Arial" w:eastAsia="Arial" w:hAnsi="Arial"/>
                <w:sz w:val="16"/>
                <w:szCs w:val="16"/>
                <w:b w:val="1"/>
                <w:bCs w:val="1"/>
                <w:color w:val="auto"/>
              </w:rPr>
              <w:t>(913) 327-4200</w:t>
            </w: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56"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Arial" w:cs="Arial" w:eastAsia="Arial" w:hAnsi="Arial"/>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Arial" w:cs="Arial" w:eastAsia="Arial" w:hAnsi="Arial"/>
                <w:sz w:val="16"/>
                <w:szCs w:val="16"/>
                <w:b w:val="1"/>
                <w:bCs w:val="1"/>
                <w:color w:val="auto"/>
                <w:w w:val="90"/>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7"/>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Arial" w:cs="Arial" w:eastAsia="Arial" w:hAnsi="Arial"/>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5"/>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58" w:lineRule="exact"/>
        <w:rPr>
          <w:sz w:val="24"/>
          <w:szCs w:val="24"/>
          <w:color w:val="auto"/>
        </w:rPr>
      </w:pPr>
    </w:p>
    <w:p>
      <w:pPr>
        <w:ind w:right="20"/>
        <w:spacing w:after="0" w:line="22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ind w:right="26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01" w:lineRule="exact"/>
        <w:rPr>
          <w:sz w:val="24"/>
          <w:szCs w:val="24"/>
          <w:color w:val="auto"/>
        </w:rPr>
      </w:pPr>
    </w:p>
    <w:p>
      <w:pPr>
        <w:ind w:right="14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60"/>
              <w:spacing w:after="0"/>
              <w:rPr>
                <w:sz w:val="20"/>
                <w:szCs w:val="20"/>
                <w:color w:val="auto"/>
              </w:rPr>
            </w:pPr>
            <w:r>
              <w:rPr>
                <w:rFonts w:ascii="Arial" w:cs="Arial" w:eastAsia="Arial" w:hAnsi="Arial"/>
                <w:sz w:val="16"/>
                <w:szCs w:val="16"/>
                <w:color w:val="auto"/>
              </w:rPr>
              <w:t>o</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00" w:type="dxa"/>
            <w:vAlign w:val="bottom"/>
          </w:tcPr>
          <w:p>
            <w:pPr>
              <w:ind w:left="500"/>
              <w:spacing w:after="0"/>
              <w:rPr>
                <w:sz w:val="20"/>
                <w:szCs w:val="20"/>
                <w:color w:val="auto"/>
              </w:rPr>
            </w:pPr>
            <w:r>
              <w:rPr>
                <w:rFonts w:ascii="Arial" w:cs="Arial" w:eastAsia="Arial" w:hAnsi="Arial"/>
                <w:sz w:val="16"/>
                <w:szCs w:val="16"/>
                <w:color w:val="auto"/>
              </w:rPr>
              <w:t>o</w:t>
            </w:r>
          </w:p>
        </w:tc>
        <w:tc>
          <w:tcPr>
            <w:tcW w:w="47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7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580"/>
        <w:spacing w:after="0" w:line="27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right="300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May 3, 2021, Euronet Worldwide, Inc. had 52,797,354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08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-119380</wp:posOffset>
            </wp:positionV>
            <wp:extent cx="709803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380" w:type="dxa"/>
            <w:vAlign w:val="bottom"/>
            <w:gridSpan w:val="22"/>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2021 and December 31, 2020</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2021 and 2020</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 for the Three Months Ended March 31, 2021 and 2020</w:t>
              </w:r>
            </w:hyperlink>
          </w:p>
        </w:tc>
        <w:tc>
          <w:tcPr>
            <w:tcW w:w="1820" w:type="dxa"/>
            <w:vAlign w:val="bottom"/>
            <w:tcBorders>
              <w:bottom w:val="single" w:sz="8" w:color="CCEEFF"/>
            </w:tcBorders>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 for the Three Months Ended March 31, 2021 and 2020</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Three Months Ended March 31, 2021 and 2020</w:t>
              </w:r>
            </w:hyperlink>
          </w:p>
        </w:tc>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the Unaudited Consolidated Financial Statements</w:t>
              </w:r>
            </w:hyperlink>
          </w:p>
        </w:tc>
        <w:tc>
          <w:tcPr>
            <w:tcW w:w="2500" w:type="dxa"/>
            <w:vAlign w:val="bottom"/>
            <w:tcBorders>
              <w:top w:val="single" w:sz="8" w:color="CCEE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3.</w:t>
            </w: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380" w:type="dxa"/>
            <w:vAlign w:val="bottom"/>
            <w:gridSpan w:val="22"/>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PART II—OTHER INFORMATION</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1A.</w:t>
            </w: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6.</w:t>
            </w: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0" w:type="dxa"/>
            <w:vAlign w:val="bottom"/>
            <w:tcBorders>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1,145,406</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1,420,255</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ATM cash</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339,883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411,054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960,313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of credit losses of $4,717 and $5,926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117,517</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272,900</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3,365,935</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162,074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$485,467 and $490,429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378,441</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665,821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intangible assets, net of accumulated amortization of $178,219 and $175,210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121,883</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 of accumulated amortization of $57,118 and $55,710</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232,557</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4,350,834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4,926,711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960,313</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404,021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52,436</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1,855,441</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1,437,589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106,502</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43,401</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2,945,107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3,480,808</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shares issued 63,429,190 and 63,366,010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1,228,446</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Treasury stock, at cost, shares issued 10,632,705 and 10,631,961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(703,514)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(703,032)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1,013,155</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(94,214)</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1,445,622</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1,405,727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1,445,903</w:t>
            </w:r>
          </w:p>
        </w:tc>
        <w:tc>
          <w:tcPr>
            <w:tcW w:w="0" w:type="dxa"/>
            <w:vAlign w:val="bottom"/>
          </w:tcPr>
          <w:p>
            <w:pPr>
              <w:spacing w:after="0"/>
              <w:rPr>
                <w:sz w:val="1"/>
                <w:szCs w:val="1"/>
                <w:color w:val="auto"/>
              </w:rPr>
            </w:pPr>
          </w:p>
        </w:tc>
      </w:tr>
      <w:tr>
        <w:trPr>
          <w:trHeight w:val="209"/>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4,350,834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4,926,711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900"/>
              <w:spacing w:after="0"/>
              <w:rPr>
                <w:sz w:val="20"/>
                <w:szCs w:val="20"/>
                <w:color w:val="auto"/>
              </w:rPr>
            </w:pPr>
            <w:r>
              <w:rPr>
                <w:rFonts w:ascii="Arial" w:cs="Arial" w:eastAsia="Arial" w:hAnsi="Arial"/>
                <w:sz w:val="18"/>
                <w:szCs w:val="18"/>
                <w:color w:val="auto"/>
                <w:w w:val="92"/>
              </w:rPr>
              <w:t>See accompanying notes to the unaudited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55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8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6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13335</wp:posOffset>
            </wp:positionV>
            <wp:extent cx="2134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49"/>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652,670</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583,907</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359,456</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115,668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101,240</w:t>
            </w:r>
          </w:p>
        </w:tc>
      </w:tr>
      <w:tr>
        <w:trPr>
          <w:trHeight w:val="27"/>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60,793</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30,816</w:t>
            </w:r>
          </w:p>
        </w:tc>
      </w:tr>
      <w:tr>
        <w:trPr>
          <w:trHeight w:val="27"/>
        </w:trPr>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7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642,221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552,305</w:t>
            </w: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31,602</w:t>
            </w:r>
          </w:p>
        </w:tc>
      </w:tr>
      <w:tr>
        <w:trPr>
          <w:trHeight w:val="27"/>
        </w:trPr>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567</w:t>
            </w:r>
          </w:p>
        </w:tc>
      </w:tr>
      <w:tr>
        <w:trPr>
          <w:trHeight w:val="27"/>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Foreign currency exchange loss,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(18,806)</w:t>
            </w:r>
          </w:p>
        </w:tc>
      </w:tr>
      <w:tr>
        <w:trPr>
          <w:trHeight w:val="27"/>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r>
      <w:tr>
        <w:trPr>
          <w:trHeight w:val="237"/>
        </w:trPr>
        <w:tc>
          <w:tcPr>
            <w:tcW w:w="782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(27,441)</w:t>
            </w:r>
          </w:p>
        </w:tc>
      </w:tr>
      <w:tr>
        <w:trPr>
          <w:trHeight w:val="27"/>
        </w:trPr>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income before income taxes</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4,161</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7"/>
        </w:trPr>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1,720</w:t>
            </w:r>
          </w:p>
        </w:tc>
      </w:tr>
      <w:tr>
        <w:trPr>
          <w:trHeight w:val="263"/>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loss attributable to noncontrolling interests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201</w:t>
            </w:r>
          </w:p>
        </w:tc>
      </w:tr>
      <w:tr>
        <w:trPr>
          <w:trHeight w:val="263"/>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Euronet Worldwide, Inc.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 attributable to Euronet Worldwide, Inc. stockholders: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83"/>
        </w:trPr>
        <w:tc>
          <w:tcPr>
            <w:tcW w:w="782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0.04</w:t>
            </w:r>
          </w:p>
        </w:tc>
      </w:tr>
      <w:tr>
        <w:trPr>
          <w:trHeight w:val="20"/>
        </w:trPr>
        <w:tc>
          <w:tcPr>
            <w:tcW w:w="7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25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303"/>
        </w:trPr>
        <w:tc>
          <w:tcPr>
            <w:tcW w:w="7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52,762,845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53,607,104</w:t>
            </w:r>
          </w:p>
        </w:tc>
      </w:tr>
      <w:tr>
        <w:trPr>
          <w:trHeight w:val="251"/>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52,762,845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54,779,321</w:t>
            </w: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380"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13335</wp:posOffset>
            </wp:positionV>
            <wp:extent cx="2134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r>
      <w:tr>
        <w:trPr>
          <w:trHeight w:val="269"/>
        </w:trPr>
        <w:tc>
          <w:tcPr>
            <w:tcW w:w="7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23"/>
                <w:szCs w:val="23"/>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(42,901)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(59,818)</w:t>
            </w:r>
          </w:p>
        </w:tc>
        <w:tc>
          <w:tcPr>
            <w:tcW w:w="80" w:type="dxa"/>
            <w:vAlign w:val="bottom"/>
          </w:tcPr>
          <w:p>
            <w:pPr>
              <w:spacing w:after="0"/>
              <w:rPr>
                <w:sz w:val="21"/>
                <w:szCs w:val="2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6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9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(51,522)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(58,098)</w:t>
            </w:r>
          </w:p>
        </w:tc>
        <w:tc>
          <w:tcPr>
            <w:tcW w:w="80" w:type="dxa"/>
            <w:vAlign w:val="bottom"/>
            <w:shd w:val="clear" w:color="auto" w:fill="CCEEFF"/>
          </w:tcPr>
          <w:p>
            <w:pPr>
              <w:spacing w:after="0"/>
              <w:rPr>
                <w:sz w:val="22"/>
                <w:szCs w:val="22"/>
                <w:color w:val="auto"/>
              </w:rPr>
            </w:pP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1"/>
                <w:szCs w:val="2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57"/>
        </w:trPr>
        <w:tc>
          <w:tcPr>
            <w:tcW w:w="7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Comprehensive loss attributable to Euronet Worldwide, Inc.</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(51,510)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
        </w:trPr>
        <w:tc>
          <w:tcPr>
            <w:tcW w:w="7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Treasury</w:t>
            </w:r>
          </w:p>
        </w:tc>
      </w:tr>
      <w:tr>
        <w:trPr>
          <w:trHeight w:val="210"/>
        </w:trPr>
        <w:tc>
          <w:tcPr>
            <w:tcW w:w="58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9"/>
              </w:rPr>
              <w:t>Shares 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Paid-in Capital</w:t>
            </w:r>
          </w:p>
        </w:tc>
        <w:tc>
          <w:tcPr>
            <w:tcW w:w="200" w:type="dxa"/>
            <w:vAlign w:val="bottom"/>
          </w:tcPr>
          <w:p>
            <w:pPr>
              <w:spacing w:after="0"/>
              <w:rPr>
                <w:sz w:val="18"/>
                <w:szCs w:val="18"/>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Stock</w:t>
            </w:r>
          </w:p>
        </w:tc>
      </w:tr>
      <w:tr>
        <w:trPr>
          <w:trHeight w:val="33"/>
        </w:trPr>
        <w:tc>
          <w:tcPr>
            <w:tcW w:w="5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54,220,854</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(463,704</w:t>
            </w:r>
            <w:r>
              <w:rPr>
                <w:rFonts w:ascii="Arial" w:cs="Arial" w:eastAsia="Arial" w:hAnsi="Arial"/>
                <w:sz w:val="17"/>
                <w:szCs w:val="17"/>
                <w:color w:val="auto"/>
              </w:rPr>
              <w:t>)</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420" w:type="dxa"/>
            <w:vAlign w:val="bottom"/>
          </w:tcPr>
          <w:p>
            <w:pPr>
              <w:jc w:val="right"/>
              <w:spacing w:after="0"/>
              <w:rPr>
                <w:sz w:val="20"/>
                <w:szCs w:val="20"/>
                <w:color w:val="auto"/>
              </w:rPr>
            </w:pPr>
            <w:r>
              <w:rPr>
                <w:rFonts w:ascii="Arial" w:cs="Arial" w:eastAsia="Arial" w:hAnsi="Arial"/>
                <w:sz w:val="16"/>
                <w:szCs w:val="16"/>
                <w:color w:val="auto"/>
              </w:rPr>
              <w:t>80,519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249)</w:t>
            </w:r>
          </w:p>
        </w:tc>
      </w:tr>
      <w:tr>
        <w:trPr>
          <w:trHeight w:val="27"/>
        </w:trPr>
        <w:tc>
          <w:tcPr>
            <w:tcW w:w="5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1420" w:type="dxa"/>
            <w:vAlign w:val="bottom"/>
          </w:tcPr>
          <w:p>
            <w:pPr>
              <w:jc w:val="right"/>
              <w:spacing w:after="0"/>
              <w:rPr>
                <w:sz w:val="20"/>
                <w:szCs w:val="20"/>
                <w:color w:val="auto"/>
              </w:rPr>
            </w:pPr>
            <w:r>
              <w:rPr>
                <w:rFonts w:ascii="Arial" w:cs="Arial" w:eastAsia="Arial" w:hAnsi="Arial"/>
                <w:sz w:val="16"/>
                <w:szCs w:val="16"/>
                <w:color w:val="auto"/>
              </w:rPr>
              <w:t>(2,095,683</w:t>
            </w: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(239,763)</w:t>
            </w:r>
          </w:p>
        </w:tc>
      </w:tr>
      <w:tr>
        <w:trPr>
          <w:trHeight w:val="27"/>
        </w:trPr>
        <w:tc>
          <w:tcPr>
            <w:tcW w:w="5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52,205,690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1,198,097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(703,716</w:t>
            </w:r>
            <w:r>
              <w:rPr>
                <w:rFonts w:ascii="Arial" w:cs="Arial" w:eastAsia="Arial" w:hAnsi="Arial"/>
                <w:sz w:val="17"/>
                <w:szCs w:val="17"/>
                <w:color w:val="auto"/>
              </w:rPr>
              <w:t>)</w:t>
            </w:r>
          </w:p>
        </w:tc>
      </w:tr>
      <w:tr>
        <w:trPr>
          <w:trHeight w:val="20"/>
        </w:trPr>
        <w:tc>
          <w:tcPr>
            <w:tcW w:w="5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54"/>
        </w:trPr>
        <w:tc>
          <w:tcPr>
            <w:tcW w:w="58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24"/>
                <w:szCs w:val="24"/>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Treasury</w:t>
            </w:r>
          </w:p>
        </w:tc>
      </w:tr>
      <w:tr>
        <w:trPr>
          <w:trHeight w:val="210"/>
        </w:trPr>
        <w:tc>
          <w:tcPr>
            <w:tcW w:w="58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9"/>
              </w:rPr>
              <w:t>Shares 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Paid-in Capital</w:t>
            </w:r>
          </w:p>
        </w:tc>
        <w:tc>
          <w:tcPr>
            <w:tcW w:w="200" w:type="dxa"/>
            <w:vAlign w:val="bottom"/>
          </w:tcPr>
          <w:p>
            <w:pPr>
              <w:spacing w:after="0"/>
              <w:rPr>
                <w:sz w:val="18"/>
                <w:szCs w:val="18"/>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Stock</w:t>
            </w:r>
          </w:p>
        </w:tc>
      </w:tr>
      <w:tr>
        <w:trPr>
          <w:trHeight w:val="33"/>
        </w:trPr>
        <w:tc>
          <w:tcPr>
            <w:tcW w:w="5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52,734,049</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(703,032</w:t>
            </w:r>
            <w:r>
              <w:rPr>
                <w:rFonts w:ascii="Arial" w:cs="Arial" w:eastAsia="Arial" w:hAnsi="Arial"/>
                <w:sz w:val="17"/>
                <w:szCs w:val="17"/>
                <w:color w:val="auto"/>
              </w:rPr>
              <w:t>)</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420" w:type="dxa"/>
            <w:vAlign w:val="bottom"/>
          </w:tcPr>
          <w:p>
            <w:pPr>
              <w:jc w:val="right"/>
              <w:spacing w:after="0"/>
              <w:rPr>
                <w:sz w:val="20"/>
                <w:szCs w:val="20"/>
                <w:color w:val="auto"/>
              </w:rPr>
            </w:pPr>
            <w:r>
              <w:rPr>
                <w:rFonts w:ascii="Arial" w:cs="Arial" w:eastAsia="Arial" w:hAnsi="Arial"/>
                <w:sz w:val="16"/>
                <w:szCs w:val="16"/>
                <w:color w:val="auto"/>
              </w:rPr>
              <w:t>62,436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5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57"/>
        </w:trPr>
        <w:tc>
          <w:tcPr>
            <w:tcW w:w="5820" w:type="dxa"/>
            <w:vAlign w:val="bottom"/>
          </w:tcPr>
          <w:p>
            <w:pPr>
              <w:ind w:left="40"/>
              <w:spacing w:after="0"/>
              <w:rPr>
                <w:sz w:val="20"/>
                <w:szCs w:val="20"/>
                <w:color w:val="auto"/>
              </w:rPr>
            </w:pPr>
            <w:r>
              <w:rPr>
                <w:rFonts w:ascii="Arial" w:cs="Arial" w:eastAsia="Arial" w:hAnsi="Arial"/>
                <w:sz w:val="16"/>
                <w:szCs w:val="16"/>
                <w:color w:val="auto"/>
              </w:rPr>
              <w:t>Balance as of March 31, 2021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52,796,485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1,240,273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(703,514</w:t>
            </w:r>
            <w:r>
              <w:rPr>
                <w:rFonts w:ascii="Arial" w:cs="Arial" w:eastAsia="Arial" w:hAnsi="Arial"/>
                <w:sz w:val="17"/>
                <w:szCs w:val="17"/>
                <w:color w:val="auto"/>
              </w:rPr>
              <w:t>)</w:t>
            </w:r>
          </w:p>
        </w:tc>
      </w:tr>
      <w:tr>
        <w:trPr>
          <w:trHeight w:val="20"/>
        </w:trPr>
        <w:tc>
          <w:tcPr>
            <w:tcW w:w="5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EURONET WORLDWIDE,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Noncontrolling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33"/>
        </w:trPr>
        <w:tc>
          <w:tcPr>
            <w:tcW w:w="5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1,016,554</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(164,890)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1,579,342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70"/>
        </w:trPr>
        <w:tc>
          <w:tcPr>
            <w:tcW w:w="58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1,720</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59,777</w:t>
            </w: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41</w:t>
            </w: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59,818</w:t>
            </w:r>
            <w:r>
              <w:rPr>
                <w:rFonts w:ascii="Arial" w:cs="Arial" w:eastAsia="Arial" w:hAnsi="Arial"/>
                <w:sz w:val="16"/>
                <w:szCs w:val="16"/>
                <w:color w:val="auto"/>
              </w:rPr>
              <w:t>)</w:t>
            </w:r>
          </w:p>
        </w:tc>
      </w:tr>
      <w:tr>
        <w:trPr>
          <w:trHeight w:val="243"/>
        </w:trPr>
        <w:tc>
          <w:tcPr>
            <w:tcW w:w="588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1,453</w:t>
            </w:r>
          </w:p>
        </w:tc>
      </w:tr>
      <w:tr>
        <w:trPr>
          <w:trHeight w:val="27"/>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6,338</w:t>
            </w:r>
          </w:p>
        </w:tc>
      </w:tr>
      <w:tr>
        <w:trPr>
          <w:trHeight w:val="243"/>
        </w:trPr>
        <w:tc>
          <w:tcPr>
            <w:tcW w:w="588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(239,763)</w:t>
            </w:r>
          </w:p>
        </w:tc>
      </w:tr>
      <w:tr>
        <w:trPr>
          <w:trHeight w:val="27"/>
        </w:trPr>
        <w:tc>
          <w:tcPr>
            <w:tcW w:w="5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2020</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1,018,475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1,289,272</w:t>
            </w:r>
          </w:p>
        </w:tc>
        <w:tc>
          <w:tcPr>
            <w:tcW w:w="60" w:type="dxa"/>
            <w:vAlign w:val="bottom"/>
            <w:tcBorders>
              <w:bottom w:val="single" w:sz="8" w:color="auto"/>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47"/>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Noncontrolling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33"/>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3"/>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2020</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1,013,155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(94,214</w:t>
            </w: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1,445,903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70"/>
        </w:trPr>
        <w:tc>
          <w:tcPr>
            <w:tcW w:w="588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(8,621</w:t>
            </w:r>
            <w:r>
              <w:rPr>
                <w:rFonts w:ascii="Arial" w:cs="Arial" w:eastAsia="Arial" w:hAnsi="Arial"/>
                <w:sz w:val="17"/>
                <w:szCs w:val="17"/>
                <w:color w:val="auto"/>
              </w:rPr>
              <w:t>)</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(42,901</w:t>
            </w:r>
            <w:r>
              <w:rPr>
                <w:rFonts w:ascii="Arial" w:cs="Arial" w:eastAsia="Arial" w:hAnsi="Arial"/>
                <w:sz w:val="17"/>
                <w:szCs w:val="17"/>
                <w:color w:val="auto"/>
              </w:rPr>
              <w:t>)</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2,854</w:t>
            </w:r>
          </w:p>
        </w:tc>
        <w:tc>
          <w:tcPr>
            <w:tcW w:w="6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8,492</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57"/>
        </w:trPr>
        <w:tc>
          <w:tcPr>
            <w:tcW w:w="5880" w:type="dxa"/>
            <w:vAlign w:val="bottom"/>
          </w:tcPr>
          <w:p>
            <w:pPr>
              <w:ind w:left="40"/>
              <w:spacing w:after="0"/>
              <w:rPr>
                <w:sz w:val="20"/>
                <w:szCs w:val="20"/>
                <w:color w:val="auto"/>
              </w:rPr>
            </w:pPr>
            <w:r>
              <w:rPr>
                <w:rFonts w:ascii="Arial" w:cs="Arial" w:eastAsia="Arial" w:hAnsi="Arial"/>
                <w:sz w:val="16"/>
                <w:szCs w:val="16"/>
                <w:color w:val="auto"/>
              </w:rPr>
              <w:t>Balance as of March 31, 2021</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1,004,490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(137,059</w:t>
            </w: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1,405,727</w:t>
            </w:r>
          </w:p>
        </w:tc>
        <w:tc>
          <w:tcPr>
            <w:tcW w:w="60" w:type="dxa"/>
            <w:vAlign w:val="bottom"/>
          </w:tcPr>
          <w:p>
            <w:pPr>
              <w:spacing w:after="0"/>
              <w:rPr>
                <w:sz w:val="22"/>
                <w:szCs w:val="22"/>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13335</wp:posOffset>
            </wp:positionV>
            <wp:extent cx="1714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10"/>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30,816</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6,338</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(2,043)</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w:t>
            </w: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148,697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300,063</w:t>
            </w: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(119,648)</w:t>
            </w: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(220,439)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(126,242)</w:t>
            </w: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14,811</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(17,018)</w:t>
            </w:r>
          </w:p>
        </w:tc>
      </w:tr>
      <w:tr>
        <w:trPr>
          <w:trHeight w:val="209"/>
        </w:trPr>
        <w:tc>
          <w:tcPr>
            <w:tcW w:w="8540" w:type="dxa"/>
            <w:vAlign w:val="bottom"/>
          </w:tcPr>
          <w:p>
            <w:pPr>
              <w:ind w:left="60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105,884</w:t>
            </w:r>
          </w:p>
        </w:tc>
      </w:tr>
      <w:tr>
        <w:trPr>
          <w:trHeight w:val="216"/>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(30,392)</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(2,046)</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10"/>
        </w:trPr>
        <w:tc>
          <w:tcPr>
            <w:tcW w:w="854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(31,606)</w:t>
            </w: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(240,530)</w:t>
            </w:r>
          </w:p>
        </w:tc>
      </w:tr>
      <w:tr>
        <w:trPr>
          <w:trHeight w:val="230"/>
        </w:trPr>
        <w:tc>
          <w:tcPr>
            <w:tcW w:w="854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805,500</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(805,500)</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Net repayments from short-term debt obligations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63"/>
        </w:trPr>
        <w:tc>
          <w:tcPr>
            <w:tcW w:w="854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(269,211)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(242,644)</w:t>
            </w:r>
          </w:p>
        </w:tc>
      </w:tr>
      <w:tr>
        <w:trPr>
          <w:trHeight w:val="216"/>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(59,260)</w:t>
            </w:r>
          </w:p>
        </w:tc>
      </w:tr>
      <w:tr>
        <w:trPr>
          <w:trHeight w:val="216"/>
        </w:trPr>
        <w:tc>
          <w:tcPr>
            <w:tcW w:w="8540" w:type="dxa"/>
            <w:vAlign w:val="bottom"/>
          </w:tcPr>
          <w:p>
            <w:pPr>
              <w:ind w:left="600"/>
              <w:spacing w:after="0"/>
              <w:rPr>
                <w:sz w:val="20"/>
                <w:szCs w:val="20"/>
                <w:color w:val="auto"/>
              </w:rPr>
            </w:pPr>
            <w:r>
              <w:rPr>
                <w:rFonts w:ascii="Arial" w:cs="Arial" w:eastAsia="Arial" w:hAnsi="Arial"/>
                <w:sz w:val="18"/>
                <w:szCs w:val="18"/>
                <w:color w:val="auto"/>
              </w:rPr>
              <w:t>Decrease in cash and cash equivalents and restricted cash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(343,269)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(227,626)</w:t>
            </w:r>
          </w:p>
        </w:tc>
      </w:tr>
      <w:tr>
        <w:trPr>
          <w:trHeight w:val="216"/>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2,099,508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1,817,379</w:t>
            </w:r>
          </w:p>
        </w:tc>
      </w:tr>
      <w:tr>
        <w:trPr>
          <w:trHeight w:val="176"/>
        </w:trPr>
        <w:tc>
          <w:tcPr>
            <w:tcW w:w="8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09"/>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1,589,753</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6"/>
        </w:trPr>
        <w:tc>
          <w:tcPr>
            <w:tcW w:w="8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6"/>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Interest paid during the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2,703</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3,678</w:t>
            </w:r>
          </w:p>
        </w:tc>
      </w:tr>
      <w:tr>
        <w:trPr>
          <w:trHeight w:val="216"/>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during the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4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r>
      <w:tr>
        <w:trPr>
          <w:trHeight w:val="230"/>
        </w:trPr>
        <w:tc>
          <w:tcPr>
            <w:tcW w:w="8540" w:type="dxa"/>
            <w:vAlign w:val="bottom"/>
          </w:tcPr>
          <w:p>
            <w:pPr>
              <w:ind w:left="290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8540" w:type="dxa"/>
            <w:vAlign w:val="bottom"/>
          </w:tcPr>
          <w:p>
            <w:pPr>
              <w:ind w:left="55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8"/>
        </w:trPr>
        <w:tc>
          <w:tcPr>
            <w:tcW w:w="8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audited consolidated financial statements of the Company for the year ended December 31, 2020, including the notes thereto, set forth in the Company’s 2020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Euronet’s Electronic Funds Transfer ("EFT") Processing Segment normally experiences its heaviest demand for dynamic currency conversion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2020, the Financial Accounting Standards Board ("FASB") issued ASU 2020-06, </w:t>
      </w:r>
      <w:r>
        <w:rPr>
          <w:rFonts w:ascii="Arial" w:cs="Arial" w:eastAsia="Arial" w:hAnsi="Arial"/>
          <w:sz w:val="16"/>
          <w:szCs w:val="16"/>
          <w:i w:val="1"/>
          <w:iCs w:val="1"/>
          <w:color w:val="auto"/>
        </w:rPr>
        <w:t>"Accounting for Convertible Instruments and Contracts in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Entity's Own Equity" </w:t>
      </w:r>
      <w:r>
        <w:rPr>
          <w:rFonts w:ascii="Arial" w:cs="Arial" w:eastAsia="Arial" w:hAnsi="Arial"/>
          <w:sz w:val="16"/>
          <w:szCs w:val="16"/>
          <w:color w:val="auto"/>
        </w:rPr>
        <w:t>which simplifies the accounting for convertible instruments by eliminating certain accounting models when the conversion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new guidance is effective for annual periods beginning after December 15, 2021, including interim periods within those fiscal years. Early adoption is permitted. The Company is currently evaluating the impact the adoption of ASU 2020-06 will have on the consolidated financial statements.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which provides optional expedients and exceptions for contracts, hedging relationships, and other transactions affected by reference rate reform due to the anticipated cessation of LIBOR on or before December 31, 2021. This guidance is effective from March 12, 2020 through December 31, 2022 and could impact the accounting for LIBOR provisions in the Company’s unsecured credit agreement. The Company does not expect that the adoption of this guidance will have a significant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PENDING 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the Company entered into an agreement to purchase the Piraeus Bank Merchant Acquiring business of Piraeus Bank for €300 million, or approximately $360 million. The proposed arrangement will include separate commercial agreements for a long-term strategic partnership with Piraeus Bank for collaborative product distribution, processing and customer referrals. The acquisition will expand the Company’s omnichannel payments strategy and position the Company in Greece’s growing market for merchant acquiring services. The closing is targeted for late 2021 and is subject to regulatory approvals, finalization of the commercial agreements, and customary closing conditions. The Company expects to finance the purchase price using cash on hand.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SETTLEMENT ASSETS AND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amounts payable. Settlement assets consist of cash and cash equivalents, restricted cash, accounts receivable and prepaid expenses and other current assets. Cash received by Euronet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Settlement obligations consist of money transfers and accounts payable to agents and content providers. Money transfer accounts payable represent amounts to be paid to transferees when they request funds. Most agents typically settle with transferees first then obtain reimbursement from the Company. Money order accounts payable represent amounts not yet presented for payment. Due to the agent funding and settlement process, accounts payable to agents represent amounts due to agents for money transfers that have not been settled with transferees.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120" w:type="dxa"/>
            <w:vAlign w:val="bottom"/>
          </w:tcPr>
          <w:p>
            <w:pPr>
              <w:jc w:val="right"/>
              <w:ind w:right="134"/>
              <w:spacing w:after="0" w:line="147"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1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Settlement cash and cash equivalents</w:t>
            </w:r>
          </w:p>
        </w:tc>
        <w:tc>
          <w:tcPr>
            <w:tcW w:w="34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209,853</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188,191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restricted cash</w:t>
            </w:r>
          </w:p>
        </w:tc>
        <w:tc>
          <w:tcPr>
            <w:tcW w:w="3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76,674</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w w:val="94"/>
              </w:rPr>
              <w:t>Accounts receivable, net of credit allowance of $33,980 and $35,800</w:t>
            </w:r>
          </w:p>
        </w:tc>
        <w:tc>
          <w:tcPr>
            <w:tcW w:w="3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478,209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641,955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214,051</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234,055</w:t>
            </w:r>
          </w:p>
        </w:tc>
        <w:tc>
          <w:tcPr>
            <w:tcW w:w="0" w:type="dxa"/>
            <w:vAlign w:val="bottom"/>
          </w:tcPr>
          <w:p>
            <w:pPr>
              <w:spacing w:after="0"/>
              <w:rPr>
                <w:sz w:val="1"/>
                <w:szCs w:val="1"/>
                <w:color w:val="auto"/>
              </w:rPr>
            </w:pP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settlement assets</w:t>
            </w:r>
          </w:p>
        </w:tc>
        <w:tc>
          <w:tcPr>
            <w:tcW w:w="3240" w:type="dxa"/>
            <w:vAlign w:val="bottom"/>
            <w:tcBorders>
              <w:bottom w:val="single" w:sz="8" w:color="CCEEFF"/>
            </w:tcBorders>
            <w:gridSpan w:val="2"/>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960,313</w:t>
            </w: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3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Trade account payables</w:t>
            </w:r>
          </w:p>
        </w:tc>
        <w:tc>
          <w:tcPr>
            <w:tcW w:w="34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356,612</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571,175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603,701</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569,700</w:t>
            </w: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Total settlement obligations</w:t>
            </w:r>
          </w:p>
        </w:tc>
        <w:tc>
          <w:tcPr>
            <w:tcW w:w="324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960,313</w:t>
            </w: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180" w:type="dxa"/>
            <w:vAlign w:val="bottom"/>
            <w:vMerge w:val="restart"/>
          </w:tcPr>
          <w:p>
            <w:pPr>
              <w:jc w:val="right"/>
              <w:ind w:right="2790"/>
              <w:spacing w:after="0"/>
              <w:rPr>
                <w:sz w:val="20"/>
                <w:szCs w:val="20"/>
                <w:color w:val="auto"/>
              </w:rPr>
            </w:pPr>
            <w:r>
              <w:rPr>
                <w:rFonts w:ascii="Arial" w:cs="Arial" w:eastAsia="Arial" w:hAnsi="Arial"/>
                <w:sz w:val="18"/>
                <w:szCs w:val="18"/>
                <w:color w:val="auto"/>
              </w:rPr>
              <w:t>8</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6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49"/>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786,081</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34,301</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558,580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665,641</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256,456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282,188</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r>
      <w:tr>
        <w:trPr>
          <w:trHeight w:val="25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1,756,239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1,589,753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1,817,379</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Earnings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(loss) earnings per share has been computed by dividing (loss) earnings available to common stockholders by the weighted average number of common shares outstanding during the respective period. Diluted (loss) earnings per share has been computed by dividing (loss)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 if such conversion would be 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-3175</wp:posOffset>
            </wp:positionV>
            <wp:extent cx="1491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88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6"/>
                <w:szCs w:val="16"/>
                <w:color w:val="auto"/>
              </w:rPr>
            </w:pPr>
          </w:p>
        </w:tc>
      </w:tr>
      <w:tr>
        <w:trPr>
          <w:trHeight w:val="25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84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52,762,845</w:t>
            </w:r>
          </w:p>
        </w:tc>
        <w:tc>
          <w:tcPr>
            <w:tcW w:w="1120" w:type="dxa"/>
            <w:vAlign w:val="bottom"/>
          </w:tcPr>
          <w:p>
            <w:pPr>
              <w:jc w:val="right"/>
              <w:spacing w:after="0"/>
              <w:rPr>
                <w:sz w:val="20"/>
                <w:szCs w:val="20"/>
                <w:color w:val="auto"/>
              </w:rPr>
            </w:pPr>
            <w:r>
              <w:rPr>
                <w:rFonts w:ascii="Arial" w:cs="Arial" w:eastAsia="Arial" w:hAnsi="Arial"/>
                <w:sz w:val="18"/>
                <w:szCs w:val="18"/>
                <w:color w:val="auto"/>
              </w:rPr>
              <w:t>53,607,104</w:t>
            </w:r>
          </w:p>
        </w:tc>
        <w:tc>
          <w:tcPr>
            <w:tcW w:w="6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 restricted stock</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1,172,217</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57"/>
        </w:trPr>
        <w:tc>
          <w:tcPr>
            <w:tcW w:w="884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52,762,845</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54,779,321</w:t>
            </w:r>
          </w:p>
        </w:tc>
        <w:tc>
          <w:tcPr>
            <w:tcW w:w="60" w:type="dxa"/>
            <w:vAlign w:val="bottom"/>
          </w:tcPr>
          <w:p>
            <w:pPr>
              <w:spacing w:after="0"/>
              <w:rPr>
                <w:sz w:val="22"/>
                <w:szCs w:val="22"/>
                <w:color w:val="auto"/>
              </w:rPr>
            </w:pPr>
          </w:p>
        </w:tc>
      </w:tr>
      <w:tr>
        <w:trPr>
          <w:trHeight w:val="20"/>
        </w:trPr>
        <w:tc>
          <w:tcPr>
            <w:tcW w:w="8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(loss) earnings per share excludes stock options or shares of restricted stock that are anti-dilutive to the Company’s weighted average common shares outstanding of approximately 2,437,000 and 886,000 for the three months ended March 31, 2021 and 2020, respectively.</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issued Convertible Senior Notes ("Convertible Notes") due March 2049 on March 18, 2019. The Company's Convertible Notes currently have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were included in the calculation of diluted (loss) earnings per share if their inclusion was dilutive. The dilutive effect increases the more the market price exceeds the conversion price. The Convertible Notes would only have a dilutive effect if the market price per share of common stock exceeds the conversion price of $188.73 per share. The market price per share of common stock was $138.30 on March 31, 2021 and $85.72 on March 31, 2020,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xml:space="preserve"> there was no dilutive effect of the assumed conversion of the debentures for the three months ended March 31, 2021 and 2020. See Note 9, Debt Obligations, to the consolidated financial statements for more information about the Convertible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11, 2019, in connection with the issuance of the Convertible Notes, the Board of Directors authorized a repurchase program of $120 million in value of the Company's common stock through March 11, 2021. On February 26, 2020, the Company put a repurchase program in place to repurchase up to $250 million in value, but not more than 5.0 million shares of common stock through February 28, 2022. For the three months ended March 31, 2021, there were no repurchases of stock under the repurchase programs. Repurchases under the current program may take place in the open market or in privately negotiated transactions, including derivative transactions, and may be made under a Rule 10b5-1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Accumulated other comprehensive loss consists entirely of foreign currency translation adjustments. The Company recorded foreign currency translation losses of $42.9 million and $59.8 million for the three months ended March 31, 2021 and 2020, respectively. There were no reclassifications of foreign currency translation into the consolidated statements of income for the three months ended March 31, 2021 and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 months ended March 31, 2021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Acquired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22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9"/>
        </w:trPr>
        <w:tc>
          <w:tcPr>
            <w:tcW w:w="7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121,883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665,821</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787,704</w:t>
            </w:r>
          </w:p>
        </w:tc>
        <w:tc>
          <w:tcPr>
            <w:tcW w:w="0" w:type="dxa"/>
            <w:vAlign w:val="bottom"/>
          </w:tcPr>
          <w:p>
            <w:pPr>
              <w:spacing w:after="0"/>
              <w:rPr>
                <w:sz w:val="1"/>
                <w:szCs w:val="1"/>
                <w:color w:val="auto"/>
              </w:rPr>
            </w:pPr>
          </w:p>
        </w:tc>
      </w:tr>
      <w:tr>
        <w:trPr>
          <w:trHeight w:val="216"/>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Decreases: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09"/>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2021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114,768</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653,128</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767,896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goodwill balance of $653.1 million as of March 31, 2021, $398.0 million relates to the Money Transfer Segment, $132.3 million relates to the epay Segment and the remaining $122.8 million relates to the EFT Processing Segment. Estimated amortization expense on acquired intangible assets with finite lives as of March 31, 2021, is expected to total $17.0 million for the remainder of 2021, $21.5 million for 2022, $16.6 million for 2023, $9.8 million for 2024, $6.4 million for 2025 and $6.2 million for 2026.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14"/>
                <w:szCs w:val="14"/>
                <w:color w:val="auto"/>
              </w:rPr>
            </w:pPr>
          </w:p>
        </w:tc>
      </w:tr>
      <w:tr>
        <w:trPr>
          <w:trHeight w:val="223"/>
        </w:trPr>
        <w:tc>
          <w:tcPr>
            <w:tcW w:w="864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8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314,103</w:t>
            </w:r>
          </w:p>
        </w:tc>
        <w:tc>
          <w:tcPr>
            <w:tcW w:w="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331,713</w:t>
            </w:r>
          </w:p>
        </w:tc>
      </w:tr>
      <w:tr>
        <w:trPr>
          <w:trHeight w:val="216"/>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41,219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65,905</w:t>
            </w:r>
          </w:p>
        </w:tc>
      </w:tr>
      <w:tr>
        <w:trPr>
          <w:trHeight w:val="216"/>
        </w:trPr>
        <w:tc>
          <w:tcPr>
            <w:tcW w:w="8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finance lease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r>
      <w:tr>
        <w:trPr>
          <w:trHeight w:val="210"/>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361,139</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404,021</w:t>
            </w: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UNEARNED REVENUES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deferred revenues when cash payments are received or due in advance of its performance. The increase in the deferred revenue balance for the three months ended March 31, 2021 is primarily driven by $22.9 million of cash payments received in the current year for which the Company has not yet satisfied the performance obligations, offset by $21.6 million of revenues recognized that were included in the deferred revenue balance as of December 31, 2020.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(9)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5"/>
        </w:trPr>
        <w:tc>
          <w:tcPr>
            <w:tcW w:w="8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Revolving credit agreement</w:t>
            </w:r>
          </w:p>
        </w:tc>
        <w:tc>
          <w:tcPr>
            <w:tcW w:w="780" w:type="dxa"/>
            <w:vAlign w:val="bottom"/>
            <w:gridSpan w:val="3"/>
          </w:tcPr>
          <w:p>
            <w:pPr>
              <w:jc w:val="right"/>
              <w:ind w:right="23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270,400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456,159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452,228</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1.375% Senior Notes, due 2026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703,680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732,840</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debt obligations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1,160,652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1,456,318</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w:t>
            </w:r>
          </w:p>
        </w:tc>
        <w:tc>
          <w:tcPr>
            <w:tcW w:w="0" w:type="dxa"/>
            <w:vAlign w:val="bottom"/>
          </w:tcPr>
          <w:p>
            <w:pPr>
              <w:spacing w:after="0"/>
              <w:rPr>
                <w:sz w:val="1"/>
                <w:szCs w:val="1"/>
                <w:color w:val="auto"/>
              </w:rPr>
            </w:pPr>
          </w:p>
        </w:tc>
      </w:tr>
      <w:tr>
        <w:trPr>
          <w:trHeight w:val="209"/>
        </w:trPr>
        <w:tc>
          <w:tcPr>
            <w:tcW w:w="82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1,143,769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1,438,386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1,143,026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1,437,589</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i w:val="1"/>
                <w:iCs w:val="1"/>
                <w:color w:val="auto"/>
              </w:rPr>
              <w:t>Credit Facility</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On October 17, 2018, the Company entered into an unsecured revolving credit agreement (the "Credit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Facility")</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for $1.0 billion</w:t>
            </w:r>
          </w:p>
        </w:tc>
        <w:tc>
          <w:tcPr>
            <w:tcW w:w="960" w:type="dxa"/>
            <w:vAlign w:val="bottom"/>
          </w:tcPr>
          <w:p>
            <w:pPr>
              <w:jc w:val="right"/>
              <w:spacing w:after="0"/>
              <w:rPr>
                <w:sz w:val="20"/>
                <w:szCs w:val="20"/>
                <w:color w:val="auto"/>
              </w:rPr>
            </w:pPr>
            <w:r>
              <w:rPr>
                <w:rFonts w:ascii="Arial" w:cs="Arial" w:eastAsia="Arial" w:hAnsi="Arial"/>
                <w:sz w:val="18"/>
                <w:szCs w:val="18"/>
                <w:color w:val="auto"/>
              </w:rPr>
              <w:t>that expires</w:t>
            </w:r>
          </w:p>
        </w:tc>
        <w:tc>
          <w:tcPr>
            <w:tcW w:w="0" w:type="dxa"/>
            <w:vAlign w:val="bottom"/>
          </w:tcPr>
          <w:p>
            <w:pPr>
              <w:spacing w:after="0"/>
              <w:rPr>
                <w:sz w:val="1"/>
                <w:szCs w:val="1"/>
                <w:color w:val="auto"/>
              </w:rPr>
            </w:pPr>
          </w:p>
        </w:tc>
      </w:tr>
    </w:tbl>
    <w:p>
      <w:pPr>
        <w:jc w:val="both"/>
        <w:spacing w:after="0" w:line="251" w:lineRule="auto"/>
        <w:rPr>
          <w:sz w:val="20"/>
          <w:szCs w:val="20"/>
          <w:color w:val="auto"/>
        </w:rPr>
      </w:pPr>
      <w:r>
        <w:rPr>
          <w:rFonts w:ascii="Arial" w:cs="Arial" w:eastAsia="Arial" w:hAnsi="Arial"/>
          <w:sz w:val="18"/>
          <w:szCs w:val="18"/>
          <w:color w:val="auto"/>
        </w:rPr>
        <w:t>on October 17, 2023.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 The Credit Facility contains customary affirmative and negative covenants, events of default and financial covenants. The Company was in compliance with all debt covenants as of March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Contractual interest expense for the Convertible Notes was $1.0 million for the three months ended March 31, 2021 and 2020. Accretion expense for the Convertible Notes was $3.9 million and $3.7 million for the three months ended March 31, 2021 and 2020, respectively. The effective interest rate was 4.4% for the three months ended March 31, 2021. As of March 31, 2021, the unamortized discount was $68.8 million and will be amortized through March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1.375% Senior Notes due 2026</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in May 2026 (the “Senior Notes”). The Senior Notes accrue interest at a rate of 1.375% per year, payable annually in arrears commencing May 22, 2020, until maturity or earlier redemption. As of March 31, 2021, the Company has outstanding €600 million ($703.7 million) principal amount of the Senior Notes. In addition, the Company may redeem some or all of these notes on or after February 22, 2026 at their principal amount plus any accrued and unpaid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March 31, 2021 and December 31, 2020, borrowings under these arrangements were $0.8 million and $0.9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$120 million and $246 million as of March 31, 2021 and December 31, 2020, respectively. The foreign currency forward contracts consist primarily in Australian dollars, Canadian dollars, British pounds sterling, euro and Mexican pesos.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spacing w:after="0" w:line="311" w:lineRule="auto"/>
        <w:rPr>
          <w:sz w:val="20"/>
          <w:szCs w:val="20"/>
          <w:color w:val="auto"/>
        </w:rPr>
      </w:pPr>
      <w:r>
        <w:rPr>
          <w:rFonts w:ascii="Arial" w:cs="Arial" w:eastAsia="Arial" w:hAnsi="Arial"/>
          <w:sz w:val="16"/>
          <w:szCs w:val="16"/>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$593 million and $454 million as of March 31, 2021 and December 31, 2020, respectively, primarily in euro.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$18.5 million and $18.1 million for the three months ended March 31, 2021 and 2020, respectively. All of the derivative contracts used in the Company' s xe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equivalent U.S. dollar notional amount of foreign currency derivative customer contracts held by the Company in its xe operations as of March 31, 2021 and December 31, 2020 was approximately $1.4 billion and $1.3 billion, respectively. The significant majority of customer contracts are written in major currencies such as the euro, U.S. dollar, British pounds sterling, Australian dollar and New Zealand dollar.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80" w:type="dxa"/>
            <w:vAlign w:val="bottom"/>
            <w:tcBorders>
              <w:bottom w:val="single" w:sz="8" w:color="auto"/>
            </w:tcBorders>
            <w:gridSpan w:val="5"/>
          </w:tcPr>
          <w:p>
            <w:pPr>
              <w:ind w:left="138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bottom w:val="single" w:sz="8" w:color="auto"/>
            </w:tcBorders>
            <w:gridSpan w:val="5"/>
          </w:tcPr>
          <w:p>
            <w:pPr>
              <w:ind w:left="16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5"/>
          </w:tcPr>
          <w:p>
            <w:pPr>
              <w:ind w:left="460"/>
              <w:spacing w:after="0"/>
              <w:rPr>
                <w:sz w:val="20"/>
                <w:szCs w:val="20"/>
                <w:color w:val="auto"/>
              </w:rPr>
            </w:pPr>
            <w:r>
              <w:rPr>
                <w:rFonts w:ascii="Arial" w:cs="Arial" w:eastAsia="Arial" w:hAnsi="Arial"/>
                <w:sz w:val="14"/>
                <w:szCs w:val="14"/>
                <w:b w:val="1"/>
                <w:bCs w:val="1"/>
                <w:color w:val="auto"/>
              </w:rPr>
              <w:t>Fair Value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4"/>
          </w:tcPr>
          <w:p>
            <w:pPr>
              <w:jc w:val="right"/>
              <w:ind w:right="6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Balance Sheet Location</w:t>
            </w:r>
          </w:p>
        </w:tc>
        <w:tc>
          <w:tcPr>
            <w:tcW w:w="60" w:type="dxa"/>
            <w:vAlign w:val="bottom"/>
          </w:tcPr>
          <w:p>
            <w:pPr>
              <w:spacing w:after="0"/>
              <w:rPr>
                <w:sz w:val="10"/>
                <w:szCs w:val="10"/>
                <w:color w:val="auto"/>
              </w:rPr>
            </w:pPr>
          </w:p>
        </w:tc>
        <w:tc>
          <w:tcPr>
            <w:tcW w:w="10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210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1"/>
              </w:rPr>
              <w:t>Balance Sheet Location</w:t>
            </w:r>
          </w:p>
        </w:tc>
        <w:tc>
          <w:tcPr>
            <w:tcW w:w="16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28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w w:val="91"/>
              </w:rPr>
              <w:t>Foreign currency exchange contracts</w:t>
            </w:r>
          </w:p>
        </w:tc>
        <w:tc>
          <w:tcPr>
            <w:tcW w:w="1640" w:type="dxa"/>
            <w:vAlign w:val="bottom"/>
          </w:tcPr>
          <w:p>
            <w:pPr>
              <w:ind w:left="100"/>
              <w:spacing w:after="0"/>
              <w:rPr>
                <w:sz w:val="20"/>
                <w:szCs w:val="20"/>
                <w:color w:val="auto"/>
              </w:rPr>
            </w:pPr>
            <w:r>
              <w:rPr>
                <w:rFonts w:ascii="Arial" w:cs="Arial" w:eastAsia="Arial" w:hAnsi="Arial"/>
                <w:sz w:val="18"/>
                <w:szCs w:val="18"/>
                <w:color w:val="auto"/>
                <w:w w:val="93"/>
              </w:rPr>
              <w:t>Other current assets</w:t>
            </w:r>
          </w:p>
        </w:tc>
        <w:tc>
          <w:tcPr>
            <w:tcW w:w="3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49,390</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80,879</w:t>
            </w:r>
          </w:p>
        </w:tc>
        <w:tc>
          <w:tcPr>
            <w:tcW w:w="60" w:type="dxa"/>
            <w:vAlign w:val="bottom"/>
          </w:tcPr>
          <w:p>
            <w:pPr>
              <w:spacing w:after="0"/>
              <w:rPr>
                <w:sz w:val="20"/>
                <w:szCs w:val="20"/>
                <w:color w:val="auto"/>
              </w:rPr>
            </w:pPr>
          </w:p>
        </w:tc>
        <w:tc>
          <w:tcPr>
            <w:tcW w:w="2100" w:type="dxa"/>
            <w:vAlign w:val="bottom"/>
          </w:tcPr>
          <w:p>
            <w:pPr>
              <w:jc w:val="center"/>
              <w:ind w:left="22"/>
              <w:spacing w:after="0"/>
              <w:rPr>
                <w:sz w:val="20"/>
                <w:szCs w:val="20"/>
                <w:color w:val="auto"/>
              </w:rPr>
            </w:pPr>
            <w:r>
              <w:rPr>
                <w:rFonts w:ascii="Arial" w:cs="Arial" w:eastAsia="Arial" w:hAnsi="Arial"/>
                <w:sz w:val="18"/>
                <w:szCs w:val="18"/>
                <w:color w:val="auto"/>
                <w:w w:val="93"/>
              </w:rPr>
              <w:t>Other current liabilities</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(41,219)</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March 31, 2021 and December 31, 2020 (in thousands):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4"/>
          </w:tcPr>
          <w:p>
            <w:pPr>
              <w:jc w:val="right"/>
              <w:ind w:right="219"/>
              <w:spacing w:after="0" w:line="149" w:lineRule="exact"/>
              <w:rPr>
                <w:sz w:val="20"/>
                <w:szCs w:val="20"/>
                <w:color w:val="auto"/>
              </w:rPr>
            </w:pPr>
            <w:r>
              <w:rPr>
                <w:rFonts w:ascii="Arial" w:cs="Arial" w:eastAsia="Arial" w:hAnsi="Arial"/>
                <w:sz w:val="14"/>
                <w:szCs w:val="14"/>
                <w:b w:val="1"/>
                <w:bCs w:val="1"/>
                <w:color w:val="auto"/>
                <w:w w:val="96"/>
              </w:rPr>
              <w:t>Gross Amounts Not Offset in the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14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1"/>
              </w:rPr>
              <w:t>Net Amounts</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Consolidated Balance Sheet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Cash Collateral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Recognized Assets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79"/>
              <w:spacing w:after="0"/>
              <w:rPr>
                <w:sz w:val="20"/>
                <w:szCs w:val="20"/>
                <w:color w:val="auto"/>
              </w:rPr>
            </w:pPr>
            <w:r>
              <w:rPr>
                <w:rFonts w:ascii="Arial" w:cs="Arial" w:eastAsia="Arial" w:hAnsi="Arial"/>
                <w:sz w:val="14"/>
                <w:szCs w:val="14"/>
                <w:b w:val="1"/>
                <w:bCs w:val="1"/>
                <w:color w:val="auto"/>
              </w:rPr>
              <w:t>Received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19,078</w:t>
            </w:r>
          </w:p>
        </w:tc>
        <w:tc>
          <w:tcPr>
            <w:tcW w:w="0" w:type="dxa"/>
            <w:vAlign w:val="bottom"/>
          </w:tcPr>
          <w:p>
            <w:pPr>
              <w:spacing w:after="0"/>
              <w:rPr>
                <w:sz w:val="1"/>
                <w:szCs w:val="1"/>
                <w:color w:val="auto"/>
              </w:rPr>
            </w:pPr>
          </w:p>
        </w:tc>
      </w:tr>
      <w:tr>
        <w:trPr>
          <w:trHeight w:val="324"/>
        </w:trPr>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33,208</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8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 in the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Net Amounts</w:t>
            </w:r>
          </w:p>
        </w:tc>
        <w:tc>
          <w:tcPr>
            <w:tcW w:w="16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Consolidated Balance Sheet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Gross Amounts of</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Cash Collateral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Liabilities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4"/>
                <w:szCs w:val="14"/>
                <w:color w:val="auto"/>
              </w:rPr>
            </w:pPr>
          </w:p>
        </w:tc>
        <w:tc>
          <w:tcPr>
            <w:tcW w:w="1080" w:type="dxa"/>
            <w:vAlign w:val="bottom"/>
          </w:tcPr>
          <w:p>
            <w:pPr>
              <w:jc w:val="right"/>
              <w:ind w:right="162"/>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4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0" w:type="dxa"/>
            <w:vAlign w:val="bottom"/>
          </w:tcPr>
          <w:p>
            <w:pPr>
              <w:spacing w:after="0"/>
              <w:rPr>
                <w:sz w:val="1"/>
                <w:szCs w:val="1"/>
                <w:color w:val="auto"/>
              </w:rPr>
            </w:pPr>
          </w:p>
        </w:tc>
      </w:tr>
      <w:tr>
        <w:trPr>
          <w:trHeight w:val="48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Income for the three months ended March 31, 2021 and 2020:</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Location of (Loss) Gain Recognized in Income on Derivative</w:t>
      </w:r>
    </w:p>
    <w:p>
      <w:pPr>
        <w:spacing w:after="0" w:line="27"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2"/>
          <w:szCs w:val="12"/>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Amount of (Loss) Gain Recognized in</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3"/>
          <w:szCs w:val="13"/>
          <w:b w:val="1"/>
          <w:bCs w:val="1"/>
          <w:color w:val="auto"/>
        </w:rPr>
        <w:t>Income on Derivative Contracts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3810</wp:posOffset>
            </wp:positionV>
            <wp:extent cx="17741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jc w:val="center"/>
        <w:ind w:right="240"/>
        <w:spacing w:after="0"/>
        <w:rPr>
          <w:sz w:val="20"/>
          <w:szCs w:val="20"/>
          <w:color w:val="auto"/>
        </w:rPr>
      </w:pPr>
      <w:r>
        <w:rPr>
          <w:rFonts w:ascii="Arial" w:cs="Arial" w:eastAsia="Arial" w:hAnsi="Arial"/>
          <w:sz w:val="14"/>
          <w:szCs w:val="14"/>
          <w:b w:val="1"/>
          <w:bCs w:val="1"/>
          <w:color w:val="auto"/>
        </w:rPr>
        <w:t>Three Months Ended</w:t>
      </w:r>
    </w:p>
    <w:p>
      <w:pPr>
        <w:jc w:val="center"/>
        <w:ind w:right="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-3175</wp:posOffset>
            </wp:positionV>
            <wp:extent cx="1774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3" w:lineRule="exact"/>
        <w:rPr>
          <w:sz w:val="20"/>
          <w:szCs w:val="20"/>
          <w:color w:val="auto"/>
        </w:rPr>
      </w:pPr>
    </w:p>
    <w:p>
      <w:pPr>
        <w:ind w:left="280"/>
        <w:spacing w:after="0"/>
        <w:tabs>
          <w:tab w:leader="none" w:pos="17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4" w:lineRule="exact"/>
        <w:rPr>
          <w:sz w:val="20"/>
          <w:szCs w:val="20"/>
          <w:color w:val="auto"/>
        </w:rPr>
      </w:pPr>
    </w:p>
    <w:p>
      <w:pPr>
        <w:sectPr>
          <w:pgSz w:w="11900" w:h="16838" w:orient="portrait"/>
          <w:cols w:equalWidth="0" w:num="2">
            <w:col w:w="8300" w:space="400"/>
            <w:col w:w="2540"/>
          </w:cols>
          <w:pgMar w:left="320" w:top="557" w:right="339" w:bottom="1440" w:gutter="0" w:footer="0" w:header="0"/>
          <w:type w:val="continuous"/>
        </w:sectPr>
      </w:pPr>
    </w:p>
    <w:p>
      <w:pPr>
        <w:ind w:left="40"/>
        <w:spacing w:after="0"/>
        <w:tabs>
          <w:tab w:leader="none" w:pos="4900" w:val="left"/>
          <w:tab w:leader="none" w:pos="8420" w:val="left"/>
          <w:tab w:leader="none" w:pos="9260" w:val="left"/>
          <w:tab w:leader="none" w:pos="10760" w:val="left"/>
        </w:tabs>
        <w:rPr>
          <w:sz w:val="20"/>
          <w:szCs w:val="20"/>
          <w:color w:val="auto"/>
        </w:rPr>
      </w:pPr>
      <w:r>
        <w:rPr>
          <w:rFonts w:ascii="Arial" w:cs="Arial" w:eastAsia="Arial" w:hAnsi="Arial"/>
          <w:sz w:val="18"/>
          <w:szCs w:val="18"/>
          <w:color w:val="auto"/>
        </w:rPr>
        <w:t>Foreign currency exchange contracts - Ria Operations</w:t>
      </w:r>
      <w:r>
        <w:rPr>
          <w:sz w:val="20"/>
          <w:szCs w:val="20"/>
          <w:color w:val="auto"/>
        </w:rPr>
        <w:tab/>
      </w:r>
      <w:r>
        <w:rPr>
          <w:rFonts w:ascii="Arial" w:cs="Arial" w:eastAsia="Arial" w:hAnsi="Arial"/>
          <w:sz w:val="18"/>
          <w:szCs w:val="18"/>
          <w:color w:val="auto"/>
        </w:rPr>
        <w:t>Foreign currency exchange (loss) gain,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(2,468) $</w:t>
      </w:r>
      <w:r>
        <w:rPr>
          <w:sz w:val="20"/>
          <w:szCs w:val="20"/>
          <w:color w:val="auto"/>
        </w:rPr>
        <w:tab/>
      </w:r>
      <w:r>
        <w:rPr>
          <w:rFonts w:ascii="Arial" w:cs="Arial" w:eastAsia="Arial" w:hAnsi="Arial"/>
          <w:sz w:val="15"/>
          <w:szCs w:val="15"/>
          <w:color w:val="auto"/>
        </w:rPr>
        <w:t>1,019</w:t>
      </w:r>
    </w:p>
    <w:p>
      <w:pPr>
        <w:spacing w:after="0" w:line="8" w:lineRule="exact"/>
        <w:rPr>
          <w:sz w:val="20"/>
          <w:szCs w:val="20"/>
          <w:color w:val="auto"/>
        </w:rPr>
      </w:pPr>
    </w:p>
    <w:p>
      <w:pPr>
        <w:jc w:val="both"/>
        <w:ind w:firstLine="8"/>
        <w:spacing w:after="0" w:line="255"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-83185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-254635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-254635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As of March 31, 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49,390</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(41,219)</w:t>
            </w:r>
          </w:p>
        </w:tc>
        <w:tc>
          <w:tcPr>
            <w:tcW w:w="0" w:type="dxa"/>
            <w:vAlign w:val="bottom"/>
          </w:tcPr>
          <w:p>
            <w:pPr>
              <w:spacing w:after="0"/>
              <w:rPr>
                <w:sz w:val="1"/>
                <w:szCs w:val="1"/>
                <w:color w:val="auto"/>
              </w:rPr>
            </w:pPr>
          </w:p>
        </w:tc>
      </w:tr>
      <w:tr>
        <w:trPr>
          <w:trHeight w:val="398"/>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80,879</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and Senior Notes using quoted prices in inactive markets for identical liabilities (Level 2). </w:t>
      </w:r>
      <w:r>
        <w:rPr>
          <w:rFonts w:ascii="Arial" w:cs="Arial" w:eastAsia="Arial" w:hAnsi="Arial"/>
          <w:sz w:val="17"/>
          <w:szCs w:val="17"/>
          <w:color w:val="252525"/>
        </w:rPr>
        <w:t>As of March 31, 2021,</w:t>
      </w:r>
      <w:r>
        <w:rPr>
          <w:rFonts w:ascii="Arial" w:cs="Arial" w:eastAsia="Arial" w:hAnsi="Arial"/>
          <w:sz w:val="17"/>
          <w:szCs w:val="17"/>
          <w:color w:val="auto"/>
        </w:rPr>
        <w:t xml:space="preserve"> the fair values of the Convertible Notes and Senior Notes were $631.4 million and $712.0 million, respectively, with carrying values of $456.2 million and $703.7 million,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359" w:lineRule="exact"/>
        <w:rPr>
          <w:sz w:val="20"/>
          <w:szCs w:val="20"/>
          <w:color w:val="auto"/>
        </w:rPr>
      </w:pPr>
    </w:p>
    <w:p>
      <w:pPr>
        <w:jc w:val="both"/>
        <w:ind w:left="540" w:hanging="168"/>
        <w:spacing w:after="0" w:line="285"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Asia Pacific, the United States and Africa. The Company provides comprehensive electronic payment solutions consisting of ATM cash withdrawal services, ATM network participation, outsourced ATM and POS management solutions, credit and debit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 w:lineRule="exact"/>
        <w:rPr>
          <w:rFonts w:ascii="Arial" w:cs="Arial" w:eastAsia="Arial" w:hAnsi="Arial"/>
          <w:sz w:val="16"/>
          <w:szCs w:val="16"/>
          <w:color w:val="auto"/>
        </w:rPr>
      </w:pPr>
    </w:p>
    <w:p>
      <w:pPr>
        <w:ind w:left="540" w:right="20" w:hanging="168"/>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jc w:val="both"/>
        <w:ind w:left="540" w:hanging="168"/>
        <w:spacing w:after="0" w:line="26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months ended March 31,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For the Three Months Ended March 31, 2021</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EFT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gridSpan w:val="2"/>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0"/>
              </w:rPr>
              <w:t>Processing</w:t>
            </w:r>
          </w:p>
        </w:tc>
        <w:tc>
          <w:tcPr>
            <w:tcW w:w="10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652,670</w:t>
            </w:r>
          </w:p>
        </w:tc>
        <w:tc>
          <w:tcPr>
            <w:tcW w:w="0" w:type="dxa"/>
            <w:vAlign w:val="bottom"/>
          </w:tcPr>
          <w:p>
            <w:pPr>
              <w:spacing w:after="0"/>
              <w:rPr>
                <w:sz w:val="1"/>
                <w:szCs w:val="1"/>
                <w:color w:val="auto"/>
              </w:rPr>
            </w:pPr>
          </w:p>
        </w:tc>
      </w:tr>
      <w:tr>
        <w:trPr>
          <w:trHeight w:val="237"/>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434,516</w:t>
            </w:r>
          </w:p>
        </w:tc>
        <w:tc>
          <w:tcPr>
            <w:tcW w:w="0" w:type="dxa"/>
            <w:vAlign w:val="bottom"/>
          </w:tcPr>
          <w:p>
            <w:pPr>
              <w:spacing w:after="0"/>
              <w:rPr>
                <w:sz w:val="1"/>
                <w:szCs w:val="1"/>
                <w:color w:val="auto"/>
              </w:rPr>
            </w:pPr>
          </w:p>
        </w:tc>
      </w:tr>
      <w:tr>
        <w:trPr>
          <w:trHeight w:val="243"/>
        </w:trPr>
        <w:tc>
          <w:tcPr>
            <w:tcW w:w="4360" w:type="dxa"/>
            <w:vAlign w:val="bottom"/>
            <w:gridSpan w:val="3"/>
          </w:tcPr>
          <w:p>
            <w:pPr>
              <w:ind w:left="180"/>
              <w:spacing w:after="0"/>
              <w:rPr>
                <w:sz w:val="20"/>
                <w:szCs w:val="20"/>
                <w:color w:val="auto"/>
              </w:rPr>
            </w:pPr>
            <w:r>
              <w:rPr>
                <w:rFonts w:ascii="Arial" w:cs="Arial" w:eastAsia="Arial" w:hAnsi="Arial"/>
                <w:sz w:val="18"/>
                <w:szCs w:val="18"/>
                <w:color w:val="auto"/>
              </w:rPr>
              <w:t>Salaries and benefits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23,571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12,188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115,668</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58,776</w:t>
            </w:r>
          </w:p>
        </w:tc>
        <w:tc>
          <w:tcPr>
            <w:tcW w:w="0" w:type="dxa"/>
            <w:vAlign w:val="bottom"/>
          </w:tcPr>
          <w:p>
            <w:pPr>
              <w:spacing w:after="0"/>
              <w:rPr>
                <w:sz w:val="1"/>
                <w:szCs w:val="1"/>
                <w:color w:val="auto"/>
              </w:rPr>
            </w:pPr>
          </w:p>
        </w:tc>
      </w:tr>
      <w:tr>
        <w:trPr>
          <w:trHeight w:val="243"/>
        </w:trPr>
        <w:tc>
          <w:tcPr>
            <w:tcW w:w="436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33,261</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127,172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213,146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642,221</w:t>
            </w:r>
          </w:p>
        </w:tc>
        <w:tc>
          <w:tcPr>
            <w:tcW w:w="0" w:type="dxa"/>
            <w:vAlign w:val="bottom"/>
          </w:tcPr>
          <w:p>
            <w:pPr>
              <w:spacing w:after="0"/>
              <w:rPr>
                <w:sz w:val="1"/>
                <w:szCs w:val="1"/>
                <w:color w:val="auto"/>
              </w:rPr>
            </w:pPr>
          </w:p>
        </w:tc>
      </w:tr>
      <w:tr>
        <w:trPr>
          <w:trHeight w:val="263"/>
        </w:trPr>
        <w:tc>
          <w:tcPr>
            <w:tcW w:w="4360" w:type="dxa"/>
            <w:vAlign w:val="bottom"/>
            <w:gridSpan w:val="3"/>
          </w:tcPr>
          <w:p>
            <w:pPr>
              <w:ind w:left="60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For the Three Months Ended March 31, 2020</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EFT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Processing</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145,825</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583,907</w:t>
            </w:r>
          </w:p>
        </w:tc>
        <w:tc>
          <w:tcPr>
            <w:tcW w:w="0" w:type="dxa"/>
            <w:vAlign w:val="bottom"/>
          </w:tcPr>
          <w:p>
            <w:pPr>
              <w:spacing w:after="0"/>
              <w:rPr>
                <w:sz w:val="1"/>
                <w:szCs w:val="1"/>
                <w:color w:val="auto"/>
              </w:rPr>
            </w:pPr>
          </w:p>
        </w:tc>
      </w:tr>
      <w:tr>
        <w:trPr>
          <w:trHeight w:val="237"/>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359,456</w:t>
            </w:r>
          </w:p>
        </w:tc>
        <w:tc>
          <w:tcPr>
            <w:tcW w:w="0" w:type="dxa"/>
            <w:vAlign w:val="bottom"/>
          </w:tcPr>
          <w:p>
            <w:pPr>
              <w:spacing w:after="0"/>
              <w:rPr>
                <w:sz w:val="1"/>
                <w:szCs w:val="1"/>
                <w:color w:val="auto"/>
              </w:rPr>
            </w:pPr>
          </w:p>
        </w:tc>
      </w:tr>
      <w:tr>
        <w:trPr>
          <w:trHeight w:val="243"/>
        </w:trPr>
        <w:tc>
          <w:tcPr>
            <w:tcW w:w="4360" w:type="dxa"/>
            <w:vAlign w:val="bottom"/>
            <w:gridSpan w:val="3"/>
          </w:tcPr>
          <w:p>
            <w:pPr>
              <w:ind w:left="180"/>
              <w:spacing w:after="0"/>
              <w:rPr>
                <w:sz w:val="20"/>
                <w:szCs w:val="20"/>
                <w:color w:val="auto"/>
              </w:rPr>
            </w:pPr>
            <w:r>
              <w:rPr>
                <w:rFonts w:ascii="Arial" w:cs="Arial" w:eastAsia="Arial" w:hAnsi="Arial"/>
                <w:sz w:val="18"/>
                <w:szCs w:val="18"/>
                <w:color w:val="auto"/>
              </w:rPr>
              <w:t>Salaries and benefits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22,091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9,588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101,240</w:t>
            </w:r>
          </w:p>
        </w:tc>
        <w:tc>
          <w:tcPr>
            <w:tcW w:w="0" w:type="dxa"/>
            <w:vAlign w:val="bottom"/>
          </w:tcPr>
          <w:p>
            <w:pPr>
              <w:spacing w:after="0"/>
              <w:rPr>
                <w:sz w:val="1"/>
                <w:szCs w:val="1"/>
                <w:color w:val="auto"/>
              </w:rPr>
            </w:pPr>
          </w:p>
        </w:tc>
      </w:tr>
      <w:tr>
        <w:trPr>
          <w:trHeight w:val="27"/>
        </w:trPr>
        <w:tc>
          <w:tcPr>
            <w:tcW w:w="4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60,793</w:t>
            </w:r>
          </w:p>
        </w:tc>
        <w:tc>
          <w:tcPr>
            <w:tcW w:w="0" w:type="dxa"/>
            <w:vAlign w:val="bottom"/>
          </w:tcPr>
          <w:p>
            <w:pPr>
              <w:spacing w:after="0"/>
              <w:rPr>
                <w:sz w:val="1"/>
                <w:szCs w:val="1"/>
                <w:color w:val="auto"/>
              </w:rPr>
            </w:pPr>
          </w:p>
        </w:tc>
      </w:tr>
      <w:tr>
        <w:trPr>
          <w:trHeight w:val="243"/>
        </w:trPr>
        <w:tc>
          <w:tcPr>
            <w:tcW w:w="436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20,322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30,816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140,890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156,453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552,305</w:t>
            </w:r>
          </w:p>
        </w:tc>
        <w:tc>
          <w:tcPr>
            <w:tcW w:w="0" w:type="dxa"/>
            <w:vAlign w:val="bottom"/>
          </w:tcPr>
          <w:p>
            <w:pPr>
              <w:spacing w:after="0"/>
              <w:rPr>
                <w:sz w:val="1"/>
                <w:szCs w:val="1"/>
                <w:color w:val="auto"/>
              </w:rPr>
            </w:pPr>
          </w:p>
        </w:tc>
      </w:tr>
      <w:tr>
        <w:trPr>
          <w:trHeight w:val="257"/>
        </w:trPr>
        <w:tc>
          <w:tcPr>
            <w:tcW w:w="4360" w:type="dxa"/>
            <w:vAlign w:val="bottom"/>
            <w:gridSpan w:val="3"/>
          </w:tcPr>
          <w:p>
            <w:pPr>
              <w:ind w:left="600"/>
              <w:spacing w:after="0"/>
              <w:rPr>
                <w:sz w:val="20"/>
                <w:szCs w:val="20"/>
                <w:color w:val="auto"/>
              </w:rPr>
            </w:pPr>
            <w:r>
              <w:rPr>
                <w:rFonts w:ascii="Arial" w:cs="Arial" w:eastAsia="Arial" w:hAnsi="Arial"/>
                <w:sz w:val="18"/>
                <w:szCs w:val="18"/>
                <w:color w:val="auto"/>
              </w:rPr>
              <w:t>Operating income (expense)</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4,935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presents the Company’s total assets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 as of</w:t>
            </w:r>
          </w:p>
        </w:tc>
        <w:tc>
          <w:tcPr>
            <w:tcW w:w="800" w:type="dxa"/>
            <w:vAlign w:val="bottom"/>
            <w:tcBorders>
              <w:bottom w:val="single" w:sz="8" w:color="auto"/>
            </w:tcBorders>
          </w:tcPr>
          <w:p>
            <w:pPr>
              <w:spacing w:after="0"/>
              <w:rPr>
                <w:sz w:val="16"/>
                <w:szCs w:val="16"/>
                <w:color w:val="auto"/>
              </w:rPr>
            </w:pPr>
          </w:p>
        </w:tc>
      </w:tr>
      <w:tr>
        <w:trPr>
          <w:trHeight w:val="250"/>
        </w:trPr>
        <w:tc>
          <w:tcPr>
            <w:tcW w:w="854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1"/>
                <w:szCs w:val="21"/>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r>
      <w:tr>
        <w:trPr>
          <w:trHeight w:val="249"/>
        </w:trPr>
        <w:tc>
          <w:tcPr>
            <w:tcW w:w="8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1,541,610</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915,875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1,135,204</w:t>
            </w:r>
          </w:p>
        </w:tc>
      </w:tr>
      <w:tr>
        <w:trPr>
          <w:trHeight w:val="27"/>
        </w:trPr>
        <w:tc>
          <w:tcPr>
            <w:tcW w:w="8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1,764,127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1,755,651</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270,436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494,246</w:t>
            </w:r>
          </w:p>
        </w:tc>
      </w:tr>
      <w:tr>
        <w:trPr>
          <w:trHeight w:val="27"/>
        </w:trPr>
        <w:tc>
          <w:tcPr>
            <w:tcW w:w="8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4,350,834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4,926,711</w:t>
            </w:r>
          </w:p>
        </w:tc>
      </w:tr>
      <w:tr>
        <w:trPr>
          <w:trHeight w:val="20"/>
        </w:trPr>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March 31, 2021</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March 31, 2020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3"/>
                <w:szCs w:val="13"/>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Money</w:t>
            </w:r>
          </w:p>
        </w:tc>
        <w:tc>
          <w:tcPr>
            <w:tcW w:w="300" w:type="dxa"/>
            <w:vAlign w:val="bottom"/>
          </w:tcPr>
          <w:p>
            <w:pPr>
              <w:spacing w:after="0"/>
              <w:rPr>
                <w:sz w:val="13"/>
                <w:szCs w:val="13"/>
                <w:color w:val="auto"/>
              </w:rPr>
            </w:pP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Money</w:t>
            </w:r>
          </w:p>
        </w:tc>
        <w:tc>
          <w:tcPr>
            <w:tcW w:w="340" w:type="dxa"/>
            <w:vAlign w:val="bottom"/>
          </w:tcPr>
          <w:p>
            <w:pPr>
              <w:spacing w:after="0"/>
              <w:rPr>
                <w:sz w:val="13"/>
                <w:szCs w:val="13"/>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Processing</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Transfer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Processing</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Transfer</w:t>
            </w: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8"/>
              </w:rPr>
              <w:t>344,609</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99,474</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115,277</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91,058</w:t>
            </w: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305,809</w:t>
            </w:r>
          </w:p>
        </w:tc>
        <w:tc>
          <w:tcPr>
            <w:tcW w:w="0" w:type="dxa"/>
            <w:vAlign w:val="bottom"/>
          </w:tcPr>
          <w:p>
            <w:pPr>
              <w:spacing w:after="0"/>
              <w:rPr>
                <w:sz w:val="1"/>
                <w:szCs w:val="1"/>
                <w:color w:val="auto"/>
              </w:rPr>
            </w:pP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152,302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200,609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15,019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33,852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137,895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186,766</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88,481</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31,328</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30,848</w:t>
            </w: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81,450</w:t>
            </w:r>
          </w:p>
        </w:tc>
        <w:tc>
          <w:tcPr>
            <w:tcW w:w="0" w:type="dxa"/>
            <w:vAlign w:val="bottom"/>
          </w:tcPr>
          <w:p>
            <w:pPr>
              <w:spacing w:after="0"/>
              <w:rPr>
                <w:sz w:val="1"/>
                <w:szCs w:val="1"/>
                <w:color w:val="auto"/>
              </w:rPr>
            </w:pP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20,580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6,433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6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324,900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8"/>
              </w:rPr>
              <w:t>652,670</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145,825</w:t>
            </w: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172,911</w:t>
            </w: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266,234</w:t>
            </w: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583,907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Company's effective income tax rate was (236.9%) and 58.7% for the three months ended </w:t>
      </w:r>
      <w:r>
        <w:rPr>
          <w:rFonts w:ascii="Arial" w:cs="Arial" w:eastAsia="Arial" w:hAnsi="Arial"/>
          <w:sz w:val="17"/>
          <w:szCs w:val="17"/>
          <w:color w:val="252525"/>
        </w:rPr>
        <w:t>March 31, 2021</w:t>
      </w:r>
      <w:r>
        <w:rPr>
          <w:rFonts w:ascii="Arial" w:cs="Arial" w:eastAsia="Arial" w:hAnsi="Arial"/>
          <w:sz w:val="17"/>
          <w:szCs w:val="17"/>
          <w:color w:val="auto"/>
        </w:rPr>
        <w:t xml:space="preserve"> and 2020, respectively. The Company's effective income tax rate for the three months ended </w:t>
      </w:r>
      <w:r>
        <w:rPr>
          <w:rFonts w:ascii="Arial" w:cs="Arial" w:eastAsia="Arial" w:hAnsi="Arial"/>
          <w:sz w:val="17"/>
          <w:szCs w:val="17"/>
          <w:color w:val="252525"/>
        </w:rPr>
        <w:t>March 31, 2021</w:t>
      </w:r>
      <w:r>
        <w:rPr>
          <w:rFonts w:ascii="Arial" w:cs="Arial" w:eastAsia="Arial" w:hAnsi="Arial"/>
          <w:sz w:val="17"/>
          <w:szCs w:val="17"/>
          <w:color w:val="auto"/>
        </w:rPr>
        <w:t xml:space="preserve"> was lower than the applicable statutory income tax rate of 21% as a result of the non-recognition of tax benefits from losses in certain foreign countries where we have a limited history of profitable earnings, certain foreign earnings of the Company being subject to higher local statutory tax rates, and the Company’s U.S. deferred tax activity on foreign exchange positions. The Company's effective income tax rate for the three months ended March 31, 2020 was higher than the applicable statutory income tax rate of 21% primarily as a result of certain foreign earnings of the Company being subject to higher local statutory income tax rates.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Company had $87.4 million of stand-by letters of credit/bank guarantees issued on its behalf, of which $58.9 million are outstanding under the Credit Facility. The remaining stand-by letters of credit/bank guarantees are collateralized by $3.8 million of cash deposits held by the respective issuing banks.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2021, the Company had granted off balance sheet guarantees for cash in various ATM networks amounting to $11.2 million over the terms of the cash supply agreements and performance guarantees amounting to approximately $45.4 million over the terms of agreements with the customers.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47" w:lineRule="exact"/>
        <w:rPr>
          <w:sz w:val="20"/>
          <w:szCs w:val="20"/>
          <w:color w:val="auto"/>
        </w:rPr>
      </w:pPr>
    </w:p>
    <w:p>
      <w:pPr>
        <w:jc w:val="both"/>
        <w:ind w:left="580" w:right="40"/>
        <w:spacing w:after="0" w:line="286" w:lineRule="auto"/>
        <w:rPr>
          <w:sz w:val="20"/>
          <w:szCs w:val="20"/>
          <w:color w:val="auto"/>
        </w:rPr>
      </w:pPr>
      <w:r>
        <w:rPr>
          <w:rFonts w:ascii="Arial" w:cs="Arial" w:eastAsia="Arial" w:hAnsi="Arial"/>
          <w:sz w:val="17"/>
          <w:szCs w:val="17"/>
          <w:color w:val="auto"/>
        </w:rPr>
        <w:t>In connection with contracts with financial institutions in the EFT Processing Segment, the Company is responsible for damage to ATMs and theft of ATM network cash. As of March 31, 2021, the balance of such cash used in the Company's ATM networks for which the Company was responsible was approximately $486 million.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-394970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5" w:lineRule="exact"/>
        <w:rPr>
          <w:sz w:val="20"/>
          <w:szCs w:val="20"/>
          <w:color w:val="auto"/>
        </w:rPr>
      </w:pPr>
    </w:p>
    <w:p>
      <w:pPr>
        <w:jc w:val="both"/>
        <w:ind w:left="580" w:right="40"/>
        <w:spacing w:after="0" w:line="311" w:lineRule="auto"/>
        <w:rPr>
          <w:sz w:val="20"/>
          <w:szCs w:val="20"/>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-405765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93" w:lineRule="auto"/>
        <w:rPr>
          <w:sz w:val="20"/>
          <w:szCs w:val="20"/>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-807085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4"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5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8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2021 or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lease terms in excess of one year) as of March 31, 2021 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As of March 31,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6"/>
              <w:spacing w:after="0" w:line="153" w:lineRule="exact"/>
              <w:rPr>
                <w:sz w:val="20"/>
                <w:szCs w:val="20"/>
                <w:color w:val="auto"/>
              </w:rPr>
            </w:pPr>
            <w:r>
              <w:rPr>
                <w:rFonts w:ascii="Arial" w:cs="Arial" w:eastAsia="Arial" w:hAnsi="Arial"/>
                <w:sz w:val="14"/>
                <w:szCs w:val="14"/>
                <w:b w:val="1"/>
                <w:bCs w:val="1"/>
                <w:color w:val="auto"/>
                <w:w w:val="90"/>
              </w:rPr>
              <w:t>Operating Leases</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vMerge w:val="continue"/>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2021</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35,443</w:t>
            </w:r>
          </w:p>
        </w:tc>
        <w:tc>
          <w:tcPr>
            <w:tcW w:w="0" w:type="dxa"/>
            <w:vAlign w:val="bottom"/>
          </w:tcPr>
          <w:p>
            <w:pPr>
              <w:spacing w:after="0"/>
              <w:rPr>
                <w:sz w:val="1"/>
                <w:szCs w:val="1"/>
                <w:color w:val="auto"/>
              </w:rPr>
            </w:pPr>
          </w:p>
        </w:tc>
      </w:tr>
      <w:tr>
        <w:trPr>
          <w:trHeight w:val="216"/>
        </w:trPr>
        <w:tc>
          <w:tcPr>
            <w:tcW w:w="6520" w:type="dxa"/>
            <w:vAlign w:val="bottom"/>
          </w:tcPr>
          <w:p>
            <w:pPr>
              <w:ind w:left="40"/>
              <w:spacing w:after="0"/>
              <w:rPr>
                <w:sz w:val="20"/>
                <w:szCs w:val="20"/>
                <w:color w:val="auto"/>
              </w:rPr>
            </w:pPr>
            <w:r>
              <w:rPr>
                <w:rFonts w:ascii="Arial" w:cs="Arial" w:eastAsia="Arial" w:hAnsi="Arial"/>
                <w:sz w:val="18"/>
                <w:szCs w:val="18"/>
                <w:color w:val="auto"/>
              </w:rPr>
              <w:t>2022</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40,777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30,483</w:t>
            </w:r>
          </w:p>
        </w:tc>
        <w:tc>
          <w:tcPr>
            <w:tcW w:w="0" w:type="dxa"/>
            <w:vAlign w:val="bottom"/>
          </w:tcPr>
          <w:p>
            <w:pPr>
              <w:spacing w:after="0"/>
              <w:rPr>
                <w:sz w:val="1"/>
                <w:szCs w:val="1"/>
                <w:color w:val="auto"/>
              </w:rPr>
            </w:pPr>
          </w:p>
        </w:tc>
      </w:tr>
      <w:tr>
        <w:trPr>
          <w:trHeight w:val="216"/>
        </w:trPr>
        <w:tc>
          <w:tcPr>
            <w:tcW w:w="6520" w:type="dxa"/>
            <w:vAlign w:val="bottom"/>
          </w:tcPr>
          <w:p>
            <w:pPr>
              <w:ind w:left="40"/>
              <w:spacing w:after="0"/>
              <w:rPr>
                <w:sz w:val="20"/>
                <w:szCs w:val="20"/>
                <w:color w:val="auto"/>
              </w:rPr>
            </w:pPr>
            <w:r>
              <w:rPr>
                <w:rFonts w:ascii="Arial" w:cs="Arial" w:eastAsia="Arial" w:hAnsi="Arial"/>
                <w:sz w:val="18"/>
                <w:szCs w:val="18"/>
                <w:color w:val="auto"/>
              </w:rPr>
              <w:t>2024</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33,594</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177,346</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171,721</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660" w:hanging="328"/>
        <w:spacing w:after="0" w:line="293"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lease payments reflect the Company's current fixed obligations under the operating lease agreements. Certain ATM site leases contain termination options that grant the Company the option to terminate the lease prior to the stated term of the agreement. The Company includes the future minimum lease payments for these ATM site leases only to the extent that the termination option is not reasonably certain to be exercised.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60" w:type="dxa"/>
            <w:vAlign w:val="bottom"/>
          </w:tcPr>
          <w:p>
            <w:pPr>
              <w:ind w:left="40"/>
              <w:spacing w:after="0"/>
              <w:rPr>
                <w:sz w:val="20"/>
                <w:szCs w:val="20"/>
                <w:color w:val="auto"/>
              </w:rPr>
            </w:pPr>
            <w:r>
              <w:rPr>
                <w:rFonts w:ascii="Arial" w:cs="Arial" w:eastAsia="Arial" w:hAnsi="Arial"/>
                <w:sz w:val="18"/>
                <w:szCs w:val="18"/>
                <w:b w:val="1"/>
                <w:bCs w:val="1"/>
                <w:color w:val="auto"/>
              </w:rPr>
              <w:t>Lease Expense</w:t>
            </w:r>
          </w:p>
        </w:tc>
        <w:tc>
          <w:tcPr>
            <w:tcW w:w="4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Statement Classification</w:t>
            </w:r>
          </w:p>
        </w:tc>
        <w:tc>
          <w:tcPr>
            <w:tcW w:w="1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8"/>
                <w:szCs w:val="18"/>
                <w:color w:val="auto"/>
              </w:rPr>
            </w:pPr>
          </w:p>
        </w:tc>
        <w:tc>
          <w:tcPr>
            <w:tcW w:w="164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45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Selling, general and administrative and Direct operating</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45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13,858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33,188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Selling, general and administrative and Direct operating</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Short-term and variable lease expense</w:t>
            </w:r>
          </w:p>
        </w:tc>
        <w:tc>
          <w:tcPr>
            <w:tcW w:w="4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costs</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37"/>
        </w:trPr>
        <w:tc>
          <w:tcPr>
            <w:tcW w:w="2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expense</w:t>
            </w:r>
          </w:p>
        </w:tc>
        <w:tc>
          <w:tcPr>
            <w:tcW w:w="4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41,868</w:t>
            </w:r>
          </w:p>
        </w:tc>
        <w:tc>
          <w:tcPr>
            <w:tcW w:w="0" w:type="dxa"/>
            <w:vAlign w:val="bottom"/>
          </w:tcPr>
          <w:p>
            <w:pPr>
              <w:spacing w:after="0"/>
              <w:rPr>
                <w:sz w:val="1"/>
                <w:szCs w:val="1"/>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about lease amounts recognized in the consolidated financial statements is summarized as follows: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395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As of March 31,</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13335</wp:posOffset>
            </wp:positionV>
            <wp:extent cx="6686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5.3</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2.2%</w:t>
      </w:r>
    </w:p>
    <w:p>
      <w:pPr>
        <w:spacing w:after="0" w:line="222" w:lineRule="exact"/>
        <w:rPr>
          <w:sz w:val="20"/>
          <w:szCs w:val="20"/>
          <w:color w:val="auto"/>
        </w:rPr>
      </w:pPr>
    </w:p>
    <w:p>
      <w:pPr>
        <w:sectPr>
          <w:pgSz w:w="11900" w:h="16838" w:orient="portrait"/>
          <w:cols w:equalWidth="0" w:num="2">
            <w:col w:w="9500" w:space="720"/>
            <w:col w:w="1020"/>
          </w:cols>
          <w:pgMar w:left="320" w:top="125"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80" w:type="dxa"/>
            <w:vAlign w:val="bottom"/>
          </w:tcPr>
          <w:p>
            <w:pPr>
              <w:jc w:val="right"/>
              <w:ind w:right="199"/>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2"/>
        </w:trPr>
        <w:tc>
          <w:tcPr>
            <w:tcW w:w="7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70"/>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13,669</w:t>
            </w:r>
          </w:p>
        </w:tc>
        <w:tc>
          <w:tcPr>
            <w:tcW w:w="6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32,792</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non-cash information on lease liabilities arising from obtaining ROU assets: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gridSpan w:val="2"/>
          </w:tcPr>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28,188</w:t>
            </w:r>
          </w:p>
        </w:tc>
        <w:tc>
          <w:tcPr>
            <w:tcW w:w="6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50,525</w:t>
            </w:r>
          </w:p>
        </w:tc>
        <w:tc>
          <w:tcPr>
            <w:tcW w:w="0" w:type="dxa"/>
            <w:vAlign w:val="bottom"/>
          </w:tcPr>
          <w:p>
            <w:pPr>
              <w:spacing w:after="0"/>
              <w:rPr>
                <w:sz w:val="1"/>
                <w:szCs w:val="1"/>
                <w:color w:val="auto"/>
              </w:rPr>
            </w:pPr>
          </w:p>
        </w:tc>
      </w:tr>
      <w:tr>
        <w:trPr>
          <w:trHeight w:val="176"/>
        </w:trPr>
        <w:tc>
          <w:tcPr>
            <w:tcW w:w="738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(a) Included in Net cash provided by operating activities on the Company's Consolidated Statements of Cash Flows.</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380" w:type="dxa"/>
            <w:vAlign w:val="bottom"/>
          </w:tcPr>
          <w:p>
            <w:pPr>
              <w:ind w:left="55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the COVID-19 pandemic on our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speed and effectiveness of rollouts for vaccines and treatments for COVID-19; the effects in Europe of the U.K.'s departure from the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2020.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333" w:lineRule="exact"/>
        <w:rPr>
          <w:sz w:val="20"/>
          <w:szCs w:val="20"/>
          <w:color w:val="auto"/>
        </w:rPr>
      </w:pPr>
    </w:p>
    <w:p>
      <w:pPr>
        <w:jc w:val="both"/>
        <w:ind w:left="540"/>
        <w:spacing w:after="0" w:line="268" w:lineRule="auto"/>
        <w:rPr>
          <w:sz w:val="20"/>
          <w:szCs w:val="20"/>
          <w:color w:val="auto"/>
        </w:rPr>
      </w:pPr>
      <w:r>
        <w:rPr>
          <w:rFonts w:ascii="Arial" w:cs="Arial" w:eastAsia="Arial" w:hAnsi="Arial"/>
          <w:sz w:val="17"/>
          <w:szCs w:val="17"/>
          <w:color w:val="auto"/>
        </w:rPr>
        <w:t>The EFT Processing Segment, which processes transactions for a network of 36,777 active ATMs and approximately 349,000 POS terminals across Europe, the Middle East, Asia Pacific, the United States and Africa.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-644525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736,000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-508000</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68" w:lineRule="auto"/>
        <w:rPr>
          <w:sz w:val="20"/>
          <w:szCs w:val="20"/>
          <w:color w:val="auto"/>
        </w:rPr>
      </w:pPr>
      <w:r>
        <w:rPr>
          <w:rFonts w:ascii="Arial" w:cs="Arial" w:eastAsia="Arial" w:hAnsi="Arial"/>
          <w:sz w:val="17"/>
          <w:szCs w:val="17"/>
          <w:color w:val="auto"/>
        </w:rPr>
        <w:t>The Money Transfer Segment, which provides global consumer-to-consumer money transfer services, primarily under the brand names Ria, AFEX, IME and xe and global account-to-account money transfer services under the brand name xe. We offer services under the brand names Ria, AFEX and IME through a network of sending agents, Company-owned stores (primarily in North America, Europe and Malaysia) and our websites (riamoneytransfer.com and online.imeremit.com), disbursing money transfers through a worldwide correspondent network that includes approximately 475,000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 sized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-1208405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72%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13% of total consolidated revenues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2021,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37% of total consolidated revenues for the first quarter of 2021,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compared with other electronic products has decreased over time, and digital media content now produces approximately 69% of epay Segment revenues. Other electronic content offered by this segment includes digital content such as music, games and software, as well as other products, including mobile wallets, prepaid long distance calling card plans, prepaid Internet plans, prepaid debit cards, gift cards, vouchers, transport payments, lottery payments, bill payment and money transfer.</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50% of total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for the first quarter of 2021,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IME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2023.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293" w:lineRule="exact"/>
        <w:rPr>
          <w:sz w:val="20"/>
          <w:szCs w:val="20"/>
          <w:color w:val="auto"/>
        </w:rPr>
      </w:pPr>
    </w:p>
    <w:p>
      <w:pPr>
        <w:ind w:left="540" w:right="3660"/>
        <w:spacing w:after="0" w:line="271" w:lineRule="auto"/>
        <w:rPr>
          <w:sz w:val="20"/>
          <w:szCs w:val="20"/>
          <w:color w:val="auto"/>
        </w:rPr>
      </w:pPr>
      <w:r>
        <w:rPr>
          <w:rFonts w:ascii="Arial" w:cs="Arial" w:eastAsia="Arial" w:hAnsi="Arial"/>
          <w:sz w:val="17"/>
          <w:szCs w:val="17"/>
          <w:color w:val="auto"/>
        </w:rPr>
        <w:t>increasing the number of ATMs and cash deposit terminals in our independent ATM networks; increasing transactions processed on our network of owned and operated ATMs and POS devices; signing new outsourced ATM and POS terminal management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-372110</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-234950</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-97790</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expanding our epay processing network and portfolio of digital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420"/>
        <w:spacing w:after="0" w:line="255" w:lineRule="auto"/>
        <w:rPr>
          <w:sz w:val="20"/>
          <w:szCs w:val="20"/>
          <w:color w:val="auto"/>
        </w:rPr>
      </w:pPr>
      <w:r>
        <w:rPr>
          <w:rFonts w:ascii="Arial" w:cs="Arial" w:eastAsia="Arial" w:hAnsi="Arial"/>
          <w:sz w:val="18"/>
          <w:szCs w:val="18"/>
          <w:color w:val="auto"/>
        </w:rPr>
        <w:t>expanding our money transfer services, cross-currency payments products and bill payment network; expanding our cash management solutions and foreign currency risk management services; and developing our credit and debit card outsourcing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-242570</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-105410</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346" w:lineRule="exact"/>
        <w:rPr>
          <w:sz w:val="20"/>
          <w:szCs w:val="20"/>
          <w:color w:val="auto"/>
        </w:rPr>
      </w:pPr>
    </w:p>
    <w:p>
      <w:pPr>
        <w:ind w:left="540" w:right="2560"/>
        <w:spacing w:after="0" w:line="258" w:lineRule="auto"/>
        <w:rPr>
          <w:sz w:val="20"/>
          <w:szCs w:val="20"/>
          <w:color w:val="auto"/>
        </w:rPr>
      </w:pPr>
      <w:r>
        <w:rPr>
          <w:rFonts w:ascii="Arial" w:cs="Arial" w:eastAsia="Arial" w:hAnsi="Arial"/>
          <w:sz w:val="18"/>
          <w:szCs w:val="18"/>
          <w:color w:val="auto"/>
        </w:rPr>
        <w:t>the impact of competition by banks and other ATM operators and service providers in our current target markets; the demand for our ATM outsourcing services in our current target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880"/>
        <w:spacing w:after="0" w:line="250" w:lineRule="auto"/>
        <w:rPr>
          <w:sz w:val="20"/>
          <w:szCs w:val="20"/>
          <w:color w:val="auto"/>
        </w:rPr>
      </w:pPr>
      <w:r>
        <w:rPr>
          <w:rFonts w:ascii="Arial" w:cs="Arial" w:eastAsia="Arial" w:hAnsi="Arial"/>
          <w:sz w:val="18"/>
          <w:szCs w:val="18"/>
          <w:color w:val="auto"/>
        </w:rPr>
        <w:t>our ability to develop products or services, including value added services, to drive increases in transactions and revenues; the expansion of our various business lines in markets where we operate and in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260"/>
        <w:spacing w:after="0" w:line="265" w:lineRule="auto"/>
        <w:rPr>
          <w:sz w:val="20"/>
          <w:szCs w:val="20"/>
          <w:color w:val="auto"/>
        </w:rPr>
      </w:pPr>
      <w:r>
        <w:rPr>
          <w:rFonts w:ascii="Arial" w:cs="Arial" w:eastAsia="Arial" w:hAnsi="Arial"/>
          <w:sz w:val="17"/>
          <w:szCs w:val="17"/>
          <w:color w:val="auto"/>
        </w:rPr>
        <w:t>our entry into additional card acceptance and ATM management agreements with financial institutions; our ability to obtain required licenses in markets we intend to enter or expand services; our ability to enter into sponsorship agreements where our licenses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-372110</wp:posOffset>
            </wp:positionV>
            <wp:extent cx="596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-234950</wp:posOffset>
            </wp:positionV>
            <wp:extent cx="596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-97790</wp:posOffset>
            </wp:positionV>
            <wp:extent cx="596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500"/>
        <w:spacing w:after="0" w:line="250" w:lineRule="auto"/>
        <w:rPr>
          <w:sz w:val="20"/>
          <w:szCs w:val="20"/>
          <w:color w:val="auto"/>
        </w:rPr>
      </w:pPr>
      <w:r>
        <w:rPr>
          <w:rFonts w:ascii="Arial" w:cs="Arial" w:eastAsia="Arial" w:hAnsi="Arial"/>
          <w:sz w:val="18"/>
          <w:szCs w:val="18"/>
          <w:color w:val="auto"/>
        </w:rPr>
        <w:t>our ability to enter into and renew ATM network cash supply agreements with financial institutions; the availability of financing for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800"/>
        <w:spacing w:after="0" w:line="250" w:lineRule="auto"/>
        <w:rPr>
          <w:sz w:val="20"/>
          <w:szCs w:val="20"/>
          <w:color w:val="auto"/>
        </w:rPr>
      </w:pPr>
      <w:r>
        <w:rPr>
          <w:rFonts w:ascii="Arial" w:cs="Arial" w:eastAsia="Arial" w:hAnsi="Arial"/>
          <w:sz w:val="18"/>
          <w:szCs w:val="18"/>
          <w:color w:val="auto"/>
        </w:rPr>
        <w:t>our ability to efficiently install ATMs contracted under newly awarded outsourcing agreements; our ability to renew existing contracts at profitable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maintain pricing at current levels or mitigate price reductions in certain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 w:lineRule="exact"/>
        <w:rPr>
          <w:sz w:val="20"/>
          <w:szCs w:val="20"/>
          <w:color w:val="auto"/>
        </w:rPr>
      </w:pPr>
    </w:p>
    <w:p>
      <w:pPr>
        <w:jc w:val="both"/>
        <w:ind w:left="540"/>
        <w:spacing w:after="0" w:line="224" w:lineRule="auto"/>
        <w:rPr>
          <w:sz w:val="20"/>
          <w:szCs w:val="20"/>
          <w:color w:val="auto"/>
        </w:rPr>
      </w:pPr>
      <w:r>
        <w:rPr>
          <w:rFonts w:ascii="Arial" w:cs="Arial" w:eastAsia="Arial" w:hAnsi="Arial"/>
          <w:sz w:val="18"/>
          <w:szCs w:val="18"/>
          <w:color w:val="auto"/>
        </w:rPr>
        <w:t>the impact of changes in rules imposed by international card organizations such as Visa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Mastercard</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on card transactions on ATMs, including reductions in ATM interchange fees, restrictions on the ability to apply direct access fees, the ability to offer DCC transactions on ATMs, and increases in fees charged on DCC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-370840</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80"/>
        <w:spacing w:after="0" w:line="250" w:lineRule="auto"/>
        <w:rPr>
          <w:sz w:val="20"/>
          <w:szCs w:val="20"/>
          <w:color w:val="auto"/>
        </w:rPr>
      </w:pPr>
      <w:r>
        <w:rPr>
          <w:rFonts w:ascii="Arial" w:cs="Arial" w:eastAsia="Arial" w:hAnsi="Arial"/>
          <w:sz w:val="18"/>
          <w:szCs w:val="18"/>
          <w:color w:val="auto"/>
        </w:rPr>
        <w:t>the impact of changes in laws and regulations affecting the profitability of our services, including regulation of DCC transactions by the E.U.; the impact of overall market trends on ATM transactions in our current target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expand and sign additional customers for the cross-border merchant processing and acquiring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120"/>
        <w:spacing w:after="0" w:line="260" w:lineRule="auto"/>
        <w:rPr>
          <w:sz w:val="20"/>
          <w:szCs w:val="20"/>
          <w:color w:val="auto"/>
        </w:rPr>
      </w:pPr>
      <w:r>
        <w:rPr>
          <w:rFonts w:ascii="Arial" w:cs="Arial" w:eastAsia="Arial" w:hAnsi="Arial"/>
          <w:sz w:val="18"/>
          <w:szCs w:val="18"/>
          <w:color w:val="auto"/>
        </w:rPr>
        <w:t>the continued development and implementation of our software products and their ability to interact with other leading products; and the impact of government imposed restrictions on travel into countries where we operate ATMs.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-107950</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238"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use existing expertise and relationships with mobile operators, digital content providers and retailers to our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-77470</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 w:lineRule="exact"/>
        <w:rPr>
          <w:sz w:val="20"/>
          <w:szCs w:val="20"/>
          <w:color w:val="auto"/>
        </w:rPr>
      </w:pPr>
    </w:p>
    <w:p>
      <w:pPr>
        <w:ind w:left="540" w:right="20"/>
        <w:spacing w:after="0" w:line="250" w:lineRule="auto"/>
        <w:rPr>
          <w:sz w:val="20"/>
          <w:szCs w:val="20"/>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market share of the retail distribution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760"/>
        <w:spacing w:after="0" w:line="250" w:lineRule="auto"/>
        <w:rPr>
          <w:sz w:val="20"/>
          <w:szCs w:val="20"/>
          <w:color w:val="auto"/>
        </w:rPr>
      </w:pPr>
      <w:r>
        <w:rPr>
          <w:rFonts w:ascii="Arial" w:cs="Arial" w:eastAsia="Arial" w:hAnsi="Arial"/>
          <w:sz w:val="18"/>
          <w:szCs w:val="18"/>
          <w:color w:val="auto"/>
        </w:rPr>
        <w:t>the development of new technologies that may compete with POS distribution of prepaid mobile airtime and other products; the level of commission that is paid to the various intermediaries in the electronic payment distribution chain; our ability to fully recover monies collected by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600"/>
        <w:spacing w:after="0" w:line="250" w:lineRule="auto"/>
        <w:rPr>
          <w:sz w:val="20"/>
          <w:szCs w:val="20"/>
          <w:color w:val="auto"/>
        </w:rPr>
      </w:pPr>
      <w:r>
        <w:rPr>
          <w:rFonts w:ascii="Arial" w:cs="Arial" w:eastAsia="Arial" w:hAnsi="Arial"/>
          <w:sz w:val="18"/>
          <w:szCs w:val="18"/>
          <w:color w:val="auto"/>
        </w:rPr>
        <w:t>our ability to add new and differentiated products in addition to those offered by mobile operators; our ability to develop and effectively market additional value added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our ability to take advantage of cross-selling opportunities with our EFT Processing and Money Transfer Segments, including providing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-84455</wp:posOffset>
            </wp:positionV>
            <wp:extent cx="5969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transfer services through our distribution network;</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availability of financing for further expansion;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government imposed restrictions on retailers with whom we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electronic content distributors results in the increase of commissions paid to retailers and increases in retailer attrition rates. To grow, we must capture market share from other prepaid mobile airtime and electronic content distributors, offer a superior product offering and demonstrate the value of a global network. In certain markets in which we operate, many of the factors that may contribute to rapid growth (growth in electronic content, expansion of our network of retailers and access to products of mobile operators and other content providers) remain present.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3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continued growth in worker migration and employment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right="20"/>
        <w:spacing w:after="0" w:line="250" w:lineRule="auto"/>
        <w:rPr>
          <w:sz w:val="20"/>
          <w:szCs w:val="20"/>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maintain our agent and correspondent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-84455</wp:posOffset>
            </wp:positionV>
            <wp:extent cx="596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540"/>
        <w:spacing w:after="0" w:line="250" w:lineRule="auto"/>
        <w:rPr>
          <w:sz w:val="20"/>
          <w:szCs w:val="20"/>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980"/>
        <w:spacing w:after="0" w:line="250" w:lineRule="auto"/>
        <w:rPr>
          <w:sz w:val="20"/>
          <w:szCs w:val="20"/>
          <w:color w:val="auto"/>
        </w:rPr>
      </w:pPr>
      <w:r>
        <w:rPr>
          <w:rFonts w:ascii="Arial" w:cs="Arial" w:eastAsia="Arial" w:hAnsi="Arial"/>
          <w:sz w:val="18"/>
          <w:szCs w:val="18"/>
          <w:color w:val="auto"/>
        </w:rPr>
        <w:t>the expansion of our services in markets where we operate and in new markets; our ability to strengthen our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fund working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1560"/>
        <w:spacing w:after="0" w:line="281" w:lineRule="auto"/>
        <w:rPr>
          <w:sz w:val="20"/>
          <w:szCs w:val="20"/>
          <w:color w:val="auto"/>
        </w:rPr>
      </w:pPr>
      <w:r>
        <w:rPr>
          <w:rFonts w:ascii="Arial" w:cs="Arial" w:eastAsia="Arial" w:hAnsi="Arial"/>
          <w:sz w:val="16"/>
          <w:szCs w:val="16"/>
          <w:color w:val="auto"/>
        </w:rPr>
        <w:t>our ability to recover from agents funds collected from customers and our ability to recover advances made to correspondents; our ability to maintain compliance with the regulatory requirements of the jurisdictions in which we operate or plan to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our ability to leverage our banking and merchant/retailer relationships to expand money transfer corridors to Europe, Asia and Africa,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-84455</wp:posOffset>
            </wp:positionV>
            <wp:extent cx="5969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high growth corridors to Central and Eastern European countries;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availability of financing for further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ability to maintain banking relationships necessary for us to service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provide additional value-added products under the xe brand;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impact of government imposed restrictions on our network of agents and correspondents.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outbreak of the COVID-19 (coronavirus) pandemic has resulted in varying degrees of border and business closures, travel restrictions and other social distancing orders in most of the countries where we operate during the first quarter of 2021. These types of orders were first put into effect in late February 2020 or early March 2020. As the number and rate of new cases has fluctuated in various locations around the global, the closures, restrictions and other social distancing orders have been modified, rescinded and/or re-imposed. Some version of these orders remains in almost every location in which we operate. Although vaccines for COVID-19 are becoming widely available in the U.S. and parts of Europe, their availability is still limited in many parts of the world where we operate. In addition, the rate of acceptance and long term effectiveness of the vaccines, especially against new variants, are still unknown.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we have a higher mix of digital distribution or a higher concentration of retailers that are deemed essential and have remained open during the pandemic. The Money Transfer Segment continues to be impacted by the pandemic related restrictions in certain markets hat limit customers' ability to access our network of company owned stores and agents.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driven impacts, we implemented several key measures to offset the impact across the business, including renegotiating certain third party contracts, reducing travel, decreasing capital expenditures, and expanding ATM seasonal deactivations (placing them in dormancy status, terminating, or re-negotiating) in more sites and more markets.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months ended March 31, 2021 and 2020 are summarized in the tables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Revenues for the Three Months Ended</w:t>
            </w:r>
          </w:p>
        </w:tc>
        <w:tc>
          <w:tcPr>
            <w:tcW w:w="220" w:type="dxa"/>
            <w:vAlign w:val="bottom"/>
          </w:tcPr>
          <w:p>
            <w:pPr>
              <w:spacing w:after="0"/>
              <w:rPr>
                <w:sz w:val="14"/>
                <w:szCs w:val="14"/>
                <w:color w:val="auto"/>
              </w:rPr>
            </w:pPr>
          </w:p>
        </w:tc>
        <w:tc>
          <w:tcPr>
            <w:tcW w:w="2460" w:type="dxa"/>
            <w:vAlign w:val="bottom"/>
            <w:gridSpan w:val="5"/>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9"/>
        </w:trPr>
        <w:tc>
          <w:tcPr>
            <w:tcW w:w="5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87,076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(58,749)</w:t>
            </w:r>
          </w:p>
        </w:tc>
        <w:tc>
          <w:tcPr>
            <w:tcW w:w="2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242,303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172,911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69,392</w:t>
            </w:r>
          </w:p>
        </w:tc>
        <w:tc>
          <w:tcPr>
            <w:tcW w:w="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324,900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266,234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58,666</w:t>
            </w:r>
          </w:p>
        </w:tc>
        <w:tc>
          <w:tcPr>
            <w:tcW w:w="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654,279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584,970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69,309</w:t>
            </w:r>
          </w:p>
        </w:tc>
        <w:tc>
          <w:tcPr>
            <w:tcW w:w="20" w:type="dxa"/>
            <w:vAlign w:val="bottom"/>
            <w:tcBorders>
              <w:top w:val="single" w:sz="8" w:color="auto"/>
            </w:tcBorders>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57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652,670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583,907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68,763</w:t>
            </w:r>
          </w:p>
        </w:tc>
        <w:tc>
          <w:tcPr>
            <w:tcW w:w="20" w:type="dxa"/>
            <w:vAlign w:val="bottom"/>
            <w:tcBorders>
              <w:top w:val="single" w:sz="8" w:color="auto"/>
              <w:bottom w:val="single" w:sz="8" w:color="auto"/>
            </w:tcBorders>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Operating Income (Loss) for the Three</w:t>
            </w:r>
          </w:p>
        </w:tc>
        <w:tc>
          <w:tcPr>
            <w:tcW w:w="220" w:type="dxa"/>
            <w:vAlign w:val="bottom"/>
          </w:tcPr>
          <w:p>
            <w:pPr>
              <w:spacing w:after="0"/>
              <w:rPr>
                <w:sz w:val="24"/>
                <w:szCs w:val="24"/>
                <w:color w:val="auto"/>
              </w:rPr>
            </w:pPr>
          </w:p>
        </w:tc>
        <w:tc>
          <w:tcPr>
            <w:tcW w:w="2460" w:type="dxa"/>
            <w:vAlign w:val="bottom"/>
            <w:gridSpan w:val="5"/>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Months Ended March 31,</w:t>
            </w:r>
          </w:p>
        </w:tc>
        <w:tc>
          <w:tcPr>
            <w:tcW w:w="220" w:type="dxa"/>
            <w:vAlign w:val="bottom"/>
          </w:tcPr>
          <w:p>
            <w:pPr>
              <w:spacing w:after="0"/>
              <w:rPr>
                <w:sz w:val="16"/>
                <w:szCs w:val="16"/>
                <w:color w:val="auto"/>
              </w:rPr>
            </w:pPr>
          </w:p>
        </w:tc>
        <w:tc>
          <w:tcPr>
            <w:tcW w:w="24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5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(45,031)</w:t>
            </w:r>
          </w:p>
        </w:tc>
        <w:tc>
          <w:tcPr>
            <w:tcW w:w="2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12,699</w:t>
            </w:r>
          </w:p>
        </w:tc>
        <w:tc>
          <w:tcPr>
            <w:tcW w:w="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35,403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24,464</w:t>
            </w: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(19,237)</w:t>
            </w:r>
          </w:p>
        </w:tc>
        <w:tc>
          <w:tcPr>
            <w:tcW w:w="2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7"/>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57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10,449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(21,153)</w:t>
            </w:r>
          </w:p>
        </w:tc>
        <w:tc>
          <w:tcPr>
            <w:tcW w:w="2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Average Translation Rate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Three Months Ended March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280" w:type="dxa"/>
            <w:vAlign w:val="bottom"/>
          </w:tcPr>
          <w:p>
            <w:pPr>
              <w:jc w:val="right"/>
              <w:ind w:right="294"/>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3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0.6144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British pounds sterling</w:t>
            </w:r>
          </w:p>
        </w:tc>
        <w:tc>
          <w:tcPr>
            <w:tcW w:w="3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1.2405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Hungarian forint</w:t>
            </w:r>
          </w:p>
        </w:tc>
        <w:tc>
          <w:tcPr>
            <w:tcW w:w="3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0.0031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0.0133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3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0.2319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0.5966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3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0.2655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0.2418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58"/>
        </w:trPr>
        <w:tc>
          <w:tcPr>
            <w:tcW w:w="3880" w:type="dxa"/>
            <w:vAlign w:val="bottom"/>
          </w:tcPr>
          <w:p>
            <w:pPr>
              <w:spacing w:after="0"/>
              <w:rPr>
                <w:sz w:val="24"/>
                <w:szCs w:val="24"/>
                <w:color w:val="auto"/>
              </w:rPr>
            </w:pPr>
          </w:p>
        </w:tc>
        <w:tc>
          <w:tcPr>
            <w:tcW w:w="3220" w:type="dxa"/>
            <w:vAlign w:val="bottom"/>
          </w:tcPr>
          <w:p>
            <w:pPr>
              <w:jc w:val="right"/>
              <w:ind w:right="131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8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MONTHS ENDED MARCH 31, 2021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our EFT Processing Segment for the three months ended March 31, 2021 and 2020:</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20" w:type="dxa"/>
            <w:vAlign w:val="bottom"/>
          </w:tcPr>
          <w:p>
            <w:pPr>
              <w:spacing w:after="0"/>
              <w:rPr>
                <w:sz w:val="13"/>
                <w:szCs w:val="13"/>
                <w:color w:val="auto"/>
              </w:rPr>
            </w:pPr>
          </w:p>
        </w:tc>
        <w:tc>
          <w:tcPr>
            <w:tcW w:w="12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145,825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127,172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140,890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3"/>
        </w:trPr>
        <w:tc>
          <w:tcPr>
            <w:tcW w:w="58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ATMs as of March 31,</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Active ATMs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EFT Processing Segment total revenues were $87.1 million for the three months ended March 31, 2021, a decrease of $58.7 million or 40% compared to the same period in 2020. The decrease in revenues was primarily due to the impact of fewer active ATMs and fewer high-margin cross-border transactions (DCC), related to COVID-19 pandemic-driven government imposed border and business closures, travel restrictions and lockdowns. The government imposed border and business closures, travel restrictions and lockdowns were in effect to varying degrees for all of the first quarter of 2021 compared to similar restrictions that were primarily limited to the month of March in 2020. These closures, restrictions and other orders resulted in a significant decline in tourism throughout Europe which led to a decrease in DCC and surcharge revenues for the three months ended March 31, 2021 compared to the same period in 2020. Foreign currency movements increased revenues by approximately $3.2 million for the three months ended March 31, 2021 compared to the same period in 2020.</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Average monthly revenues per ATM decreased to $793 for the three months ended March 31, 2021 compared to $1,085 for the same period in 2020. Revenues per transaction decreased to $0.09 for the three months ended March 31, 2021 compared to $0.19 for the same period in 2020. The decreases in average monthly revenues per ATM and revenues per transaction were attributable to a shift in the mix in our transaction volume as COVID-19 restrictions significantly reduced the volume of higher revenue transactions (DCC and surcharge) throughout Europe while we experienced a significant increase in the volume of lower revenue transactions (processing bank wallet transactions and payments for e-commerce sites) primarily in our Asia Pacific region.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EFT Processing Segment direct operating costs were $69.6 million for the three months ended March 31, 2021, a decrease of $17.9 million or 20% compared to the same period in 2020.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decrease in direct operating costs was primarily due to the decrease in the number of ATMs under management, renegotiated and reduced site rental fees, and reduced operating costs for ATM's seasonally deactivated during COVID-19 pandemic imposed restrictions. Foreign currency movements increased direct operating costs by approximately $3.2 million for the three months ended March 31, 2021 compared to the same period in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which is calculated as revenues less direct operating costs, was $17.5 million for the three months ended March 31, 2021, a decrease of $40.8 million or 70% compared to $58.3 million for the same period in 2020. Gross profit as a percentage of revenues (“gross margin”) decreased to 20.1% for the three months ended March 31, 2021, compared to 40.0% for the same period in 2020. The decrease in gross profit and gross margin was attributable to the decrease in DCC transactions and domestic and international surcharges.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Salaries and benefits expenses were $23.6 million for the three months ended March 31, 2021, an increase of $1.5 million or 7% compared to the same period in 2020. Foreign currency movements in the countries we employ our workforce increased these expenses by $1.3 million for the three months ended March 31, 2021 compared to the same period in 2020. As a percentage of revenues, these expenses increased to 27.1% for the three months ended March 31, 2021, compared to 15.1% for the same period in 2020. We made a decision to retain our employees during the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general and administrative expenses were $12.0 million for the three months ended March 31, 2021, an increase of $1.0 million or 9% compared to the same period in 2020. Foreign currency movements increased these expenses by $1.2 million for the three months ended March 31, 2021 compared to the same period in 2020, which were partially offset by decreases in travel related expenses and bad debt expense. As a percentage of revenues, these expenses increased to 13.7% for the three months ended March 31, 2021, compared to 7.5% for the same period in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Depreciation and amortization expenses were $22.0 million for the three months ended March 31, 2021, an increase of $1.7 million or 8% compared to the same period in 2020. Foreign currency movements increased these expenses by $1.2 million for the three months ended March 31, 2021 compared to the same period in 2020, with the remainder of the increase driven by the acquisition of additional ATMs and software assets. As a percentage of revenues, these expenses increased to 25.3% for three months ended March 31, 2021, compared to 13.9% for the same period in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EFT Processing Segment had an operating loss of ($40.1 million) for the three months ended March 31, 2021, a decrease of $45.0 million or (912%) compared to the operating income for the same period in 2020. Operating (loss) income as a percentage of revenues (“operating margin”) decreased to (46.0%) for the three months ended March 31, 2021, compared to 3.4% for the same period in 2020. Operating (loss) income per transaction was ($0.04) for the three months ended March 31, 2021, compared to $0.01 for the same period in 2020. The decreases in operating income, operating margin and operating income per transaction were primarily driven by the decrease in travel throughout Europe that led to the significant decrease in DCC and surcharge revenues compared to the same period in 2020.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2021 and 2020 for our epay Segment:</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20" w:type="dxa"/>
            <w:vAlign w:val="bottom"/>
          </w:tcPr>
          <w:p>
            <w:pPr>
              <w:spacing w:after="0"/>
              <w:rPr>
                <w:sz w:val="13"/>
                <w:szCs w:val="13"/>
                <w:color w:val="auto"/>
              </w:rPr>
            </w:pPr>
          </w:p>
        </w:tc>
        <w:tc>
          <w:tcPr>
            <w:tcW w:w="12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69,392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56,693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7"/>
        </w:trPr>
        <w:tc>
          <w:tcPr>
            <w:tcW w:w="58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epay Segment total revenues were $242.3 million for the three months ended March 31, 2021, an increase of $69.4 million or 40% compared to the same period in 2020. The increase in revenues was primarily due to an increase in the number of transactions processed driven by continued digital media growth and the U.S. dollar weakening against key foreign currencies during the first quarter of 2021. Foreign currency movements increased revenues by approximately $12.9 million for the three months ended March 31, 2021 compared to the same period in 2020. The epay segment was impacted by COVID-19 pandemic-driven government imposed lockdowns and business closures, primarily at retail outlets, which were offset by increases in digital media offerings in Asia and revenues derived from businesses that were classified as essential and remained open during the pandemic.</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per transaction decreased to $0.36 for the three months ended March 31, 2021, compared to $0.39 for the same period in 2020. The decrease in revenues per transaction was primarily driven by the increase in the number of mobile transactions processed in a region where we generally earn lower revenues per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epay Segment direct operating costs were $182.6 million for the three months ended March 31, 2021, an increase of $52.6 million or 40% compared to the same period in 2020. Direct operating costs primarily consist of the commissions paid to retail merchants for the distribution and sale of prepaid mobile airtime and other prepaid products, expenses incurred to operate POS terminals and the cost of vouchers sold and physical gifts fulfilled. The increase in direct operating costs was primarily due to the increase in transaction volumes of low-value mobile top-up transactions and by the U.S. dollar weakening against key foreign currencies in the first quarter of 2021. Foreign currency movements increased direct operating costs by approximately $9.4 million for the three months ended March 31, 2021 compared to the same period in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was $59.7 million for the three months ended March 31, 2021, an increase of $16.9 million or 39% compared to $42.8 million for the same period in 2020. Gross margin decreased to 24.6% for the three months ended March 31, 2021, compared to 24.8% for the same period in 2020. The increase in gross profit and decrease in gross margin is driven by the increase in transaction volumes processed in regions where we generally earn lower revenues per transaction.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Salaries and benefits expenses were $19.4 million for the three months ended March 31, 2021, an increase of $3.7 million or 23% compared to the same period in 2020. The increase in salaries and benefits was driven by an increase in headcount to support the growth of the business as well as a $1.2 million increase from foreign currency movements for the three months ended March 31, 2021 compared to the same period in 2020. As a percentage of revenues, these expenses decreased to 8.0% for the three months ended March 31, 2021, compared to 9.1% for the same period in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were $9.0 million for the three months ended March 31, 2021, an increase of $0.2 million or 2% compared to the same period in 2020. As a percentage of revenues, these expenses decreased to 3.7% for the three months ended March 31, 2021, compared to 5.1% for the same period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$2.1 million for the three months ended March 31, 2021, an increase of $0.3 million or 15% compared to the same period in 2020. Depreciation and amortization expense primarily represents depreciation of POS terminals we install in retail stores and amortization of acquired intangible assets. As a percentage of revenues, these expenses decreased to 0.9% for the three months ended March 31, 2021, compared to 1.1% for same period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epay Segment operating income was $29.2 million for the three months ended March 31, 2021, an increase of $12.7 million or 77% compared to the same period in 2020. Operating margin increased to 12.0% for the three months ended March 31, 2021, compared to 9.5% for the same period in 2020. Operating income per transaction was $0.04 for both the three months ended March 31, 2021 and 2020. The increases in operating income and operating margin for the three months ended March 31, 2021 compared to the same period in 2020 were primarily due to an increase in the number of higher-margin digital media transactions.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2021 and 2020 for the Money Transfer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20" w:type="dxa"/>
            <w:vAlign w:val="bottom"/>
          </w:tcPr>
          <w:p>
            <w:pPr>
              <w:spacing w:after="0"/>
              <w:rPr>
                <w:sz w:val="13"/>
                <w:szCs w:val="13"/>
                <w:color w:val="auto"/>
              </w:rPr>
            </w:pPr>
          </w:p>
        </w:tc>
        <w:tc>
          <w:tcPr>
            <w:tcW w:w="12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40,969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58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13,095</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Money Transfer Segment total revenues were $324.9 million for the three months ended March 31, 2021, an increase of $58.7 million or 22% compared to the same period in 2020. The increase in revenues was primarily due to increases in U.S. outbound and international-originated money transfers, partially offset by decreases in the U.S. domestic business. Revenues per transaction increased to $10.41 for the three months ended March 31, 2021, compared to $9.72 for the same period in 2020. Foreign currency movements increased revenues by approximately $14.3 million for the three months ended March 31, 2021 compared to the same period in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Money Transfer Segment direct operating costs were $183.9 million for the three months ended March 31, 2021, an increase of $41.0 million or 29% compared to the same period in 2020.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U.S. outbound and international-originated money transfer transactions and the impact of the U.S. dollar weakening against key foreign currencies. Foreign currency movements increased direct operating costs by approximately $7.1 million for the three months ended March 31, 2021 compared to the same period in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$141.0 million for the three months ended March 31, 2021, an increase of $17.7 million or 14% compared to $123.3 million for the same period in 2020. The increase in gross profit was primarily due to increases in U.S. outbound and international-originated money transfers. Gross margin decreased to 43.4% for the three months ended March 31, 2021, compared to 46.3% for the same period in 2020. The decrease in gross margin is primarily attributable to the increase in direct operating costs driven by increased agent commissions in the first quarter of 2021 compared to the same period in 2020.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benefits expenses were $60.5 million for the three months ended March 31, 2021, an increase of $6.7 million or 12% compared to the same period in 2020. The increase in salaries and benefits was primarily driven by an increase in headcount to support the growth of the business, an increase in bonus expense and an increase of $2.6 million from foreign currency movements for the three months ended March 31, 2021 compared to the same period in 2020. As a percentage of revenues, these expenses decreased to 18.6% for the three months ended March 31, 2021, compared to 20.2% for the same period in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were $36.1 million for the three months ended March 31, 2021, a decrease of $2.5 million or 6% compared to the same period in 2020. The decrease was primarily due to a $3.7 million decrease in bad debt expense and a $1.6 million decrease in travel related expenses, partially offset by a $2.6 million increase from foreign currency movements for the three months ended March 31, 2021 compared to the same period in 2020. As a percentage of revenues, these expenses decreased to 11.1% for the three months ended March 31, 2021, compared to 14.5% for the same period in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$9.0 million for the three months ended March 31, 2021, an increase of $0.4 million or 5% compared to the same period in 2020. Depreciation and amortization primarily represents amortization of acquired intangible assets and depreciation of money transfer terminals, computers and software, leasehold improvements and office equipment. As a percentage of revenues, these expenses decreased to 2.8% for the three months ended March 31, 2021, compared to 3.2% for the same period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Money Transfer Segment operating income was $35.4 million for the three months ended March 31, 2021, an increase of $13.1 million or 59% compared to the same period in 2020. Operating margin increased to 10.9% for the three months ended March 31, 2021, compared to 8.4% for the same period in 2020. The increases in operating income and operating margin were primarily driven by the increase in transaction volume, specifically the higher margin transactions for U.S. outbound and international-originated money transfers. Operating income per transaction increased to $1.13 for the three months ended March 31, 2021, compared to $0.81 for the same period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months ended March 31, 2021 and 2020 for Corporate Services: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20" w:type="dxa"/>
            <w:vAlign w:val="bottom"/>
          </w:tcPr>
          <w:p>
            <w:pPr>
              <w:spacing w:after="0"/>
              <w:rPr>
                <w:sz w:val="13"/>
                <w:szCs w:val="13"/>
                <w:color w:val="auto"/>
              </w:rPr>
            </w:pPr>
          </w:p>
        </w:tc>
        <w:tc>
          <w:tcPr>
            <w:tcW w:w="12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Salaries and benefits</w:t>
            </w:r>
          </w:p>
        </w:tc>
        <w:tc>
          <w:tcPr>
            <w:tcW w:w="2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Corporate operating expenses were $14.0 million for the three months ended March 31, 2021, an increase of $1.9 million or 16% compared to the same period in 2020. The increase is primarily due to a $2.2 million increase in share based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80" w:type="dxa"/>
            <w:vAlign w:val="bottom"/>
            <w:gridSpan w:val="3"/>
            <w:vMerge w:val="restart"/>
          </w:tcPr>
          <w:p>
            <w:pPr>
              <w:jc w:val="right"/>
              <w:ind w:right="5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2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3"/>
                <w:szCs w:val="13"/>
                <w:color w:val="auto"/>
              </w:rPr>
            </w:pPr>
          </w:p>
        </w:tc>
        <w:tc>
          <w:tcPr>
            <w:tcW w:w="126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(Decrease) Percent</w:t>
            </w:r>
          </w:p>
        </w:tc>
        <w:tc>
          <w:tcPr>
            <w:tcW w:w="0" w:type="dxa"/>
            <w:vAlign w:val="bottom"/>
          </w:tcPr>
          <w:p>
            <w:pPr>
              <w:spacing w:after="0"/>
              <w:rPr>
                <w:sz w:val="1"/>
                <w:szCs w:val="1"/>
                <w:color w:val="auto"/>
              </w:rPr>
            </w:pPr>
          </w:p>
        </w:tc>
      </w:tr>
      <w:tr>
        <w:trPr>
          <w:trHeight w:val="27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5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7"/>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 loss, net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860" w:type="dxa"/>
            <w:vAlign w:val="bottom"/>
            <w:gridSpan w:val="2"/>
          </w:tcPr>
          <w:p>
            <w:pPr>
              <w:spacing w:after="0"/>
              <w:rPr>
                <w:sz w:val="20"/>
                <w:szCs w:val="20"/>
                <w:color w:val="auto"/>
              </w:rPr>
            </w:pPr>
            <w:r>
              <w:rPr>
                <w:rFonts w:ascii="Arial" w:cs="Arial" w:eastAsia="Arial" w:hAnsi="Arial"/>
                <w:sz w:val="18"/>
                <w:szCs w:val="18"/>
                <w:color w:val="auto"/>
              </w:rPr>
              <w:t>Other gains, net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net foreign currency exchange losses of $4.0 million and $18.8 million for the three months ended March 31, 2021 and 2020, respectively. These realized and unrealized foreign currency exchange losses reflect the fluctuation in the value of the U.S. dollar against the currencies of the countries in which we operated during the respective periods.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effective income tax rate was (236.9%) and 58.7% for the three months ended </w:t>
      </w:r>
      <w:r>
        <w:rPr>
          <w:rFonts w:ascii="Arial" w:cs="Arial" w:eastAsia="Arial" w:hAnsi="Arial"/>
          <w:sz w:val="18"/>
          <w:szCs w:val="18"/>
          <w:color w:val="252525"/>
        </w:rPr>
        <w:t>March 31, 2021</w:t>
      </w:r>
      <w:r>
        <w:rPr>
          <w:rFonts w:ascii="Arial" w:cs="Arial" w:eastAsia="Arial" w:hAnsi="Arial"/>
          <w:sz w:val="18"/>
          <w:szCs w:val="18"/>
          <w:color w:val="auto"/>
        </w:rPr>
        <w:t xml:space="preserve"> and 2020, respectively. Our effective income tax rate for the three months ended </w:t>
      </w:r>
      <w:r>
        <w:rPr>
          <w:rFonts w:ascii="Arial" w:cs="Arial" w:eastAsia="Arial" w:hAnsi="Arial"/>
          <w:sz w:val="18"/>
          <w:szCs w:val="18"/>
          <w:color w:val="252525"/>
        </w:rPr>
        <w:t>March 31, 2021</w:t>
      </w:r>
      <w:r>
        <w:rPr>
          <w:rFonts w:ascii="Arial" w:cs="Arial" w:eastAsia="Arial" w:hAnsi="Arial"/>
          <w:sz w:val="18"/>
          <w:szCs w:val="18"/>
          <w:color w:val="auto"/>
        </w:rPr>
        <w:t xml:space="preserve"> was lower than the applicable statutory income tax rate of 21% as a result of the non-recognition of tax benefits from losses in certain foreign countries where we have a limited history of profitable earnings, certain foreign earnings being subject to higher local statutory tax rates, and our U.S. deferred tax activity on foreign exchange positions. Our effective income tax rate for the three months ended March 31, 2020 was higher than the applicable statutory income tax rate of 21% primarily as a result of certain foreign earnings being subject to higher local statutory income tax rates.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Segment - Country</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EFT - India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loss attributable to Euronet was ($8.7 million) for the three months ended March 31, 2021, a decrease of $10.6 million or 551% compared to the net income in the same period in 2020. The decrease in net income was primarily attributable to the $6.3 million decrease in gross profit that was largely driven by the decrease in revenues in the EFT Segment, a $14.4 million increase in salaries and benefits expense and a $3.6 million increase in income tax expense, partially offset by a decrease in net foreign currency exchange losses of $14.8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working capital of $1,210.5 million, which is calculated as the difference between total current assets and total current liabilities, compared to working capital of $1,510.5 million as of December 31, 2020. The decrease in working capital was primarily due to the $270.4 million repayment of the outstanding balance on the Credit Facility during the first quarter of 2021. Our ratio of current assets to current liabilities was 1.76 and 1.81 at March 31, 2021 and December 31, 2020, respectively.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March 31, 2021, we had $339.9 million of our own cash in use or designated for use in our ATM network, which is recorded in ATM cash on Euronet's Consolidated Balance Sheet. ATM cash decreased $71.2 million from $411.1 million as of December 31, 2020 to $339.9 million as of March 31, 2021 as a result of the reduction in number of active ATMs as of March 31, 2021 compared to December 31, 2020.</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$1,145.4 million of unrestricted cash as of March 31, 2021 compared to $1,420.3 million as of December 31, 2020. The decrease in unrestricted cash was primarily due to the $270.4 million repayment of the outstanding balance on the Credit Facility during the first quarter of 2021. Including the $339.9 million of cash in ATMs at March 31, 2021, the Company has access to $1,485.3 million in available cash, and $941.1 million available under the Credit Facility with no significant long-term debt principal payments until March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8080" w:type="dxa"/>
            <w:vAlign w:val="bottom"/>
            <w:gridSpan w:val="2"/>
          </w:tcPr>
          <w:p>
            <w:pPr>
              <w:spacing w:after="0"/>
              <w:rPr>
                <w:sz w:val="20"/>
                <w:szCs w:val="20"/>
                <w:color w:val="auto"/>
              </w:rPr>
            </w:pPr>
            <w:r>
              <w:rPr>
                <w:rFonts w:ascii="Arial" w:cs="Arial" w:eastAsia="Arial" w:hAnsi="Arial"/>
                <w:sz w:val="18"/>
                <w:szCs w:val="18"/>
                <w:color w:val="auto"/>
              </w:rPr>
              <w:t>The  following  table  identifies  cash  and  cash  equivalents  provided  by/(used  in)  our  operating,</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investing</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and  financing</w:t>
            </w:r>
          </w:p>
        </w:tc>
        <w:tc>
          <w:tcPr>
            <w:tcW w:w="1100" w:type="dxa"/>
            <w:vAlign w:val="bottom"/>
          </w:tcPr>
          <w:p>
            <w:pPr>
              <w:jc w:val="right"/>
              <w:spacing w:after="0"/>
              <w:rPr>
                <w:sz w:val="20"/>
                <w:szCs w:val="20"/>
                <w:color w:val="auto"/>
              </w:rPr>
            </w:pPr>
            <w:r>
              <w:rPr>
                <w:rFonts w:ascii="Arial" w:cs="Arial" w:eastAsia="Arial" w:hAnsi="Arial"/>
                <w:sz w:val="18"/>
                <w:szCs w:val="18"/>
                <w:color w:val="auto"/>
              </w:rPr>
              <w:t>activities  for</w:t>
            </w: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the three months ended March 31, 2021 and 2020 (in thousands):</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12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gridSpan w:val="4"/>
          </w:tcPr>
          <w:p>
            <w:pPr>
              <w:jc w:val="right"/>
              <w:ind w:right="933"/>
              <w:spacing w:after="0"/>
              <w:rPr>
                <w:sz w:val="20"/>
                <w:szCs w:val="20"/>
                <w:color w:val="auto"/>
              </w:rPr>
            </w:pPr>
            <w:r>
              <w:rPr>
                <w:rFonts w:ascii="Arial" w:cs="Arial" w:eastAsia="Arial" w:hAnsi="Arial"/>
                <w:sz w:val="16"/>
                <w:szCs w:val="16"/>
                <w:b w:val="1"/>
                <w:bCs w:val="1"/>
                <w:color w:val="auto"/>
              </w:rPr>
              <w:t>March 31,</w:t>
            </w:r>
          </w:p>
        </w:tc>
      </w:tr>
      <w:tr>
        <w:trPr>
          <w:trHeight w:val="33"/>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Liquidity</w:t>
            </w:r>
          </w:p>
        </w:tc>
        <w:tc>
          <w:tcPr>
            <w:tcW w:w="4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49"/>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8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105,884</w:t>
            </w:r>
          </w:p>
        </w:tc>
      </w:tr>
      <w:tr>
        <w:trPr>
          <w:trHeight w:val="250"/>
        </w:trPr>
        <w:tc>
          <w:tcPr>
            <w:tcW w:w="8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r>
      <w:tr>
        <w:trPr>
          <w:trHeight w:val="263"/>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(269,211)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(242,644)</w:t>
            </w:r>
          </w:p>
        </w:tc>
      </w:tr>
      <w:tr>
        <w:trPr>
          <w:trHeight w:val="277"/>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4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(59,260)</w:t>
            </w:r>
          </w:p>
        </w:tc>
      </w:tr>
      <w:tr>
        <w:trPr>
          <w:trHeight w:val="257"/>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Decrease in cash and cash equivalents and restricted cash</w:t>
            </w:r>
          </w:p>
        </w:tc>
        <w:tc>
          <w:tcPr>
            <w:tcW w:w="4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(227,626)</w:t>
            </w:r>
          </w:p>
        </w:tc>
      </w:tr>
      <w:tr>
        <w:trPr>
          <w:trHeight w:val="20"/>
        </w:trPr>
        <w:tc>
          <w:tcPr>
            <w:tcW w:w="1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(used in) provided by operating activities were ($2.6 million) for the three months ended March 31, 2021 compared to $105.9 million for the same period in 2020. The decrease in operating cash flows was primarily due to fluctuations in working capital mainly associated with the timing of the settlement processes with content providers in the epay Segment, with correspondents in the Money Transfer Segment, and with card organizations and banks in the EFT Processing Segment, and the decrease in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used in investing activities were $18.2 million for the three months ended March 31, 2021 compared to $31.6 million for the same period in 2020. We used $16.4 million for purchases of property and equipment for the three months ended March 31, 2021 compared to $30.4 million for the same period in 2020. The decrease in purchases of property and equipment is primarily driven by the COVID-19 related impacts to the EFT segment. Cash used for software development and other investing activities totaled $1.8 million and $1.7 million for the three months ended March 31, 2021 and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flows used in financing activities were $269.2 million for the three months ended March 31, 2021 compared to $242.6 million for the same period in 2020. Our borrowing activities for the three months ended March 31, 2021 consisted of cash outflows of $270.4 million compared to no net borrowings for the same period in 2020. The decrease in net borrowings for the three months ended March 31, 2021 compared to the same period in 2020 was the result of the repayment of the outstanding balance on the Credit Facility. We repurchased $0.8 million of common stock during the first quarter of 2021 compared to repurchases of $240.5 million during the first quarter of 2020. We received proceeds of $3.7 million and $1.7 million during the three months ended March 31, 2021 and 2020, respectively, for the issuance of stock in connection with our Stock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fees and interest on borrowings are based upon our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we had no borrowings and $58.9 million of stand-by letters of credit outstanding under the Credit Facility. The remaining $941.1 million under the Credit Facility was available for borrowing.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Senior Notes</w:t>
      </w:r>
      <w:r>
        <w:rPr>
          <w:rFonts w:ascii="Arial" w:cs="Arial" w:eastAsia="Arial" w:hAnsi="Arial"/>
          <w:sz w:val="17"/>
          <w:szCs w:val="17"/>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March 31, 2021, we have outstanding €600 million ($703.7 million) principal amount of the Senior Notes. In addition, we may redeem some or all of these notes on or after February 22, 2026 at their principal amount plus any accrued and unpaid interest.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$0.8 million and $0.9 million outstanding under these other obligation arrangements as of March 31,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three months ended March 31, 2021 were $16.4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2021 are currently estimated to range from approximately $105 million to $110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2021, there were no material changes from the disclosure in our Annual Report on Form 10-K for the year ended December 31, 2020. To date, we are not aware of any significant claims made by the indemnified parties or parties to whom we have provided guarantees on behalf of our subsidiaries and, accordingly, no liabilities have been recorded as of March 31, 2021. See also Note 14, Commitments, to the unaudited consolidated financial statements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there have been no material changes outside the ordinary course of business in our future contractual obligations from the amounts reported within our Annual Report on Form 10-K for the year ended December 31, 2020.</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2021, our total debt outstanding, excluding unamortized debt issuance costs, was $1,160.7 million. Of this amount, $456.2 million, net of debt discounts, or 39%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March 31, 2021, the fair value of our fixed rate Convertible Notes was $631.4 million, compared to a carrying value of $456.2 million. Interest expense for the Convertible Notes, including accretion and amortization of deferred debt issuance costs, has a weighted average interest rate of 4.4% annually. Further, as of March 31, 2021 we had no borrowings under our Credit Facility. Additionally, $703.7 million, or 61% of our total debt obligations, relates to Senior Notes having a fixed coupon rate. Our €600 million outstanding principal amount of Senior Notes accrue cash interest at a rate of 1.375% of the principal amount per annum. Based on quoted market prices, as of March 31, 2021, the fair value of our fixed rate Senior Notes was $712.0 million, compared to a carrying value of $703.7 million. The remaining $0.8 million, or 0.1% of our total debt obligations, is related to borrowings by certain subsidiaries to fund, from time to time, working capital requirements. These arrangements generally are due within one year and accrue interest at variable rates.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approximately 72% and of our revenues were generated in non-U.S. dollar countries and we expect to continue generating a significant portion of our revenues in countries with currencies other than the U.S. dollar.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2021, we estimate that a 10% fluctuation in these foreign currency exchange rates would have the combined annualized effect on reported net income and working capital of approximately $45 million to $50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$152 million to $157 million as a result of the change in value of these items during translation to the U.S. dollar. For the fluctuations described above, a strengthening U.S. dollar produces a financial loss, while a weakening U.S. dollar produces a financial gain.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March 31, 2021, we had foreign currency derivative contracts outstanding with a notional value of $120 million, primarily in Australian dollars, British pounds, Canadian dollars, euros and Mexican pesos, that were not designated as hedges and mature within a few days.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2021, we held foreign currency derivative contracts outstanding with a notional value of $1.4 billion, primarily in U.S. dollars, euros, British pounds, Australian dollars and New Zealand dollars, that were not designated as hedges and for which the majority mature within the next twelve months.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March 31, 2021, the Company had foreign currency forward contracts outstanding with a notional value of $593 million, primarily in euros.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10,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March 31, 2021.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of 2021 that has materially affected, or is reasonably likely to materially affect, our internal control over financial reporting.</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15, Litigation and Contingencies, to the unaudited consolidated financial statements in this report is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252525"/>
        </w:rPr>
        <w:t xml:space="preserve">Except as otherwise described herein, there were no material changes to the risk factors previously disclosed in our Annual Report on Form 10-K for the year ended December 31, 2020, </w:t>
      </w:r>
      <w:r>
        <w:rPr>
          <w:rFonts w:ascii="Arial" w:cs="Arial" w:eastAsia="Arial" w:hAnsi="Arial"/>
          <w:sz w:val="18"/>
          <w:szCs w:val="18"/>
          <w:color w:val="000000"/>
        </w:rPr>
        <w:t>as filed with the SEC.</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March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136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Shares Purchased as</w:t>
            </w:r>
          </w:p>
        </w:tc>
        <w:tc>
          <w:tcPr>
            <w:tcW w:w="220" w:type="dxa"/>
            <w:vAlign w:val="bottom"/>
          </w:tcPr>
          <w:p>
            <w:pPr>
              <w:spacing w:after="0"/>
              <w:rPr>
                <w:sz w:val="12"/>
                <w:szCs w:val="12"/>
                <w:color w:val="auto"/>
              </w:rPr>
            </w:pPr>
          </w:p>
        </w:tc>
        <w:tc>
          <w:tcPr>
            <w:tcW w:w="13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Number of</w:t>
            </w:r>
          </w:p>
        </w:tc>
        <w:tc>
          <w:tcPr>
            <w:tcW w:w="13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Average Price Paid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580" w:type="dxa"/>
            <w:vAlign w:val="bottom"/>
            <w:gridSpan w:val="2"/>
          </w:tcPr>
          <w:p>
            <w:pPr>
              <w:jc w:val="center"/>
              <w:ind w:left="19"/>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Announced Plans or</w:t>
            </w:r>
          </w:p>
        </w:tc>
        <w:tc>
          <w:tcPr>
            <w:tcW w:w="158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3"/>
              </w:rPr>
              <w:t>Under the Programs</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20" w:type="dxa"/>
            <w:vAlign w:val="bottom"/>
          </w:tcPr>
          <w:p>
            <w:pPr>
              <w:spacing w:after="0"/>
              <w:rPr>
                <w:sz w:val="16"/>
                <w:szCs w:val="16"/>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31, 2021</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February 1 - February 28, 2021</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March 31, 2021</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8"/>
        <w:spacing w:after="0" w:line="257"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11, 2019, in connection with the issuance of the Convertible Notes, the Board of Directors authorized a repurchase program of $120 million in value of Euronet’s common stock through March 11, 2021. Euronet repurchased $110.6 million of stock under this program. On February 26, 2020, the Company put a repurchase program in place to repurchase up to $250 million in value, but not more than 5.0 million shares of common stock through February 28, 2022. Repurchases may take place in the open market or in privately negotiated transactions, including derivative transactions, and may be made under a Rule 10b5-1 plan.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0" w:type="dxa"/>
            <w:vAlign w:val="bottom"/>
            <w:tcBorders>
              <w:top w:val="single" w:sz="8" w:color="auto"/>
              <w:bottom w:val="single" w:sz="8" w:color="0000EE"/>
            </w:tcBorders>
            <w:gridSpan w:val="2"/>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Section 302 — Certification of Chief Executive Officer</w:t>
              </w:r>
            </w:hyperlink>
          </w:p>
        </w:tc>
        <w:tc>
          <w:tcPr>
            <w:tcW w:w="6080" w:type="dxa"/>
            <w:vAlign w:val="bottom"/>
            <w:tcBorders>
              <w:top w:val="single" w:sz="8" w:color="auto"/>
            </w:tcBorders>
          </w:tcPr>
          <w:p>
            <w:pPr>
              <w:spacing w:after="0"/>
              <w:rPr>
                <w:sz w:val="24"/>
                <w:szCs w:val="24"/>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Section 302 — Certification of Chief Financial Officer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Section 906 — Certification of Chief Executive Officer</w:t>
              </w:r>
            </w:hyperlink>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Section 906 — Certification of Chief Financial Officer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7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3"/>
              </w:rPr>
              <w:t>The following materials from Euronet Worldwide, Inc.’s Quarterly Report on Form 10-Q for the quarter ended March 31, 2021, formatted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3"/>
              </w:rPr>
              <w:t>in XBRL (eXtensible Business Reporting Language): (i) Consolidated Balance Sheets at March 31, 2021 (unaudited) and December 31,</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7"/>
              </w:rPr>
              <w:t>2020, (ii) Consolidated Statements of Income (unaudited) for the three months ended March 31, 2021 and 2020, (iii)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7"/>
              </w:rPr>
              <w:t>Statements of Comprehensive Income (Loss) (unaudited) for the three months ended March 31, 2021 and 2020, (iv)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2"/>
              </w:rPr>
              <w:t>Statements of Changes in Equity (unaudited) for the three months ended March 31, 2021 and 2020 (v) Consolidated Statements of Cash</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8"/>
              </w:rPr>
              <w:t>Flows (unaudited) for the three months ended March 31, 2021 and 2020, and (vi) Notes to the Unaudited Consolidated Financial</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Statements.</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3437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3437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80"/>
          </w:cols>
          <w:pgMar w:left="320" w:top="125" w:right="12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1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9" w:lineRule="exact"/>
        <w:rPr>
          <w:rFonts w:ascii="Arial" w:cs="Arial" w:eastAsia="Arial" w:hAnsi="Arial"/>
          <w:sz w:val="18"/>
          <w:szCs w:val="18"/>
          <w:color w:val="auto"/>
        </w:rPr>
      </w:pPr>
    </w:p>
    <w:p>
      <w:pPr>
        <w:jc w:val="both"/>
        <w:ind w:left="420" w:hanging="7"/>
        <w:spacing w:after="0" w:line="263" w:lineRule="auto"/>
        <w:tabs>
          <w:tab w:leader="none" w:pos="62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420" w:hanging="7"/>
        <w:spacing w:after="0" w:line="308" w:lineRule="auto"/>
        <w:tabs>
          <w:tab w:leader="none" w:pos="60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jc w:val="both"/>
        <w:ind w:left="420" w:hanging="7"/>
        <w:spacing w:after="0" w:line="263" w:lineRule="auto"/>
        <w:tabs>
          <w:tab w:leader="none" w:pos="617"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firstLine="8"/>
        <w:spacing w:after="0" w:line="308"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spacing w:after="0" w:line="310" w:lineRule="exact"/>
        <w:rPr>
          <w:rFonts w:ascii="Arial" w:cs="Arial" w:eastAsia="Arial" w:hAnsi="Arial"/>
          <w:sz w:val="17"/>
          <w:szCs w:val="17"/>
          <w:color w:val="auto"/>
        </w:rPr>
      </w:pPr>
    </w:p>
    <w:p>
      <w:pPr>
        <w:ind w:left="420" w:hanging="7"/>
        <w:spacing w:after="0" w:line="277" w:lineRule="auto"/>
        <w:tabs>
          <w:tab w:leader="none" w:pos="62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420" w:hanging="7"/>
        <w:spacing w:after="0" w:line="277" w:lineRule="auto"/>
        <w:tabs>
          <w:tab w:leader="none" w:pos="63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1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0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7"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hanging="7"/>
        <w:spacing w:after="0" w:line="277"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3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2021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2021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2021-05-05T05:28:56Z</dcterms:created>
  <dcterms:modified xsi:type="dcterms:W3CDTF">2021-05-05T05:28:56Z</dcterms:modified>
</cp:coreProperties>
</file>