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63" w:lineRule="exact"/>
        <w:rPr>
          <w:sz w:val="24"/>
          <w:szCs w:val="24"/>
          <w:color w:val="auto"/>
        </w:rPr>
      </w:pPr>
    </w:p>
    <w:p>
      <w:pPr>
        <w:ind w:left="4000" w:right="2500" w:hanging="3695"/>
        <w:spacing w:after="0" w:line="303" w:lineRule="auto"/>
        <w:tabs>
          <w:tab w:leader="none" w:pos="52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4" w:lineRule="exact"/>
        <w:rPr>
          <w:sz w:val="24"/>
          <w:szCs w:val="24"/>
          <w:color w:val="auto"/>
        </w:rPr>
      </w:pPr>
    </w:p>
    <w:p>
      <w:pPr>
        <w:ind w:left="520" w:hanging="215"/>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 xml:space="preserve">TRANSITION REPORT PURSUANT TO SECTION </w:t>
      </w:r>
      <w:r>
        <w:rPr>
          <w:rFonts w:ascii="Times New Roman" w:cs="Times New Roman" w:eastAsia="Times New Roman" w:hAnsi="Times New Roman"/>
          <w:sz w:val="17"/>
          <w:szCs w:val="17"/>
          <w:b w:val="1"/>
          <w:bCs w:val="1"/>
          <w:color w:val="auto"/>
        </w:rPr>
        <w:t>13 OR 15(d) OF THE SECURITIES EXCHANGE ACT OF 1934</w:t>
      </w:r>
    </w:p>
    <w:p>
      <w:pPr>
        <w:spacing w:after="0" w:line="189" w:lineRule="exact"/>
        <w:rPr>
          <w:sz w:val="24"/>
          <w:szCs w:val="24"/>
          <w:color w:val="auto"/>
        </w:rPr>
      </w:pPr>
    </w:p>
    <w:p>
      <w:pPr>
        <w:ind w:left="3900"/>
        <w:spacing w:after="0"/>
        <w:tabs>
          <w:tab w:leader="none" w:pos="6140" w:val="left"/>
        </w:tabs>
        <w:rPr>
          <w:sz w:val="20"/>
          <w:szCs w:val="20"/>
          <w:color w:val="auto"/>
        </w:rPr>
      </w:pPr>
      <w:r>
        <w:rPr>
          <w:rFonts w:ascii="Times New Roman" w:cs="Times New Roman" w:eastAsia="Times New Roman" w:hAnsi="Times New Roman"/>
          <w:sz w:val="16"/>
          <w:szCs w:val="16"/>
          <w:b w:val="1"/>
          <w:bCs w:val="1"/>
          <w:color w:val="auto"/>
        </w:rPr>
        <w:t>For the transition period from</w:t>
        <w:tab/>
        <w:t>to</w:t>
      </w:r>
    </w:p>
    <w:p>
      <w:pPr>
        <w:spacing w:after="0" w:line="46"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6"/>
          <w:szCs w:val="16"/>
          <w:b w:val="1"/>
          <w:bCs w:val="1"/>
          <w:color w:val="auto"/>
        </w:rPr>
        <w:t>Commission File Number: 001-31648</w:t>
      </w:r>
    </w:p>
    <w:p>
      <w:pPr>
        <w:spacing w:after="0" w:line="6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EURONET WORLDWIDE, INC.</w:t>
      </w:r>
    </w:p>
    <w:p>
      <w:pPr>
        <w:spacing w:after="0" w:line="1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35"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43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660" w:type="dxa"/>
            <w:vAlign w:val="bottom"/>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74-2806888</w:t>
            </w:r>
          </w:p>
        </w:tc>
      </w:tr>
      <w:tr>
        <w:trPr>
          <w:trHeight w:val="283"/>
        </w:trPr>
        <w:tc>
          <w:tcPr>
            <w:tcW w:w="43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tc>
        <w:tc>
          <w:tcPr>
            <w:tcW w:w="4660" w:type="dxa"/>
            <w:vAlign w:val="bottom"/>
          </w:tcPr>
          <w:p>
            <w:pPr>
              <w:jc w:val="center"/>
              <w:ind w:left="2099"/>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284"/>
        </w:trPr>
        <w:tc>
          <w:tcPr>
            <w:tcW w:w="43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11400 Tomahawk Creek Parkway, Suite 300</w:t>
            </w:r>
          </w:p>
        </w:tc>
        <w:tc>
          <w:tcPr>
            <w:tcW w:w="4660" w:type="dxa"/>
            <w:vAlign w:val="bottom"/>
          </w:tcPr>
          <w:p>
            <w:pPr>
              <w:spacing w:after="0"/>
              <w:rPr>
                <w:sz w:val="24"/>
                <w:szCs w:val="24"/>
                <w:color w:val="auto"/>
              </w:rPr>
            </w:pPr>
          </w:p>
        </w:tc>
      </w:tr>
      <w:tr>
        <w:trPr>
          <w:trHeight w:val="283"/>
        </w:trPr>
        <w:tc>
          <w:tcPr>
            <w:tcW w:w="4300" w:type="dxa"/>
            <w:vAlign w:val="bottom"/>
          </w:tcPr>
          <w:p>
            <w:pPr>
              <w:ind w:left="1420"/>
              <w:spacing w:after="0"/>
              <w:rPr>
                <w:sz w:val="20"/>
                <w:szCs w:val="20"/>
                <w:color w:val="auto"/>
              </w:rPr>
            </w:pPr>
            <w:r>
              <w:rPr>
                <w:rFonts w:ascii="Times New Roman" w:cs="Times New Roman" w:eastAsia="Times New Roman" w:hAnsi="Times New Roman"/>
                <w:sz w:val="16"/>
                <w:szCs w:val="16"/>
                <w:b w:val="1"/>
                <w:bCs w:val="1"/>
                <w:color w:val="auto"/>
              </w:rPr>
              <w:t>Leawood, Kansas</w:t>
            </w:r>
          </w:p>
        </w:tc>
        <w:tc>
          <w:tcPr>
            <w:tcW w:w="4660" w:type="dxa"/>
            <w:vAlign w:val="bottom"/>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66211</w:t>
            </w:r>
          </w:p>
        </w:tc>
      </w:tr>
      <w:tr>
        <w:trPr>
          <w:trHeight w:val="283"/>
        </w:trPr>
        <w:tc>
          <w:tcPr>
            <w:tcW w:w="43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4660" w:type="dxa"/>
            <w:vAlign w:val="bottom"/>
          </w:tcPr>
          <w:p>
            <w:pPr>
              <w:jc w:val="center"/>
              <w:ind w:left="2079"/>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r>
        <w:trPr>
          <w:trHeight w:val="283"/>
        </w:trPr>
        <w:tc>
          <w:tcPr>
            <w:tcW w:w="4300" w:type="dxa"/>
            <w:vAlign w:val="bottom"/>
          </w:tcPr>
          <w:p>
            <w:pPr>
              <w:spacing w:after="0"/>
              <w:rPr>
                <w:sz w:val="24"/>
                <w:szCs w:val="24"/>
                <w:color w:val="auto"/>
              </w:rPr>
            </w:pPr>
          </w:p>
        </w:tc>
        <w:tc>
          <w:tcPr>
            <w:tcW w:w="4660" w:type="dxa"/>
            <w:vAlign w:val="bottom"/>
          </w:tcPr>
          <w:p>
            <w:pPr>
              <w:jc w:val="right"/>
              <w:ind w:right="3459"/>
              <w:spacing w:after="0"/>
              <w:rPr>
                <w:sz w:val="20"/>
                <w:szCs w:val="20"/>
                <w:color w:val="auto"/>
              </w:rPr>
            </w:pPr>
            <w:r>
              <w:rPr>
                <w:rFonts w:ascii="Times New Roman" w:cs="Times New Roman" w:eastAsia="Times New Roman" w:hAnsi="Times New Roman"/>
                <w:sz w:val="16"/>
                <w:szCs w:val="16"/>
                <w:b w:val="1"/>
                <w:bCs w:val="1"/>
                <w:color w:val="auto"/>
              </w:rPr>
              <w:t>(913) 327-4200</w:t>
            </w:r>
          </w:p>
        </w:tc>
      </w:tr>
    </w:tbl>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275"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51"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2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10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
        </w:trPr>
        <w:tc>
          <w:tcPr>
            <w:tcW w:w="5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5100" w:type="dxa"/>
            <w:vAlign w:val="bottom"/>
            <w:gridSpan w:val="3"/>
          </w:tcPr>
          <w:p>
            <w:pPr>
              <w:ind w:left="2060"/>
              <w:spacing w:after="0" w:line="183"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120" w:type="dxa"/>
            <w:vAlign w:val="bottom"/>
            <w:gridSpan w:val="5"/>
          </w:tcPr>
          <w:p>
            <w:pPr>
              <w:jc w:val="center"/>
              <w:ind w:right="60"/>
              <w:spacing w:after="0" w:line="183" w:lineRule="exact"/>
              <w:rPr>
                <w:sz w:val="20"/>
                <w:szCs w:val="20"/>
                <w:color w:val="auto"/>
              </w:rPr>
            </w:pPr>
            <w:r>
              <w:rPr>
                <w:rFonts w:ascii="Times New Roman" w:cs="Times New Roman" w:eastAsia="Times New Roman" w:hAnsi="Times New Roman"/>
                <w:sz w:val="16"/>
                <w:szCs w:val="16"/>
                <w:b w:val="1"/>
                <w:bCs w:val="1"/>
                <w:color w:val="auto"/>
              </w:rPr>
              <w:t>Symbol(s)</w:t>
            </w:r>
          </w:p>
        </w:tc>
        <w:tc>
          <w:tcPr>
            <w:tcW w:w="1000" w:type="dxa"/>
            <w:vAlign w:val="bottom"/>
          </w:tcPr>
          <w:p>
            <w:pPr>
              <w:spacing w:after="0"/>
              <w:rPr>
                <w:sz w:val="15"/>
                <w:szCs w:val="15"/>
                <w:color w:val="auto"/>
              </w:rPr>
            </w:pPr>
          </w:p>
        </w:tc>
        <w:tc>
          <w:tcPr>
            <w:tcW w:w="4040" w:type="dxa"/>
            <w:vAlign w:val="bottom"/>
            <w:gridSpan w:val="2"/>
          </w:tcPr>
          <w:p>
            <w:pPr>
              <w:jc w:val="center"/>
              <w:ind w:right="1040"/>
              <w:spacing w:after="0" w:line="183"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48"/>
        </w:trPr>
        <w:tc>
          <w:tcPr>
            <w:tcW w:w="2060" w:type="dxa"/>
            <w:vAlign w:val="bottom"/>
            <w:tcBorders>
              <w:bottom w:val="single" w:sz="8" w:color="auto"/>
            </w:tcBorders>
          </w:tcPr>
          <w:p>
            <w:pPr>
              <w:spacing w:after="0"/>
              <w:rPr>
                <w:sz w:val="4"/>
                <w:szCs w:val="4"/>
                <w:color w:val="auto"/>
              </w:rPr>
            </w:pPr>
          </w:p>
        </w:tc>
        <w:tc>
          <w:tcPr>
            <w:tcW w:w="1220" w:type="dxa"/>
            <w:vAlign w:val="bottom"/>
            <w:tcBorders>
              <w:top w:val="single" w:sz="8" w:color="auto"/>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54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000" w:type="dxa"/>
            <w:vAlign w:val="bottom"/>
            <w:tcBorders>
              <w:top w:val="single" w:sz="8" w:color="auto"/>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17"/>
        </w:trPr>
        <w:tc>
          <w:tcPr>
            <w:tcW w:w="5100" w:type="dxa"/>
            <w:vAlign w:val="bottom"/>
            <w:tcBorders>
              <w:left w:val="single" w:sz="8" w:color="auto"/>
              <w:right w:val="single" w:sz="8" w:color="auto"/>
            </w:tcBorders>
            <w:gridSpan w:val="3"/>
          </w:tcPr>
          <w:p>
            <w:pPr>
              <w:ind w:left="2040"/>
              <w:spacing w:after="0"/>
              <w:rPr>
                <w:sz w:val="20"/>
                <w:szCs w:val="20"/>
                <w:color w:val="auto"/>
              </w:rPr>
            </w:pPr>
            <w:r>
              <w:rPr>
                <w:rFonts w:ascii="Times New Roman" w:cs="Times New Roman" w:eastAsia="Times New Roman" w:hAnsi="Times New Roman"/>
                <w:sz w:val="16"/>
                <w:szCs w:val="16"/>
                <w:color w:val="auto"/>
              </w:rPr>
              <w:t>Common Stock</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6"/>
                <w:szCs w:val="16"/>
                <w:color w:val="auto"/>
              </w:rPr>
              <w:t>EEFT</w:t>
            </w:r>
          </w:p>
        </w:tc>
        <w:tc>
          <w:tcPr>
            <w:tcW w:w="1000" w:type="dxa"/>
            <w:vAlign w:val="bottom"/>
          </w:tcPr>
          <w:p>
            <w:pPr>
              <w:spacing w:after="0"/>
              <w:rPr>
                <w:sz w:val="18"/>
                <w:szCs w:val="18"/>
                <w:color w:val="auto"/>
              </w:rPr>
            </w:pPr>
          </w:p>
        </w:tc>
        <w:tc>
          <w:tcPr>
            <w:tcW w:w="4040" w:type="dxa"/>
            <w:vAlign w:val="bottom"/>
            <w:tcBorders>
              <w:right w:val="single" w:sz="8" w:color="auto"/>
            </w:tcBorders>
            <w:gridSpan w:val="2"/>
          </w:tcPr>
          <w:p>
            <w:pPr>
              <w:jc w:val="center"/>
              <w:ind w:right="1040"/>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33"/>
        </w:trPr>
        <w:tc>
          <w:tcPr>
            <w:tcW w:w="2060" w:type="dxa"/>
            <w:vAlign w:val="bottom"/>
            <w:tcBorders>
              <w:left w:val="single" w:sz="8" w:color="auto"/>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17"/>
        </w:trPr>
        <w:tc>
          <w:tcPr>
            <w:tcW w:w="5100" w:type="dxa"/>
            <w:vAlign w:val="bottom"/>
            <w:tcBorders>
              <w:left w:val="single" w:sz="8" w:color="auto"/>
              <w:right w:val="single" w:sz="8" w:color="auto"/>
            </w:tcBorders>
            <w:gridSpan w:val="3"/>
          </w:tcPr>
          <w:p>
            <w:pPr>
              <w:ind w:left="1540"/>
              <w:spacing w:after="0"/>
              <w:rPr>
                <w:sz w:val="20"/>
                <w:szCs w:val="20"/>
                <w:color w:val="auto"/>
              </w:rPr>
            </w:pPr>
            <w:r>
              <w:rPr>
                <w:rFonts w:ascii="Times New Roman" w:cs="Times New Roman" w:eastAsia="Times New Roman" w:hAnsi="Times New Roman"/>
                <w:sz w:val="16"/>
                <w:szCs w:val="16"/>
                <w:color w:val="auto"/>
              </w:rPr>
              <w:t>1.375% Senior Notes due 2026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6"/>
                <w:szCs w:val="16"/>
                <w:color w:val="auto"/>
              </w:rPr>
              <w:t>EEFT26</w:t>
            </w:r>
          </w:p>
        </w:tc>
        <w:tc>
          <w:tcPr>
            <w:tcW w:w="1000" w:type="dxa"/>
            <w:vAlign w:val="bottom"/>
          </w:tcPr>
          <w:p>
            <w:pPr>
              <w:spacing w:after="0"/>
              <w:rPr>
                <w:sz w:val="18"/>
                <w:szCs w:val="18"/>
                <w:color w:val="auto"/>
              </w:rPr>
            </w:pPr>
          </w:p>
        </w:tc>
        <w:tc>
          <w:tcPr>
            <w:tcW w:w="4040" w:type="dxa"/>
            <w:vAlign w:val="bottom"/>
            <w:tcBorders>
              <w:right w:val="single" w:sz="8" w:color="auto"/>
            </w:tcBorders>
            <w:gridSpan w:val="2"/>
          </w:tcPr>
          <w:p>
            <w:pPr>
              <w:jc w:val="center"/>
              <w:ind w:right="1040"/>
              <w:spacing w:after="0"/>
              <w:rPr>
                <w:sz w:val="20"/>
                <w:szCs w:val="20"/>
                <w:color w:val="auto"/>
              </w:rPr>
            </w:pPr>
            <w:r>
              <w:rPr>
                <w:rFonts w:ascii="Times New Roman" w:cs="Times New Roman" w:eastAsia="Times New Roman" w:hAnsi="Times New Roman"/>
                <w:sz w:val="16"/>
                <w:szCs w:val="16"/>
                <w:color w:val="auto"/>
              </w:rPr>
              <w:t>Nasdaq Global Market</w:t>
            </w:r>
          </w:p>
        </w:tc>
      </w:tr>
      <w:tr>
        <w:trPr>
          <w:trHeight w:val="33"/>
        </w:trPr>
        <w:tc>
          <w:tcPr>
            <w:tcW w:w="2060" w:type="dxa"/>
            <w:vAlign w:val="bottom"/>
            <w:tcBorders>
              <w:left w:val="single" w:sz="8" w:color="auto"/>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bl>
    <w:p>
      <w:pPr>
        <w:spacing w:after="0" w:line="40" w:lineRule="exact"/>
        <w:rPr>
          <w:sz w:val="24"/>
          <w:szCs w:val="24"/>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200" w:hanging="192"/>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46" w:lineRule="exact"/>
        <w:rPr>
          <w:sz w:val="24"/>
          <w:szCs w:val="24"/>
          <w:color w:val="auto"/>
        </w:rPr>
      </w:pPr>
    </w:p>
    <w:p>
      <w:pPr>
        <w:ind w:right="26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40" w:type="dxa"/>
        <w:tblCellMar>
          <w:top w:w="0" w:type="dxa"/>
          <w:left w:w="0" w:type="dxa"/>
          <w:bottom w:w="0" w:type="dxa"/>
          <w:right w:w="0" w:type="dxa"/>
        </w:tblCellMar>
      </w:tblPr>
      <w:tr>
        <w:trPr>
          <w:trHeight w:val="235"/>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6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1960"/>
              <w:spacing w:after="0"/>
              <w:rPr>
                <w:sz w:val="20"/>
                <w:szCs w:val="20"/>
                <w:color w:val="auto"/>
              </w:rPr>
            </w:pPr>
            <w:r>
              <w:rPr>
                <w:rFonts w:ascii="Times New Roman" w:cs="Times New Roman" w:eastAsia="Times New Roman" w:hAnsi="Times New Roman"/>
                <w:sz w:val="16"/>
                <w:szCs w:val="16"/>
                <w:color w:val="auto"/>
              </w:rPr>
              <w:t>Accelerated filer</w:t>
            </w:r>
          </w:p>
        </w:tc>
        <w:tc>
          <w:tcPr>
            <w:tcW w:w="1220" w:type="dxa"/>
            <w:vAlign w:val="bottom"/>
          </w:tcPr>
          <w:p>
            <w:pPr>
              <w:ind w:left="1060"/>
              <w:spacing w:after="0"/>
              <w:rPr>
                <w:sz w:val="20"/>
                <w:szCs w:val="20"/>
                <w:color w:val="auto"/>
              </w:rPr>
            </w:pPr>
            <w:r>
              <w:rPr>
                <w:rFonts w:ascii="Wingdings" w:cs="Wingdings" w:eastAsia="Wingdings" w:hAnsi="Wingdings"/>
                <w:sz w:val="16"/>
                <w:szCs w:val="16"/>
                <w:b w:val="1"/>
                <w:bCs w:val="1"/>
                <w:color w:val="auto"/>
                <w:w w:val="97"/>
              </w:rPr>
              <w:t>o</w:t>
            </w:r>
          </w:p>
        </w:tc>
      </w:tr>
      <w:tr>
        <w:trPr>
          <w:trHeight w:val="270"/>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620" w:type="dxa"/>
            <w:vAlign w:val="bottom"/>
          </w:tcPr>
          <w:p>
            <w:pPr>
              <w:ind w:left="520"/>
              <w:spacing w:after="0"/>
              <w:rPr>
                <w:sz w:val="20"/>
                <w:szCs w:val="20"/>
                <w:color w:val="auto"/>
              </w:rPr>
            </w:pPr>
            <w:r>
              <w:rPr>
                <w:rFonts w:ascii="Wingdings" w:cs="Wingdings" w:eastAsia="Wingdings" w:hAnsi="Wingdings"/>
                <w:sz w:val="16"/>
                <w:szCs w:val="16"/>
                <w:b w:val="1"/>
                <w:bCs w:val="1"/>
                <w:color w:val="auto"/>
              </w:rPr>
              <w:t>o</w:t>
            </w:r>
          </w:p>
        </w:tc>
        <w:tc>
          <w:tcPr>
            <w:tcW w:w="4780" w:type="dxa"/>
            <w:vAlign w:val="bottom"/>
          </w:tcPr>
          <w:p>
            <w:pPr>
              <w:ind w:left="19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2"/>
        </w:trPr>
        <w:tc>
          <w:tcPr>
            <w:tcW w:w="19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780" w:type="dxa"/>
            <w:vAlign w:val="bottom"/>
          </w:tcPr>
          <w:p>
            <w:pPr>
              <w:ind w:left="19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 w:lineRule="exact"/>
        <w:rPr>
          <w:sz w:val="24"/>
          <w:szCs w:val="24"/>
          <w:color w:val="auto"/>
        </w:rPr>
      </w:pPr>
    </w:p>
    <w:p>
      <w:pPr>
        <w:ind w:left="40" w:right="580"/>
        <w:spacing w:after="0" w:line="26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On May 2, 2025, Euronet Worldwide, Inc. had 43,244,856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60" w:type="dxa"/>
            <w:vAlign w:val="bottom"/>
            <w:gridSpan w:val="10"/>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64"/>
        </w:trPr>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60" w:type="dxa"/>
            <w:vAlign w:val="bottom"/>
            <w:gridSpan w:val="10"/>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35"/>
        </w:trPr>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96"/>
        </w:trPr>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020" w:type="dxa"/>
            <w:vAlign w:val="bottom"/>
            <w:tcBorders>
              <w:top w:val="single" w:sz="8" w:color="CCEEFF"/>
            </w:tcBorders>
            <w:gridSpan w:val="2"/>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196"/>
        </w:trPr>
        <w:tc>
          <w:tcPr>
            <w:tcW w:w="298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PART I—FINANCIAL INFORMATION</w:t>
            </w:r>
          </w:p>
        </w:tc>
        <w:tc>
          <w:tcPr>
            <w:tcW w:w="7680" w:type="dxa"/>
            <w:vAlign w:val="bottom"/>
            <w:tcBorders>
              <w:bottom w:val="single" w:sz="8" w:color="CCEEFF"/>
            </w:tcBorders>
            <w:gridSpan w:val="11"/>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820" w:type="dxa"/>
            <w:vAlign w:val="bottom"/>
            <w:gridSpan w:val="20"/>
          </w:tcPr>
          <w:p>
            <w:pPr>
              <w:ind w:left="180"/>
              <w:spacing w:after="0" w:line="17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tcPr>
          <w:p>
            <w:pPr>
              <w:spacing w:after="0"/>
              <w:rPr>
                <w:sz w:val="15"/>
                <w:szCs w:val="15"/>
                <w:color w:val="auto"/>
              </w:rPr>
            </w:pP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4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 as of March 31, 2025 and December 31, 2024</w:t>
            </w:r>
          </w:p>
        </w:tc>
        <w:tc>
          <w:tcPr>
            <w:tcW w:w="4200" w:type="dxa"/>
            <w:vAlign w:val="bottom"/>
            <w:tcBorders>
              <w:bottom w:val="single" w:sz="8" w:color="CCEEFF"/>
            </w:tcBorders>
            <w:gridSpan w:val="6"/>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76"/>
        </w:trPr>
        <w:tc>
          <w:tcPr>
            <w:tcW w:w="840" w:type="dxa"/>
            <w:vAlign w:val="bottom"/>
          </w:tcPr>
          <w:p>
            <w:pPr>
              <w:spacing w:after="0"/>
              <w:rPr>
                <w:sz w:val="15"/>
                <w:szCs w:val="15"/>
                <w:color w:val="auto"/>
              </w:rPr>
            </w:pPr>
          </w:p>
        </w:tc>
        <w:tc>
          <w:tcPr>
            <w:tcW w:w="9820" w:type="dxa"/>
            <w:vAlign w:val="bottom"/>
            <w:gridSpan w:val="20"/>
          </w:tcPr>
          <w:p>
            <w:pPr>
              <w:ind w:left="180"/>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Three Months Ended March 31, 2025 and 2024</w:t>
            </w:r>
          </w:p>
        </w:tc>
        <w:tc>
          <w:tcPr>
            <w:tcW w:w="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c>
          <w:tcPr>
            <w:tcW w:w="2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Income (loss) for the Three Months Ended March 31, 2025 and 2024</w:t>
            </w:r>
          </w:p>
        </w:tc>
        <w:tc>
          <w:tcPr>
            <w:tcW w:w="3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220" w:type="dxa"/>
            <w:vAlign w:val="bottom"/>
            <w:shd w:val="clear" w:color="auto" w:fill="CCEEFF"/>
          </w:tcPr>
          <w:p>
            <w:pPr>
              <w:spacing w:after="0"/>
              <w:rPr>
                <w:sz w:val="17"/>
                <w:szCs w:val="17"/>
                <w:color w:val="auto"/>
              </w:rPr>
            </w:pPr>
          </w:p>
        </w:tc>
      </w:tr>
      <w:tr>
        <w:trPr>
          <w:trHeight w:val="176"/>
        </w:trPr>
        <w:tc>
          <w:tcPr>
            <w:tcW w:w="8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16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Equity for the Three Months Ended March 31, 2025 and 2024</w:t>
            </w:r>
          </w:p>
        </w:tc>
        <w:tc>
          <w:tcPr>
            <w:tcW w:w="14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c>
          <w:tcPr>
            <w:tcW w:w="220" w:type="dxa"/>
            <w:vAlign w:val="bottom"/>
            <w:tcBorders>
              <w:top w:val="single" w:sz="8" w:color="CCEEFF"/>
            </w:tcBorders>
          </w:tcPr>
          <w:p>
            <w:pPr>
              <w:spacing w:after="0"/>
              <w:rPr>
                <w:sz w:val="15"/>
                <w:szCs w:val="15"/>
                <w:color w:val="auto"/>
              </w:rPr>
            </w:pP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6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Three Months Ended March 31, 2025 and 2024</w:t>
            </w:r>
          </w:p>
        </w:tc>
        <w:tc>
          <w:tcPr>
            <w:tcW w:w="2780" w:type="dxa"/>
            <w:vAlign w:val="bottom"/>
            <w:tcBorders>
              <w:bottom w:val="single" w:sz="8" w:color="CCEEFF"/>
            </w:tcBorders>
            <w:gridSpan w:val="3"/>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75"/>
        </w:trPr>
        <w:tc>
          <w:tcPr>
            <w:tcW w:w="840" w:type="dxa"/>
            <w:vAlign w:val="bottom"/>
          </w:tcPr>
          <w:p>
            <w:pPr>
              <w:spacing w:after="0"/>
              <w:rPr>
                <w:sz w:val="15"/>
                <w:szCs w:val="15"/>
                <w:color w:val="auto"/>
              </w:rPr>
            </w:pPr>
          </w:p>
        </w:tc>
        <w:tc>
          <w:tcPr>
            <w:tcW w:w="9820" w:type="dxa"/>
            <w:vAlign w:val="bottom"/>
            <w:gridSpan w:val="20"/>
          </w:tcPr>
          <w:p>
            <w:pPr>
              <w:ind w:left="180"/>
              <w:spacing w:after="0" w:line="176" w:lineRule="exact"/>
              <w:rPr>
                <w:sz w:val="20"/>
                <w:szCs w:val="20"/>
                <w:color w:val="auto"/>
              </w:rPr>
            </w:pPr>
            <w:r>
              <w:rPr>
                <w:rFonts w:ascii="Times New Roman" w:cs="Times New Roman" w:eastAsia="Times New Roman" w:hAnsi="Times New Roman"/>
                <w:sz w:val="18"/>
                <w:szCs w:val="18"/>
                <w:color w:val="0000EE"/>
              </w:rPr>
              <w:t>Notes to the Unaudited Consolidated Financial Statements</w:t>
            </w:r>
          </w:p>
        </w:tc>
        <w:tc>
          <w:tcPr>
            <w:tcW w:w="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c>
          <w:tcPr>
            <w:tcW w:w="220" w:type="dxa"/>
            <w:vAlign w:val="bottom"/>
          </w:tcPr>
          <w:p>
            <w:pPr>
              <w:spacing w:after="0"/>
              <w:rPr>
                <w:sz w:val="15"/>
                <w:szCs w:val="15"/>
                <w:color w:val="auto"/>
              </w:rPr>
            </w:pP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180" w:type="dxa"/>
            <w:vAlign w:val="bottom"/>
            <w:tcBorders>
              <w:bottom w:val="single" w:sz="8" w:color="CCEEFF"/>
            </w:tcBorders>
            <w:shd w:val="clear" w:color="auto" w:fill="CCEEFF"/>
          </w:tcPr>
          <w:p>
            <w:pPr>
              <w:spacing w:after="0"/>
              <w:rPr>
                <w:sz w:val="17"/>
                <w:szCs w:val="17"/>
                <w:color w:val="auto"/>
              </w:rPr>
            </w:pPr>
          </w:p>
        </w:tc>
        <w:tc>
          <w:tcPr>
            <w:tcW w:w="644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200" w:type="dxa"/>
            <w:vAlign w:val="bottom"/>
            <w:tcBorders>
              <w:bottom w:val="single" w:sz="8" w:color="CCEEFF"/>
            </w:tcBorders>
            <w:gridSpan w:val="5"/>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820" w:type="dxa"/>
            <w:vAlign w:val="bottom"/>
            <w:gridSpan w:val="20"/>
          </w:tcPr>
          <w:p>
            <w:pPr>
              <w:ind w:left="18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c>
          <w:tcPr>
            <w:tcW w:w="2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180" w:type="dxa"/>
            <w:vAlign w:val="bottom"/>
            <w:shd w:val="clear" w:color="auto" w:fill="CCEEFF"/>
          </w:tcPr>
          <w:p>
            <w:pPr>
              <w:spacing w:after="0"/>
              <w:rPr>
                <w:sz w:val="15"/>
                <w:szCs w:val="15"/>
                <w:color w:val="auto"/>
              </w:rPr>
            </w:pPr>
          </w:p>
        </w:tc>
        <w:tc>
          <w:tcPr>
            <w:tcW w:w="96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3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c>
          <w:tcPr>
            <w:tcW w:w="220" w:type="dxa"/>
            <w:vAlign w:val="bottom"/>
            <w:shd w:val="clear" w:color="auto" w:fill="CCEEFF"/>
          </w:tcPr>
          <w:p>
            <w:pPr>
              <w:spacing w:after="0"/>
              <w:rPr>
                <w:sz w:val="15"/>
                <w:szCs w:val="15"/>
                <w:color w:val="auto"/>
              </w:rPr>
            </w:pP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6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PART II—OTHER INFORMATION</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8300" w:type="dxa"/>
            <w:vAlign w:val="bottom"/>
            <w:tcBorders>
              <w:bottom w:val="single" w:sz="8" w:color="CCEEFF"/>
            </w:tcBorders>
            <w:gridSpan w:val="14"/>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820" w:type="dxa"/>
            <w:vAlign w:val="bottom"/>
            <w:gridSpan w:val="20"/>
          </w:tcPr>
          <w:p>
            <w:pPr>
              <w:ind w:left="18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c>
          <w:tcPr>
            <w:tcW w:w="220" w:type="dxa"/>
            <w:vAlign w:val="bottom"/>
          </w:tcPr>
          <w:p>
            <w:pPr>
              <w:spacing w:after="0"/>
              <w:rPr>
                <w:sz w:val="15"/>
                <w:szCs w:val="15"/>
                <w:color w:val="auto"/>
              </w:rPr>
            </w:pP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180" w:type="dxa"/>
            <w:vAlign w:val="bottom"/>
            <w:shd w:val="clear" w:color="auto" w:fill="CCEEFF"/>
          </w:tcPr>
          <w:p>
            <w:pPr>
              <w:spacing w:after="0"/>
              <w:rPr>
                <w:sz w:val="17"/>
                <w:szCs w:val="17"/>
                <w:color w:val="auto"/>
              </w:rPr>
            </w:pPr>
          </w:p>
        </w:tc>
        <w:tc>
          <w:tcPr>
            <w:tcW w:w="96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3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c>
          <w:tcPr>
            <w:tcW w:w="220" w:type="dxa"/>
            <w:vAlign w:val="bottom"/>
            <w:shd w:val="clear" w:color="auto" w:fill="CCEEFF"/>
          </w:tcPr>
          <w:p>
            <w:pPr>
              <w:spacing w:after="0"/>
              <w:rPr>
                <w:sz w:val="17"/>
                <w:szCs w:val="17"/>
                <w:color w:val="auto"/>
              </w:rPr>
            </w:pPr>
          </w:p>
        </w:tc>
      </w:tr>
      <w:tr>
        <w:trPr>
          <w:trHeight w:val="176"/>
        </w:trPr>
        <w:tc>
          <w:tcPr>
            <w:tcW w:w="8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80" w:type="dxa"/>
            <w:vAlign w:val="bottom"/>
            <w:tcBorders>
              <w:top w:val="single" w:sz="8" w:color="CCEEFF"/>
            </w:tcBorders>
          </w:tcPr>
          <w:p>
            <w:pPr>
              <w:spacing w:after="0"/>
              <w:rPr>
                <w:sz w:val="15"/>
                <w:szCs w:val="15"/>
                <w:color w:val="auto"/>
              </w:rPr>
            </w:pPr>
          </w:p>
        </w:tc>
        <w:tc>
          <w:tcPr>
            <w:tcW w:w="434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5300" w:type="dxa"/>
            <w:vAlign w:val="bottom"/>
            <w:tcBorders>
              <w:top w:val="single" w:sz="8" w:color="CCEEFF"/>
            </w:tcBorders>
            <w:gridSpan w:val="8"/>
          </w:tcPr>
          <w:p>
            <w:pPr>
              <w:spacing w:after="0"/>
              <w:rPr>
                <w:sz w:val="15"/>
                <w:szCs w:val="15"/>
                <w:color w:val="auto"/>
              </w:rPr>
            </w:pPr>
          </w:p>
        </w:tc>
        <w:tc>
          <w:tcPr>
            <w:tcW w:w="3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c>
          <w:tcPr>
            <w:tcW w:w="220" w:type="dxa"/>
            <w:vAlign w:val="bottom"/>
            <w:tcBorders>
              <w:top w:val="single" w:sz="8" w:color="CCEEFF"/>
            </w:tcBorders>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180" w:type="dxa"/>
            <w:vAlign w:val="bottom"/>
            <w:shd w:val="clear" w:color="auto" w:fill="CCEEFF"/>
          </w:tcPr>
          <w:p>
            <w:pPr>
              <w:spacing w:after="0"/>
              <w:rPr>
                <w:sz w:val="15"/>
                <w:szCs w:val="15"/>
                <w:color w:val="auto"/>
              </w:rPr>
            </w:pPr>
          </w:p>
        </w:tc>
        <w:tc>
          <w:tcPr>
            <w:tcW w:w="96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3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c>
          <w:tcPr>
            <w:tcW w:w="220" w:type="dxa"/>
            <w:vAlign w:val="bottom"/>
            <w:shd w:val="clear" w:color="auto" w:fill="CCEEFF"/>
          </w:tcPr>
          <w:p>
            <w:pPr>
              <w:spacing w:after="0"/>
              <w:rPr>
                <w:sz w:val="15"/>
                <w:szCs w:val="15"/>
                <w:color w:val="auto"/>
              </w:rPr>
            </w:pP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c>
          <w:tcPr>
            <w:tcW w:w="220" w:type="dxa"/>
            <w:vAlign w:val="bottom"/>
          </w:tcPr>
          <w:p>
            <w:pPr>
              <w:spacing w:after="0"/>
              <w:rPr>
                <w:sz w:val="15"/>
                <w:szCs w:val="15"/>
                <w:color w:val="auto"/>
              </w:rPr>
            </w:pPr>
          </w:p>
        </w:tc>
      </w:tr>
      <w:tr>
        <w:trPr>
          <w:trHeight w:val="338"/>
        </w:trPr>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0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49"/>
        </w:trPr>
        <w:tc>
          <w:tcPr>
            <w:tcW w:w="8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r>
      <w:tr>
        <w:trPr>
          <w:trHeight w:val="201"/>
        </w:trPr>
        <w:tc>
          <w:tcPr>
            <w:tcW w:w="8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1,393.6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1,278.8</w:t>
            </w:r>
          </w:p>
        </w:tc>
      </w:tr>
      <w:tr>
        <w:trPr>
          <w:trHeight w:val="216"/>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ATM cash</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643.8</w:t>
            </w:r>
          </w:p>
        </w:tc>
      </w:tr>
      <w:tr>
        <w:trPr>
          <w:trHeight w:val="216"/>
        </w:trPr>
        <w:tc>
          <w:tcPr>
            <w:tcW w:w="8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Settlement assets</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1,522.7</w:t>
            </w:r>
          </w:p>
        </w:tc>
      </w:tr>
      <w:tr>
        <w:trPr>
          <w:trHeight w:val="216"/>
        </w:trPr>
        <w:tc>
          <w:tcPr>
            <w:tcW w:w="8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Trade accounts receivable, net of credit losses of $6.5 and $4.2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284.9</w:t>
            </w:r>
          </w:p>
        </w:tc>
      </w:tr>
      <w:tr>
        <w:trPr>
          <w:trHeight w:val="216"/>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297.1</w:t>
            </w:r>
          </w:p>
        </w:tc>
      </w:tr>
      <w:tr>
        <w:trPr>
          <w:trHeight w:val="210"/>
        </w:trPr>
        <w:tc>
          <w:tcPr>
            <w:tcW w:w="8440" w:type="dxa"/>
            <w:vAlign w:val="bottom"/>
            <w:tcBorders>
              <w:top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right of use lease assets</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132.1</w:t>
            </w:r>
          </w:p>
        </w:tc>
      </w:tr>
      <w:tr>
        <w:trPr>
          <w:trHeight w:val="216"/>
        </w:trPr>
        <w:tc>
          <w:tcPr>
            <w:tcW w:w="8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$629.1 and $589.6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329.7</w:t>
            </w:r>
          </w:p>
        </w:tc>
      </w:tr>
      <w:tr>
        <w:trPr>
          <w:trHeight w:val="216"/>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859.2</w:t>
            </w:r>
          </w:p>
        </w:tc>
      </w:tr>
      <w:tr>
        <w:trPr>
          <w:trHeight w:val="216"/>
        </w:trPr>
        <w:tc>
          <w:tcPr>
            <w:tcW w:w="8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Acquired intangible assets, net of accumulated amortization of $235.8 and $226.5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188.9</w:t>
            </w:r>
          </w:p>
        </w:tc>
      </w:tr>
      <w:tr>
        <w:trPr>
          <w:trHeight w:val="216"/>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 net of accumulated amortization of $85.7 and $82.6</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226.7</w:t>
            </w:r>
          </w:p>
        </w:tc>
      </w:tr>
      <w:tr>
        <w:trPr>
          <w:trHeight w:val="216"/>
        </w:trPr>
        <w:tc>
          <w:tcPr>
            <w:tcW w:w="8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61.4</w:t>
            </w:r>
          </w:p>
        </w:tc>
      </w:tr>
      <w:tr>
        <w:trPr>
          <w:trHeight w:val="249"/>
        </w:trPr>
        <w:tc>
          <w:tcPr>
            <w:tcW w:w="844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6,053.5</w:t>
            </w: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5,834.5</w:t>
            </w:r>
          </w:p>
        </w:tc>
        <w:tc>
          <w:tcPr>
            <w:tcW w:w="80" w:type="dxa"/>
            <w:vAlign w:val="bottom"/>
            <w:tcBorders>
              <w:bottom w:val="single" w:sz="8" w:color="auto"/>
            </w:tcBorders>
          </w:tcPr>
          <w:p>
            <w:pPr>
              <w:spacing w:after="0"/>
              <w:rPr>
                <w:sz w:val="21"/>
                <w:szCs w:val="21"/>
                <w:color w:val="auto"/>
              </w:rPr>
            </w:pPr>
          </w:p>
        </w:tc>
      </w:tr>
      <w:tr>
        <w:trPr>
          <w:trHeight w:val="197"/>
        </w:trPr>
        <w:tc>
          <w:tcPr>
            <w:tcW w:w="844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LIABILITIES AND EQUITY</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Settlement obligations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1,418.6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1,522.7</w:t>
            </w:r>
          </w:p>
        </w:tc>
      </w:tr>
      <w:tr>
        <w:trPr>
          <w:trHeight w:val="216"/>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accounts payable</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223.8</w:t>
            </w:r>
          </w:p>
        </w:tc>
      </w:tr>
      <w:tr>
        <w:trPr>
          <w:trHeight w:val="216"/>
        </w:trPr>
        <w:tc>
          <w:tcPr>
            <w:tcW w:w="8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475.7</w:t>
            </w:r>
          </w:p>
        </w:tc>
      </w:tr>
      <w:tr>
        <w:trPr>
          <w:trHeight w:val="216"/>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48.3</w:t>
            </w:r>
          </w:p>
        </w:tc>
      </w:tr>
      <w:tr>
        <w:trPr>
          <w:trHeight w:val="216"/>
        </w:trPr>
        <w:tc>
          <w:tcPr>
            <w:tcW w:w="8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Short-term debt obligations and current maturities of long-term debt obligations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812.7</w:t>
            </w:r>
          </w:p>
        </w:tc>
      </w:tr>
      <w:tr>
        <w:trPr>
          <w:trHeight w:val="216"/>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86.4</w:t>
            </w:r>
          </w:p>
        </w:tc>
      </w:tr>
      <w:tr>
        <w:trPr>
          <w:trHeight w:val="216"/>
        </w:trPr>
        <w:tc>
          <w:tcPr>
            <w:tcW w:w="8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56.4</w:t>
            </w:r>
          </w:p>
        </w:tc>
      </w:tr>
      <w:tr>
        <w:trPr>
          <w:trHeight w:val="209"/>
        </w:trPr>
        <w:tc>
          <w:tcPr>
            <w:tcW w:w="84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3,226.0</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obligations, net of current portion</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1,906.0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1,134.4</w:t>
            </w:r>
          </w:p>
        </w:tc>
      </w:tr>
      <w:tr>
        <w:trPr>
          <w:trHeight w:val="216"/>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obligations, net of current portion</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87.4</w:t>
            </w:r>
          </w:p>
        </w:tc>
      </w:tr>
      <w:tr>
        <w:trPr>
          <w:trHeight w:val="216"/>
        </w:trPr>
        <w:tc>
          <w:tcPr>
            <w:tcW w:w="8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71.8</w:t>
            </w:r>
          </w:p>
        </w:tc>
      </w:tr>
      <w:tr>
        <w:trPr>
          <w:trHeight w:val="216"/>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85.7</w:t>
            </w:r>
          </w:p>
        </w:tc>
      </w:tr>
      <w:tr>
        <w:trPr>
          <w:trHeight w:val="210"/>
        </w:trPr>
        <w:tc>
          <w:tcPr>
            <w:tcW w:w="8440" w:type="dxa"/>
            <w:vAlign w:val="bottom"/>
            <w:tcBorders>
              <w:top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4,751.8</w:t>
            </w:r>
          </w:p>
        </w:tc>
        <w:tc>
          <w:tcPr>
            <w:tcW w:w="140" w:type="dxa"/>
            <w:vAlign w:val="bottom"/>
            <w:tcBorders>
              <w:top w:val="single" w:sz="8" w:color="CCEEFF"/>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4,605.3</w:t>
            </w:r>
          </w:p>
        </w:tc>
        <w:tc>
          <w:tcPr>
            <w:tcW w:w="80" w:type="dxa"/>
            <w:vAlign w:val="bottom"/>
            <w:tcBorders>
              <w:top w:val="single" w:sz="8" w:color="CCEEFF"/>
              <w:bottom w:val="single" w:sz="8" w:color="auto"/>
            </w:tcBorders>
            <w:shd w:val="clear" w:color="auto" w:fill="CCEEFF"/>
          </w:tcPr>
          <w:p>
            <w:pPr>
              <w:spacing w:after="0"/>
              <w:rPr>
                <w:sz w:val="18"/>
                <w:szCs w:val="18"/>
                <w:color w:val="auto"/>
              </w:rPr>
            </w:pPr>
          </w:p>
        </w:tc>
      </w:tr>
      <w:tr>
        <w:trPr>
          <w:trHeight w:val="209"/>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8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Euronet Worldwide, Inc.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16"/>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Preferred Stock, $0.02 par value. 10,000,000 shares authorized; none issued</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$0.02 par value. 90,000,000 shares authorized; shares issued 64,909,787 and 64,788,755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1,370.1</w:t>
            </w:r>
          </w:p>
        </w:tc>
      </w:tr>
      <w:tr>
        <w:trPr>
          <w:trHeight w:val="216"/>
        </w:trPr>
        <w:tc>
          <w:tcPr>
            <w:tcW w:w="8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Treasury stock, at cost, shares issued 21,665,097 and 21,061,140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(1,817.1)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(1,755.2)</w:t>
            </w:r>
          </w:p>
        </w:tc>
      </w:tr>
      <w:tr>
        <w:trPr>
          <w:trHeight w:val="216"/>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1,972.4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1,934.0</w:t>
            </w:r>
          </w:p>
        </w:tc>
      </w:tr>
      <w:tr>
        <w:trPr>
          <w:trHeight w:val="216"/>
        </w:trPr>
        <w:tc>
          <w:tcPr>
            <w:tcW w:w="8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(321.5)</w:t>
            </w:r>
          </w:p>
        </w:tc>
      </w:tr>
      <w:tr>
        <w:trPr>
          <w:trHeight w:val="210"/>
        </w:trPr>
        <w:tc>
          <w:tcPr>
            <w:tcW w:w="84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Euronet Worldwide, Inc. stockholders’ equity</w:t>
            </w: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1,228.7</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r>
      <w:tr>
        <w:trPr>
          <w:trHeight w:val="210"/>
        </w:trPr>
        <w:tc>
          <w:tcPr>
            <w:tcW w:w="844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1,229.2</w:t>
            </w:r>
          </w:p>
        </w:tc>
        <w:tc>
          <w:tcPr>
            <w:tcW w:w="80" w:type="dxa"/>
            <w:vAlign w:val="bottom"/>
            <w:tcBorders>
              <w:bottom w:val="single" w:sz="8" w:color="CCEEFF"/>
            </w:tcBorders>
          </w:tcPr>
          <w:p>
            <w:pPr>
              <w:spacing w:after="0"/>
              <w:rPr>
                <w:sz w:val="18"/>
                <w:szCs w:val="18"/>
                <w:color w:val="auto"/>
              </w:rPr>
            </w:pPr>
          </w:p>
        </w:tc>
      </w:tr>
      <w:tr>
        <w:trPr>
          <w:trHeight w:val="209"/>
        </w:trPr>
        <w:tc>
          <w:tcPr>
            <w:tcW w:w="84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5,834.5</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 except share and per share data)</w:t>
      </w:r>
    </w:p>
    <w:p>
      <w:pPr>
        <w:spacing w:after="0" w:line="106"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-3175</wp:posOffset>
            </wp:positionV>
            <wp:extent cx="17056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84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r>
      <w:tr>
        <w:trPr>
          <w:trHeight w:val="20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857.0</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 exclusive of depreciation</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561.0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533.7</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164.1</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154.7</w:t>
            </w:r>
          </w:p>
        </w:tc>
      </w:tr>
      <w:tr>
        <w:trPr>
          <w:trHeight w:val="229"/>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83.0</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71.9</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w:t>
            </w:r>
          </w:p>
        </w:tc>
      </w:tr>
      <w:tr>
        <w:trPr>
          <w:trHeight w:val="209"/>
        </w:trPr>
        <w:tc>
          <w:tcPr>
            <w:tcW w:w="844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Borders>
              <w:bottom w:val="single" w:sz="8" w:color="CCEEFF"/>
            </w:tcBorders>
          </w:tcPr>
          <w:p>
            <w:pPr>
              <w:spacing w:after="0"/>
              <w:rPr>
                <w:sz w:val="18"/>
                <w:szCs w:val="18"/>
                <w:color w:val="auto"/>
              </w:rPr>
            </w:pP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exchange loss, net</w:t>
            </w: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gains (losses), net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r>
      <w:tr>
        <w:trPr>
          <w:trHeight w:val="210"/>
        </w:trPr>
        <w:tc>
          <w:tcPr>
            <w:tcW w:w="844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tcPr>
          <w:p>
            <w:pPr>
              <w:spacing w:after="0"/>
              <w:rPr>
                <w:sz w:val="18"/>
                <w:szCs w:val="18"/>
                <w:color w:val="auto"/>
              </w:rPr>
            </w:pPr>
          </w:p>
        </w:tc>
      </w:tr>
      <w:tr>
        <w:trPr>
          <w:trHeight w:val="209"/>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w:t>
            </w:r>
          </w:p>
        </w:tc>
      </w:tr>
      <w:tr>
        <w:trPr>
          <w:trHeight w:val="210"/>
        </w:trPr>
        <w:tc>
          <w:tcPr>
            <w:tcW w:w="84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4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Euronet Worldwide, Inc.</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attributable to Euronet Worldwide, Inc. stockholders: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0.57</w:t>
            </w:r>
          </w:p>
        </w:tc>
      </w:tr>
      <w:tr>
        <w:trPr>
          <w:trHeight w:val="197"/>
        </w:trPr>
        <w:tc>
          <w:tcPr>
            <w:tcW w:w="8440" w:type="dxa"/>
            <w:vAlign w:val="bottom"/>
            <w:tcBorders>
              <w:top w:val="single" w:sz="8" w:color="CCEEFF"/>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0.85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9"/>
        </w:trPr>
        <w:tc>
          <w:tcPr>
            <w:tcW w:w="8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43,677,294</w:t>
            </w: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45,816,943</w:t>
            </w:r>
          </w:p>
        </w:tc>
      </w:tr>
      <w:tr>
        <w:trPr>
          <w:trHeight w:val="197"/>
        </w:trPr>
        <w:tc>
          <w:tcPr>
            <w:tcW w:w="8440" w:type="dxa"/>
            <w:vAlign w:val="bottom"/>
            <w:tcBorders>
              <w:top w:val="single" w:sz="8" w:color="CCEEFF"/>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46,239,523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48,962,583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EURONET WORLDWIDE, INC. AND SUBSIDIARIES CONSOLIDATED STATEMENTS OF COMPREHENSIVE INCOME (LOSS) (Unaudited, in millions)</w:t>
      </w:r>
    </w:p>
    <w:p>
      <w:pPr>
        <w:spacing w:after="0" w:line="182"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13335</wp:posOffset>
            </wp:positionV>
            <wp:extent cx="17056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8"/>
                <w:szCs w:val="18"/>
                <w:color w:val="auto"/>
              </w:rPr>
            </w:pP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Translation adjustment</w:t>
            </w:r>
          </w:p>
        </w:tc>
        <w:tc>
          <w:tcPr>
            <w:tcW w:w="84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84.0</w:t>
            </w:r>
          </w:p>
        </w:tc>
        <w:tc>
          <w:tcPr>
            <w:tcW w:w="32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w:t>
            </w:r>
          </w:p>
        </w:tc>
      </w:tr>
      <w:tr>
        <w:trPr>
          <w:trHeight w:val="210"/>
        </w:trPr>
        <w:tc>
          <w:tcPr>
            <w:tcW w:w="84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8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122.4</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84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44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Comprehensive income (loss) attributable to Euronet Worldwide, Inc.</w:t>
            </w:r>
          </w:p>
        </w:tc>
        <w:tc>
          <w:tcPr>
            <w:tcW w:w="84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121.4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3"/>
                <w:szCs w:val="13"/>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0" w:type="dxa"/>
            <w:vAlign w:val="bottom"/>
          </w:tcPr>
          <w:p>
            <w:pPr>
              <w:spacing w:after="0"/>
              <w:rPr>
                <w:sz w:val="1"/>
                <w:szCs w:val="1"/>
                <w:color w:val="auto"/>
              </w:rPr>
            </w:pPr>
          </w:p>
        </w:tc>
      </w:tr>
      <w:tr>
        <w:trPr>
          <w:trHeight w:val="173"/>
        </w:trPr>
        <w:tc>
          <w:tcPr>
            <w:tcW w:w="546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Shares Outstanding</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4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60" w:type="dxa"/>
            <w:vAlign w:val="bottom"/>
            <w:tcBorders>
              <w:left w:val="single" w:sz="8" w:color="CCEEFF"/>
            </w:tcBorders>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45,777,962</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1,311.6</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(1,487.7)</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60" w:type="dxa"/>
            <w:vAlign w:val="bottom"/>
            <w:tcBorders>
              <w:left w:val="single" w:sz="8" w:color="CCEEFF"/>
            </w:tcBorders>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2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90,812</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54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tcBorders>
              <w:left w:val="single" w:sz="8" w:color="CCEEFF"/>
            </w:tcBorders>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6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tcBorders>
              <w:right w:val="single" w:sz="8" w:color="CCEEFF"/>
            </w:tcBorders>
            <w:vMerge w:val="continue"/>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45,868,774</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1,324.8</w:t>
            </w:r>
          </w:p>
        </w:tc>
        <w:tc>
          <w:tcPr>
            <w:tcW w:w="20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(1,488.2)</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5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0" w:type="dxa"/>
            <w:vAlign w:val="bottom"/>
          </w:tcPr>
          <w:p>
            <w:pPr>
              <w:spacing w:after="0"/>
              <w:rPr>
                <w:sz w:val="1"/>
                <w:szCs w:val="1"/>
                <w:color w:val="auto"/>
              </w:rPr>
            </w:pPr>
          </w:p>
        </w:tc>
      </w:tr>
      <w:tr>
        <w:trPr>
          <w:trHeight w:val="187"/>
        </w:trPr>
        <w:tc>
          <w:tcPr>
            <w:tcW w:w="54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Outstanding</w:t>
            </w: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4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of December 31, 2024</w:t>
            </w:r>
          </w:p>
        </w:tc>
        <w:tc>
          <w:tcPr>
            <w:tcW w:w="260" w:type="dxa"/>
            <w:vAlign w:val="bottom"/>
            <w:tcBorders>
              <w:left w:val="single" w:sz="8" w:color="CCEEFF"/>
            </w:tcBorders>
            <w:shd w:val="clear" w:color="auto" w:fill="CCEEFF"/>
          </w:tcPr>
          <w:p>
            <w:pPr>
              <w:spacing w:after="0"/>
              <w:rPr>
                <w:sz w:val="20"/>
                <w:szCs w:val="20"/>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43,727,615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1,370.1</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(1,755.2)</w:t>
            </w: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60" w:type="dxa"/>
            <w:vAlign w:val="bottom"/>
            <w:tcBorders>
              <w:left w:val="single" w:sz="8" w:color="CCEEFF"/>
            </w:tcBorders>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3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3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2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108,333</w:t>
            </w:r>
          </w:p>
        </w:tc>
        <w:tc>
          <w:tcPr>
            <w:tcW w:w="10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54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tcBorders>
              <w:left w:val="single" w:sz="8" w:color="CCEEFF"/>
            </w:tcBorders>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3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3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shares</w:t>
            </w:r>
          </w:p>
        </w:tc>
        <w:tc>
          <w:tcPr>
            <w:tcW w:w="2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(591,258)</w:t>
            </w:r>
          </w:p>
        </w:tc>
        <w:tc>
          <w:tcPr>
            <w:tcW w:w="10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0"/>
        </w:trPr>
        <w:tc>
          <w:tcPr>
            <w:tcW w:w="546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260" w:type="dxa"/>
            <w:vAlign w:val="bottom"/>
            <w:tcBorders>
              <w:left w:val="single" w:sz="8" w:color="CCEEFF"/>
            </w:tcBorders>
            <w:shd w:val="clear" w:color="auto" w:fill="CCEEFF"/>
          </w:tcPr>
          <w:p>
            <w:pPr>
              <w:spacing w:after="0"/>
              <w:rPr>
                <w:sz w:val="20"/>
                <w:szCs w:val="20"/>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43,244,690</w:t>
            </w: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1,382.1</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(1,817.1)</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5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4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4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60" w:type="dxa"/>
            <w:vAlign w:val="bottom"/>
            <w:tcBorders>
              <w:left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1,627.9</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54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60" w:type="dxa"/>
            <w:vAlign w:val="bottom"/>
            <w:tcBorders>
              <w:left w:val="single" w:sz="8" w:color="CCEEFF"/>
            </w:tcBorders>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26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54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tcBorders>
              <w:left w:val="single" w:sz="8" w:color="CCEEFF"/>
            </w:tcBorders>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6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260" w:type="dxa"/>
            <w:vAlign w:val="bottom"/>
            <w:tcBorders>
              <w:left w:val="single" w:sz="8" w:color="CCEEFF"/>
            </w:tcBorders>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tcBorders>
              <w:right w:val="single" w:sz="8" w:color="CCEEFF"/>
            </w:tcBorders>
            <w:vMerge w:val="continue"/>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1,654.1</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1,243.6</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5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546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4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60" w:type="dxa"/>
            <w:vAlign w:val="bottom"/>
            <w:tcBorders>
              <w:lef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1,934.0</w:t>
            </w: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60" w:type="dxa"/>
            <w:vAlign w:val="bottom"/>
            <w:tcBorders>
              <w:left w:val="single" w:sz="8" w:color="CCEEFF"/>
            </w:tcBorders>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26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54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tcBorders>
              <w:left w:val="single" w:sz="8" w:color="CCEEFF"/>
            </w:tcBorders>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3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3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shares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0"/>
        </w:trPr>
        <w:tc>
          <w:tcPr>
            <w:tcW w:w="54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260" w:type="dxa"/>
            <w:vAlign w:val="bottom"/>
            <w:tcBorders>
              <w:lef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1,972.4</w:t>
            </w: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74"/>
        </w:trPr>
        <w:tc>
          <w:tcPr>
            <w:tcW w:w="768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foreign exchange loss, net</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working capital, net of amounts acquired:</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taxes payable, net</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accounts receivable, including amounts in settlement assets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 including amounts in settlement assets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accounts payable, including amounts in settlement obligations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(92.7)</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 including amounts in settlement obligations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(145.1)</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noncurrent assets and liabilities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9"/>
        </w:trPr>
        <w:tc>
          <w:tcPr>
            <w:tcW w:w="76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7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and proceeds of property and equipment</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other long-term assets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convertible note receivable</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
        </w:trPr>
        <w:tc>
          <w:tcPr>
            <w:tcW w:w="7680" w:type="dxa"/>
            <w:vAlign w:val="bottom"/>
            <w:vMerge w:val="restart"/>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8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243"/>
        </w:trPr>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shares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shares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 from credit agreements</w:t>
            </w: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2,032.9</w:t>
            </w: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credit agreements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(1,950.3)</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convertible debt</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capital lease obligations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borrowings from short-term obligations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6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7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7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Decrease in cash and cash equivalents and restricted cash</w:t>
            </w:r>
          </w:p>
        </w:tc>
        <w:tc>
          <w:tcPr>
            <w:tcW w:w="7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68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tc>
        <w:tc>
          <w:tcPr>
            <w:tcW w:w="7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2,689.6</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2,214.3</w:t>
            </w: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taxes paid during the period</w:t>
            </w:r>
          </w:p>
        </w:tc>
        <w:tc>
          <w:tcPr>
            <w:tcW w:w="10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Euronet Worldwide, Inc. (the "Company" or "Euronet") was established as a Delaware corporation on December 13, 1996 and succeeded Euronet Holding N.V. as the group holding company, which was founded and established in 1994. Euronet is a leading electronic payments provider. Euronet offers payment and transaction processing and distribution solutions to financial institutions, retailers, service providers and individual consumers. Euronet's primary product offerings include comprehensive ATM, point-of-sale ("POS"), card outsourcing, card issuing and merchant acquiring services, electronic distribution of prepaid mobile airtime and other electronic payment products, and international payment services.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only of normal recurring adjustments) necessary to fairly present the consolidated financial position and the results of operations, comprehensive income, changes in equity and cash flows for the interim periods. The unaudited consolidated financial statements should be read in conjunction with the Company's audited consolidated financial statements for the year ended December 31, 2024, including the notes thereto, set forth in the Company's 2024 Annual Report on Form 10-K.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reporting period.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 The results of operations for interim periods are not necessarily indicative of the results to be expected for the full year ending December 31,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Euronet’s EFT Processing Segment normally experiences its heaviest demand for dynamic currency conversion ("DCC") services during the third quarter of the fiscal year, normally coinciding with the tourism season. The epay Segment is normally impacted by seasonality during the fourth quarter and first quarter of each year due to higher transaction levels during the holiday season and lower levels following the holiday season. Also, epay sells large loyalty rewards campaigns to retailers, which could be deployed in any given quarter and will impact the activity in that quarter accordingly. Seasonality in the Money Transfer Segment varies by region of the world. In most markets, Euronet usually experiences increased demand for money transfer services from the month of May through the fourth quarter of each year, coinciding with the increase in worker migration patterns and various holidays, and its lowest transaction levels during the first quarter of the year.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(2) RECENTLY ISSUED ACCOUNTING PRONOUNCEMENTS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(Topic 280): </w:t>
      </w:r>
      <w:r>
        <w:rPr>
          <w:rFonts w:ascii="Times New Roman" w:cs="Times New Roman" w:eastAsia="Times New Roman" w:hAnsi="Times New Roman"/>
          <w:sz w:val="18"/>
          <w:szCs w:val="18"/>
          <w:i w:val="1"/>
          <w:iCs w:val="1"/>
          <w:color w:val="auto"/>
        </w:rPr>
        <w:t>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Disclosures</w:t>
      </w:r>
      <w:r>
        <w:rPr>
          <w:rFonts w:ascii="Times New Roman" w:cs="Times New Roman" w:eastAsia="Times New Roman" w:hAnsi="Times New Roman"/>
          <w:sz w:val="18"/>
          <w:szCs w:val="18"/>
          <w:color w:val="auto"/>
        </w:rPr>
        <w:t>. The amended guidance requires incremental reportable segment disclosures, primarily about significant segment expenses.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amendments also require entities with a single reportable segment to provide all disclosures required by these amendments, and all existing segment disclosures. The amendments will be applied retrospectively to all prior periods presented in the financial statements and is effective for fiscal years beginning after December 15, 2023, and interim periods in fiscal years beginning after December 15, 2024, with early adoption permitted. </w:t>
      </w:r>
      <w:r>
        <w:rPr>
          <w:rFonts w:ascii="Times New Roman" w:cs="Times New Roman" w:eastAsia="Times New Roman" w:hAnsi="Times New Roman"/>
          <w:sz w:val="18"/>
          <w:szCs w:val="18"/>
          <w:color w:val="212529"/>
        </w:rPr>
        <w:t>The adoption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this standard did not have a significant impact on the Company's consolidated financial statements and related disclosures.</w:t>
      </w:r>
    </w:p>
    <w:p>
      <w:pPr>
        <w:spacing w:after="0" w:line="1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The amended guidance enhances income tax disclosures primarily related to the effective tax rate reconciliation and income taxes paid information. This guidance requires disclosure of specific categories in the effective tax rate reconciliation and further information on reconciling items meeting a quantitative threshold. In addition, the amended guidance requires disaggregating income taxes paid (net of refunds received) by federal, state, and foreign taxes. It also requires disaggregating individual jurisdictions in which income taxes paid (net of refunds received) is equal to or greater than 5 percent of total income taxes paid (net of refunds received). ASU 2023-09 is effective for fiscal years beginning after December 15, 2024, and the Company will adopt the standard in the following fiscal year. The adoption of this standard is not expected to have a significant impact on the Company's consolidated financial statements and related disclosures.</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Reporting Comprehensive Income Expense Disaggregation Disclosures. In January 2025, the FASB issued ASU 2025-01, Income Statement Reporting Comprehensive Income-Expense Disaggregation Disclosures (Subtopic 220-40): Clarifying the Effective Date to clarify the effective date of ASU 2024-03. The amendments require Comprehensive Income to expand income statement expense disclosures and require disclosure in the notes to the financial statements of specified information about certain costs and expenses. ASU 2024-03 is required to be adopted for fiscal years commencing after December 15, 2026 and interim reporting periods beginning after December 15, 2027 with early adoption permitted. The Company expects to adopt the update for the annual financial statements issued for the year ending December 31, 2027 and is currently evaluating the impact of adopting the standard on the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material acquisitions.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2024</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On February 1, 2024, Euronet acquired Infinitium Group, a leading regional solutions provider with Payments Authentication services, for a purchase consideration of $70.0 million cash and $5.0 million of the Company’s common stock to be paid over two installments on February 1, 2026 and 2027. The Company allocated $51.0 million of the purchase consideration to customer relationships, $5.6 million to acquired net assets, $10.2 million to deferred tax liability and the remaining $28.6 million to goodwill.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SETTLEMENT ASSETS AND OBLIGATIONS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Settlement assets represent funds received or to be received from agents for unsettled money transfers and from merchants for unsettled prepaid transactions. The Company records corresponding settlement obligations relating to accounts payable. Settlement assets consist of cash and cash equivalents, restricted cash, accounts receivable and prepaid expenses and other current assets. The settlement cash held at the Company is primarily generated from the monies remitted by consumers through Company agents and financial institutions in payment of the face value of the payment service or foreign currency purchased and the related fees charged to purchase the currency. The Company uses its cash and cash equivalents to pay the face value of the payment service product upon presentation by the recipient. Cash received by Company agents and merchants generally becomes available to us within two weeks after initial receipt by the business partner. Receivables from business partners represent funds collected by such business partners that are in transit to the Company.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Settlement obligations consist of accrued expenses for money transfers, content providers, and EFT customer deposits and accounts payable to agents and content providers. Money transfer accrued expenses represent amounts to be paid to transferees when they request funds. Most agents typically settle with transferees first then obtain reimbursement from us. Money order accrued expenses represent amounts not yet presented for payment. Due to the agent funding and settlement process, accrued expenses to agents represent amounts due to agents for money transfers that have not been settled with transferees.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8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1"/>
                <w:szCs w:val="11"/>
                <w:color w:val="auto"/>
              </w:rPr>
            </w:pPr>
          </w:p>
        </w:tc>
        <w:tc>
          <w:tcPr>
            <w:tcW w:w="1260" w:type="dxa"/>
            <w:vAlign w:val="bottom"/>
            <w:gridSpan w:val="2"/>
          </w:tcPr>
          <w:p>
            <w:pPr>
              <w:jc w:val="right"/>
              <w:ind w:right="52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1"/>
                <w:szCs w:val="11"/>
                <w:color w:val="auto"/>
              </w:rPr>
            </w:pPr>
          </w:p>
        </w:tc>
        <w:tc>
          <w:tcPr>
            <w:tcW w:w="1100" w:type="dxa"/>
            <w:vAlign w:val="bottom"/>
          </w:tcPr>
          <w:p>
            <w:pPr>
              <w:jc w:val="right"/>
              <w:ind w:right="11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84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assets:</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Settlement 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367.2</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 restricted cash</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176.7</w:t>
            </w:r>
          </w:p>
        </w:tc>
        <w:tc>
          <w:tcPr>
            <w:tcW w:w="1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189.2</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 net of credit losses of $33.6 and $31.7</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658.2</w:t>
            </w:r>
          </w:p>
        </w:tc>
        <w:tc>
          <w:tcPr>
            <w:tcW w:w="140" w:type="dxa"/>
            <w:vAlign w:val="bottom"/>
          </w:tcPr>
          <w:p>
            <w:pPr>
              <w:spacing w:after="0"/>
              <w:rPr>
                <w:sz w:val="19"/>
                <w:szCs w:val="19"/>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769.5</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175.5</w:t>
            </w:r>
          </w:p>
        </w:tc>
        <w:tc>
          <w:tcPr>
            <w:tcW w:w="1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196.8</w:t>
            </w:r>
          </w:p>
        </w:tc>
        <w:tc>
          <w:tcPr>
            <w:tcW w:w="0" w:type="dxa"/>
            <w:vAlign w:val="bottom"/>
          </w:tcPr>
          <w:p>
            <w:pPr>
              <w:spacing w:after="0"/>
              <w:rPr>
                <w:sz w:val="1"/>
                <w:szCs w:val="1"/>
                <w:color w:val="auto"/>
              </w:rPr>
            </w:pPr>
          </w:p>
        </w:tc>
      </w:tr>
      <w:tr>
        <w:trPr>
          <w:trHeight w:val="263"/>
        </w:trPr>
        <w:tc>
          <w:tcPr>
            <w:tcW w:w="8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settlement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1,418.6</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obligations: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Trade account payables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628.2</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948.9</w:t>
            </w:r>
          </w:p>
        </w:tc>
        <w:tc>
          <w:tcPr>
            <w:tcW w:w="1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894.5</w:t>
            </w: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settlement obligations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reconciles cash and cash equivalents, restricted cash, ATM cash, settlement cash and cash equivalents, and settlement restricted cash as presented within "Cash and cash equivalents and restricted cash" in the Consolidated Statement of Cash Flows.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right"/>
              <w:ind w:right="54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1"/>
                <w:szCs w:val="11"/>
                <w:color w:val="auto"/>
              </w:rPr>
            </w:pPr>
          </w:p>
        </w:tc>
        <w:tc>
          <w:tcPr>
            <w:tcW w:w="1300" w:type="dxa"/>
            <w:vAlign w:val="bottom"/>
            <w:gridSpan w:val="2"/>
          </w:tcPr>
          <w:p>
            <w:pPr>
              <w:jc w:val="right"/>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1"/>
                <w:szCs w:val="11"/>
                <w:color w:val="auto"/>
              </w:rPr>
            </w:pPr>
          </w:p>
        </w:tc>
        <w:tc>
          <w:tcPr>
            <w:tcW w:w="1240" w:type="dxa"/>
            <w:vAlign w:val="bottom"/>
            <w:gridSpan w:val="2"/>
          </w:tcPr>
          <w:p>
            <w:pPr>
              <w:jc w:val="right"/>
              <w:ind w:right="52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right"/>
              <w:ind w:right="115"/>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4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1,393.6</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1,278.8</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1,236.2</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ATM cash</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700.3</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643.8</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599.7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525.2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Settlement cash and cash equivalents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408.2</w:t>
            </w: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367.2</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restricted cash</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176.7</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189.2</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2,689.6</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2,488.2</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(Loss) Per Share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(loss) per share has been computed by dividing earnings (loss) available to common stockholders by the weighted average number of common shares outstanding during the respective period. Diluted earnings (loss) per share has been computed by dividing earnings (loss) available to common stockholders by the weighted average shares outstanding during the respective period, after adjusting for the potential dilution of options to purchase the Company’s common stock, assumed vesting of restricted stock units and the assumed conversion of the Company’s convertible debt, if such conversion would be dilutive.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The following table provides the computation of diluted earnings and diluted weighted average number of common shares outstanding: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60" w:type="dxa"/>
            <w:vAlign w:val="bottom"/>
          </w:tcPr>
          <w:p>
            <w:pPr>
              <w:spacing w:after="0"/>
              <w:rPr>
                <w:sz w:val="13"/>
                <w:szCs w:val="13"/>
                <w:color w:val="auto"/>
              </w:rPr>
            </w:pPr>
          </w:p>
        </w:tc>
        <w:tc>
          <w:tcPr>
            <w:tcW w:w="254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844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Computation of diluted earnings: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 Interest expense from assumed conversion of convertible notes, net of tax</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 for diluted earnings per share calculation</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2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Computation of diluted weighted average shares outstanding:</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43,677,294</w:t>
            </w: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45,816,943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Incremental shares from assumed exercise of stock options and vesting of restricted stock units</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214,693</w:t>
            </w:r>
          </w:p>
        </w:tc>
        <w:tc>
          <w:tcPr>
            <w:tcW w:w="3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363,822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Incremental shares from assumed conversion of convertible debt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2,347,536</w:t>
            </w: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2,781,818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46,239,523</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48,962,583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includes all stock options and restricted stock units that are dilutive to the Company's weighted average common shares outstanding during the period. The calculation of diluted earnings per share excludes stock options or shares of restricted stock units that are anti-dilutive to the Company's weighted average common shares outstanding of approximately 3.6 million and 3.3 million for the three months ended March 31, 2025 and 2024.</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Euronet issued Convertible Senior Notes ("Convertible Notes") due March 2049 on March 18, 2019. The Convertible Notes currently have a settlement feature requiring us upon conversion to settle the principal amount of the debt and any conversion value in excess of the principal value ("conversion premium"), for cash or shares of Euronet's common stock or a combination thereof, at the Company's option. The Company has stated its intent to settle any conversion of these notes by paying cash for the principal value and issuing common stock for any conversion premium; however, after adopting ASU 2020-06, 2.8 million incremental shares assumed for conversion of Convertible Notes were initially required to be included in the dilutive earnings per share calculation, if dilutive, regardless of whether the market price trigger had been met. Therefore, the Convertible Notes are included in the calculation of diluted earnings per share if their inclusion is dilutive. The dilutive effect increases the more the market price exceeds the conversion price of $188.73 per share. See Note 10, Debt Obligations, to the consolidated financial statements for more information about the Convertible Notes.</w:t>
      </w:r>
    </w:p>
    <w:p>
      <w:pPr>
        <w:spacing w:after="0" w:line="1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March 2025, almost all of the Convertible Note holders exercised their right to require the Company to repurchase their notes, and we repurchased $491.8 million of Convertible Notes leaving $33.2 million of Convertible Notes outstanding at March 31, 2025. This repurchase reduced the weighted average incremental shares from assumed conversion from 2.8 million in the prior year to 2.3 million at March 31, 2025.</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13, 2023, the Company put a repurchase program in place to repurchase up to $350 million in value, but not more than 7.0 million shares of common stock through September 13, 2025. As of March 31, 2025, approximately $121.9 million in value of additional shares were available to be repurchased under this repurchase program. On September 11, 2024, the Company put a repurchase program in place to repurchase up to $350 million in value, but not more than 7.0 million shares of common stock through September 11, 2026. As of March 31, 2025, all shares were available to be repurchased under this repurchase program. Repurchases under the programs may take place in the open market or in privately negotiated transactions, including derivative transactions, and may be made under a Rule 10b5-1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 (loss)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Accumulated other comprehensive income (loss) consists entirely of foreign currency translation adjustments. The Company recorded foreign currency translation adjustments of $84.0 million for the three months ended March 31, 2025 and $(45.0) million for the three months ended March 31, 2024, respectively. There were no reclassifications of foreign currency translation adjustments into the consolidated statements of income for the three months ended March 31, 2025 and 2024.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(6) GOODWILL AND ACQUIRED INTANGIBLE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acquired intangible assets and goodwill activity for the three months ended March 31, 2025 is presented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220" w:type="dxa"/>
            <w:vAlign w:val="bottom"/>
          </w:tcPr>
          <w:p>
            <w:pPr>
              <w:spacing w:after="0"/>
              <w:rPr>
                <w:sz w:val="12"/>
                <w:szCs w:val="12"/>
                <w:color w:val="auto"/>
              </w:rPr>
            </w:pPr>
          </w:p>
        </w:tc>
        <w:tc>
          <w:tcPr>
            <w:tcW w:w="12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00" w:type="dxa"/>
            <w:vAlign w:val="bottom"/>
          </w:tcPr>
          <w:p>
            <w:pPr>
              <w:spacing w:after="0"/>
              <w:rPr>
                <w:sz w:val="12"/>
                <w:szCs w:val="12"/>
                <w:color w:val="auto"/>
              </w:rPr>
            </w:pPr>
          </w:p>
        </w:tc>
        <w:tc>
          <w:tcPr>
            <w:tcW w:w="110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0" w:type="dxa"/>
            <w:vAlign w:val="bottom"/>
          </w:tcPr>
          <w:p>
            <w:pPr>
              <w:spacing w:after="0"/>
              <w:rPr>
                <w:sz w:val="1"/>
                <w:szCs w:val="1"/>
                <w:color w:val="auto"/>
              </w:rPr>
            </w:pPr>
          </w:p>
        </w:tc>
      </w:tr>
      <w:tr>
        <w:trPr>
          <w:trHeight w:val="173"/>
        </w:trPr>
        <w:tc>
          <w:tcPr>
            <w:tcW w:w="69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10"/>
        </w:trPr>
        <w:tc>
          <w:tcPr>
            <w:tcW w:w="68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Increases (decreases):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1,070.9</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the total goodwill balance of $882.2 million as of March 31, 2025, $366.8 million relates to the Money Transfer Segment, $447.3 million relates to the EFT Processing Segment and the remaining $68.1 million relates to the epay Segment. Estimated amortization expense on acquired intangible assets with finite lives as of March 31, 2025, is expected to total $14.3 million for the remainder of 2025, $18.2 million for 2026, $16.7 million for 2027, $16.0 million for 2028 , $16.0 million for 2029 and $15.9 million for 2030.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CONVERTIBLE NOTES RECEIVABLE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loaned a total of $60 million to Koin Mobile, LLC and Marker Trax, LLC under two promissory notes (the "2028 Notes"), which were fully executed on October 19, 2023. Under the terms of the 2028 Notes, interest will accrue on the Notes at 2% per annum and all unpaid principal and interest will be due and payable on October 18, 2028 if not converted earlier as discussed below.</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27, 2025, the Company loaned $25 million to Marker Trax Digital, LLC under a promissory note (the "2030 Note"). Under the terms of the 2030 Note, interest will accrue on the 2030 Note at 2% per annum and all unpaid principal and interest will be due and payable on March 27, 2030 if not converted earlier as discussed below.</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a security interest in all of the assets of Koin Mobile, LLC, Marker Trax, LLC, and Marker Trax Digital, LLC, The aggregate outstanding principal and accrued interest were under the 2028 Notes and the 2030 Note $85.0 million and $1.7 million at March 31,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2028 Notes and the 2030 Note are convertible into preferred equity of Koin Mobile, LLC, Marker Trax, LLC and Marker Trax Digital, LLC, at the option of the Company upon the occurrence of certain events including a qualified equity financing, change in control, achievement of profitability or at the option of the Company at maturity, as defined in the related promissory note purchase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0"/>
                <w:szCs w:val="10"/>
                <w:color w:val="auto"/>
              </w:rPr>
            </w:pPr>
          </w:p>
        </w:tc>
        <w:tc>
          <w:tcPr>
            <w:tcW w:w="1260" w:type="dxa"/>
            <w:vAlign w:val="bottom"/>
            <w:gridSpan w:val="2"/>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3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73"/>
        </w:trPr>
        <w:tc>
          <w:tcPr>
            <w:tcW w:w="84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3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3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tax payables</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w:t>
            </w:r>
          </w:p>
        </w:tc>
        <w:tc>
          <w:tcPr>
            <w:tcW w:w="4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Accrued payroll expenses</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59.0</w:t>
            </w:r>
          </w:p>
        </w:tc>
        <w:tc>
          <w:tcPr>
            <w:tcW w:w="4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portion of capital lease obligations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2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DEFERRED REVENUES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records deferred revenues when cash payments are received or due in advance of the Company's performance. The decrease in the deferred revenue balance for the three months ended March 31, 2025 is the result of $77.2 million of revenues recognized and $78.0 million of cash payments received in the current year for which the Company has not yet satisfied the performance obligations.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(10) DEBT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obligations consist of the following:</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50"/>
        </w:trPr>
        <w:tc>
          <w:tcPr>
            <w:tcW w:w="84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Pr>
          <w:p>
            <w:pPr>
              <w:spacing w:after="0"/>
              <w:rPr>
                <w:sz w:val="21"/>
                <w:szCs w:val="21"/>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3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83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 Facility:</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r>
      <w:tr>
        <w:trPr>
          <w:trHeight w:val="216"/>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Revolving credit agreement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1,230.4</w:t>
            </w:r>
          </w:p>
        </w:tc>
        <w:tc>
          <w:tcPr>
            <w:tcW w:w="100" w:type="dxa"/>
            <w:vAlign w:val="bottom"/>
          </w:tcPr>
          <w:p>
            <w:pPr>
              <w:spacing w:after="0"/>
              <w:rPr>
                <w:sz w:val="18"/>
                <w:szCs w:val="18"/>
                <w:color w:val="auto"/>
              </w:rPr>
            </w:pP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520.4</w:t>
            </w:r>
          </w:p>
        </w:tc>
      </w:tr>
      <w:tr>
        <w:trPr>
          <w:trHeight w:val="216"/>
        </w:trPr>
        <w:tc>
          <w:tcPr>
            <w:tcW w:w="8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0.75% Convertible Notes, unsecured, due 2049</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525.0</w:t>
            </w:r>
          </w:p>
        </w:tc>
      </w:tr>
      <w:tr>
        <w:trPr>
          <w:trHeight w:val="216"/>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1.375% Senior Notes, due 2026</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648.8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621.5</w:t>
            </w:r>
          </w:p>
        </w:tc>
      </w:tr>
      <w:tr>
        <w:trPr>
          <w:trHeight w:val="216"/>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Uncommitted credit agreements</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obligations</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r>
      <w:tr>
        <w:trPr>
          <w:trHeight w:val="216"/>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84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Total debt obligations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gridSpan w:val="2"/>
            <w:shd w:val="clear" w:color="auto" w:fill="CCEEFF"/>
          </w:tcPr>
          <w:p>
            <w:pPr>
              <w:spacing w:after="0"/>
              <w:rPr>
                <w:sz w:val="18"/>
                <w:szCs w:val="18"/>
                <w:color w:val="auto"/>
              </w:rPr>
            </w:pPr>
          </w:p>
        </w:tc>
      </w:tr>
      <w:tr>
        <w:trPr>
          <w:trHeight w:val="209"/>
        </w:trPr>
        <w:tc>
          <w:tcPr>
            <w:tcW w:w="8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Carrying value of debt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debt obligations and current maturities of long-term debt obligations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(294.1)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(812.7)</w:t>
            </w:r>
          </w:p>
        </w:tc>
      </w:tr>
      <w:tr>
        <w:trPr>
          <w:trHeight w:val="210"/>
        </w:trPr>
        <w:tc>
          <w:tcPr>
            <w:tcW w:w="8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17, 2024, the Company amended its revolving credit agreement (the “Credit Facility”) to increase the facility from $1.25 billion to $1.9 billion and to extend the expiration to December 17, 2029. The amended Credit Facility includes a multi-currency borrowing tranche totaling $1,685 million and a U.S. dollar borrowing tranche totaling $215 million. The amended Credit Facility also removes the credit spread adjustment on SOFR and SONIA borrowings. All other terms remain substantially the same as the existing Credit Facility. The multi-currency tranche of the revolving Credit Facility contains a sublimit of up to $500 million for the issuance of letters of credit, a $75 million sublimit for U.S. dollar swingline loans and a $75 million sublimit for swingline loans in euros or British pounds sterling. The multi-currency tranche of the Credit Facility allows for borrowings in British pounds sterling, euro and U.S. dollars. Subject to certain conditions, the Company has the option to increase the Credit Facility by up to an additional $500 million by requesting additional commitments from existing or new lenders.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revolving Credit Facility (other than swing line loans) bear interest based on a margin over a secured financing rate or the base rate, as selected by the Company, which varies from 0.875% to 1.375%, in each case based on the Company’s current credit rating. The applicable margin for borrowings under the Credit Facility, based on the Company’s current credit rating is 1.075%. In addition, the Company pays a facility fee on the total commitments made under the revolving Credit Facility, which varies from 0.125% to 0.250%. The current facility fee is 0.175%.</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agreement contains customary affirmative and negative covenants, events of default and financial covenants, including (all as defined in the Credit Facility): (i) a Consolidated Total Leverage Ratio, depending on certain circumstances defined in the Credit Facility, not to exceed a range between 3.5 to 1.0 and 4.5 to 1.0; and (ii) a Consolidated Interest Coverage Ratio of not less than 3.0 to 1.0. Subject to meeting certain customary covenants (as defined in the Credit Facility), the Company is permitted to repurchase common stock and debt. The Company was in compliance with all debt covenants as of March 31, 2025.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18, 2019, the Company completed the sale of $525.0 million of Convertible Senior Notes ("Convertible Notes"). The Convertible Notes mature in March 2049 unless redeemed or converted prior to such date, and are convertible into shares of Euronet common stock at a conversion price of approximately $188.73 per share if certain conditions are met (relating to the closing price of Euronet common stock exceeding certain thresholds for specified periods). Holders of the Convertible Notes have the option to require the Company to purchase their notes on each of March 15, 2025, March 15, 2029, March 15, 2034, March 15, 2039 and March 15, 2044 at a repurchase price equal to 100% of the principal amount of the Convertible Notes to be repurchased, plus accrued and unpaid interest to, but excluding, the relevant repurchase date. In connection with the issuance of the Convertible Notes, the Company recorded $12.8 million in debt issuance costs, which were amortized through March 1, 2025. Almost all of the holders exercised their right to require the Company to repurchase their notes in March 2025, and we repurchased the tendered Convertible Notes at that time with a combination of cash on hand and a borrowing under our Credit Facility. As of March 31, 2025, $33.2 million of the Convertible Notes remain outstanding.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1.375% Senior Notes due 2026</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22, 2019, the Company completed the sale of €600.0 million ($669.9 million) aggregate principal amount of Senior Notes that are due in May 2026 (the “Senior Notes”). The Senior Notes accrue interest at a rate of 1.375% per year, payable annually in arrears commencing May 22, 2020, until maturity or earlier redemption. As of March 31, 2025, the Company has outstanding €600.0 million ($648.8 million) principal amount of the Senior Notes. In addition, the Company may redeem some or all of these notes on or after February 22, 2026 at their principal amount plus any accrued and unpaid interest.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Uncommitted Credit Agreements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21, 2024, the Company rolled its existing $150 million Uncommitted Loan Agreement into a new Uncommitted Loan Agreement with a $400 million credit limit through September 30, 2024, and a credit limit of $250 million thereafter for the sole purpose of providing vault cash for ATMs and expires no later than June 20, 2025. The loan had an outstanding balance of $250 million at March 31, 2025. The loan is a Prime Rate Loan, a Daily SOFR Rate Loan plus 1.05% or shall bear interest at the rate agreed to by the Bank and the Company at the time such loan is made. The weighted-average interest rate from loan inception date to March 31, 2025, was 5.86%.</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Other obligations</w:t>
      </w:r>
    </w:p>
    <w:p>
      <w:pPr>
        <w:spacing w:after="0" w:line="2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Certain of our subsidiaries have available credit lines and overdraft facilities to generally supplement short-term working capital requirements, when necessary. On October 9, 2024, the Company completed a facility of MYR 140 million and an overdraft facility of MYR 100 million for its Malaysian business. Each advance under this facility shall be made for a term of one month or such other period of up to 12 months. As of March 31, 2025 $43.8 million was borrowed under this facility. Including the Malaysian facility, there was a total of $44.2 million outstanding under our subsidiaries credit lines and overdraft facilities as of March 31, 2025.</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had unamortized debt issuance costs of $5.1 million for the Credit Facility and $1.4 million for the Senior Notes that will be amortized through October 2027 and May 2026,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DERIVATIVE INSTRUMENTS AND HEDGING ACTIVITIES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certain foreign currency denominated other asset and liability positions.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815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primarily due to either the relatively short duration of the contract term or the effects of fluctuations in currency exchange rates are reflected concurrently in earnings for both the derivative instrument and the transaction and have an offsetting effect.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contracts - Ria Operations and Corporate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the Company uses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The Company had foreign currency forward contracts outstanding in the U.S. with a notional value of $415.6 million and $281.5 million as of March 31, 2025 and December 31, 2024, respectively. The foreign currency forward contracts consist primarily in Australian dollars, Canadian dollars, British pounds sterling, euros and Mexican pesos.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 uses forward contracts, typically with maturities from a few days to less than one year, to offset foreign exchange rate fluctuations on certain short-term borrowings that are payable in currencies other than the U.S. dollar. The Company had foreign currency forward contracts outstanding with a notional value of $396.6 million and $710.4 million as of March 31, 2025 and December 31, 2024, respectively, primarily in euro.</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Foreign currency exchange contracts - xe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xe writes derivative instruments, primarily foreign currency forward contracts and cross-currency swaps, mostly with counterparties comprised of individuals and small-to-medium size businesses and derives a currency margin from this activity as part of its operations. xe aggregates its foreign currency exposures arising from customer contracts and hedges the resulting net currency risks by entering into offsetting contracts with established financial institution counterparties. Foreign exchange revenues from xe's total portfolio of positions were $22.8 million for the three months ended March 31, 2025, and $20.9 million for the same period in 2024. All of the derivative contracts used in the Company's xe operations are economic hedges and are not designated as hedges under ASC 815. The duration of these derivative contracts is generally less than one year.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xe's total portfolio of positions can change significantly from period to period based on, among other factors, market movements and changes in customer contract positions. xe manages counterparty credit risk (the risk that counterparties will default and not make payments according to the terms of the agreements) on an individual counterparty basis. It mitigates this risk by entering contracts with collateral posting requirements and/or by performing financial assessments prior to contract execution, conducting periodic evaluations of counterparty performance and maintaining a diverse portfolio of qualified counterparties. xe does not expect any significant losses from counterparty defaults.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equivalent U.S. dollar notional amount of foreign currency derivative customer contracts held by the Company in its xe operations as of March 31, 2025 and December 31, 2024 was $0.9 billion and $0.9 billion, respectively. The significant majority of customer contracts are written in major currencies such as the euro, U.S. dollar, British pounds sterling, Australian dollar and New Zealand dollar.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Balance Sheet Presentation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derivative instruments as recorded in the Consolidated Balance Sheets as of the dates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60" w:type="dxa"/>
            <w:vAlign w:val="bottom"/>
            <w:tcBorders>
              <w:bottom w:val="single" w:sz="8" w:color="auto"/>
            </w:tcBorders>
            <w:gridSpan w:val="4"/>
          </w:tcPr>
          <w:p>
            <w:pPr>
              <w:ind w:left="140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tcBorders>
              <w:bottom w:val="single" w:sz="8" w:color="auto"/>
            </w:tcBorders>
            <w:gridSpan w:val="5"/>
          </w:tcPr>
          <w:p>
            <w:pPr>
              <w:ind w:left="130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4"/>
          </w:tcPr>
          <w:p>
            <w:pPr>
              <w:jc w:val="right"/>
              <w:ind w:right="68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17"/>
        </w:trPr>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04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24"/>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0"/>
                <w:szCs w:val="10"/>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60" w:type="dxa"/>
            <w:vAlign w:val="bottom"/>
          </w:tcPr>
          <w:p>
            <w:pPr>
              <w:spacing w:after="0"/>
              <w:rPr>
                <w:sz w:val="10"/>
                <w:szCs w:val="10"/>
                <w:color w:val="auto"/>
              </w:rPr>
            </w:pPr>
          </w:p>
        </w:tc>
        <w:tc>
          <w:tcPr>
            <w:tcW w:w="108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4"/>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3480" w:type="dxa"/>
            <w:vAlign w:val="bottom"/>
            <w:gridSpan w:val="2"/>
            <w:vMerge w:val="continue"/>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7"/>
        </w:trPr>
        <w:tc>
          <w:tcPr>
            <w:tcW w:w="3420" w:type="dxa"/>
            <w:vAlign w:val="bottom"/>
            <w:tcBorders>
              <w:top w:val="single" w:sz="8" w:color="auto"/>
            </w:tcBorders>
            <w:shd w:val="clear" w:color="auto" w:fill="CCEEFF"/>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6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Other current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tcPr>
          <w:p>
            <w:pPr>
              <w:jc w:val="right"/>
              <w:ind w:right="22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6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liabilities</w:t>
            </w:r>
          </w:p>
        </w:tc>
        <w:tc>
          <w:tcPr>
            <w:tcW w:w="3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gross and net fair value of derivative assets and liabilities as of March 31, 2025 and December 31, 2024 (in millions):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Offsetting of Derivative Assets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40" w:type="dxa"/>
            <w:vAlign w:val="bottom"/>
          </w:tcPr>
          <w:p>
            <w:pPr>
              <w:spacing w:after="0"/>
              <w:rPr>
                <w:sz w:val="13"/>
                <w:szCs w:val="13"/>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Not Offset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4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3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Balance</w:t>
            </w:r>
          </w:p>
        </w:tc>
        <w:tc>
          <w:tcPr>
            <w:tcW w:w="14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Balance</w:t>
            </w:r>
          </w:p>
        </w:tc>
        <w:tc>
          <w:tcPr>
            <w:tcW w:w="80" w:type="dxa"/>
            <w:vAlign w:val="bottom"/>
          </w:tcPr>
          <w:p>
            <w:pPr>
              <w:spacing w:after="0"/>
              <w:rPr>
                <w:sz w:val="12"/>
                <w:szCs w:val="12"/>
                <w:color w:val="auto"/>
              </w:rPr>
            </w:pPr>
          </w:p>
        </w:tc>
        <w:tc>
          <w:tcPr>
            <w:tcW w:w="1300" w:type="dxa"/>
            <w:vAlign w:val="bottom"/>
          </w:tcPr>
          <w:p>
            <w:pPr>
              <w:jc w:val="right"/>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in the Consolidated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0" w:type="dxa"/>
            <w:vAlign w:val="bottom"/>
          </w:tcPr>
          <w:p>
            <w:pPr>
              <w:spacing w:after="0"/>
              <w:rPr>
                <w:sz w:val="1"/>
                <w:szCs w:val="1"/>
                <w:color w:val="auto"/>
              </w:rPr>
            </w:pPr>
          </w:p>
        </w:tc>
      </w:tr>
      <w:tr>
        <w:trPr>
          <w:trHeight w:val="173"/>
        </w:trPr>
        <w:tc>
          <w:tcPr>
            <w:tcW w:w="4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Recognized Assets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14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80" w:type="dxa"/>
            <w:vAlign w:val="bottom"/>
          </w:tcPr>
          <w:p>
            <w:pPr>
              <w:spacing w:after="0"/>
              <w:rPr>
                <w:sz w:val="15"/>
                <w:szCs w:val="15"/>
                <w:color w:val="auto"/>
              </w:rPr>
            </w:pPr>
          </w:p>
        </w:tc>
        <w:tc>
          <w:tcPr>
            <w:tcW w:w="13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120" w:type="dxa"/>
            <w:vAlign w:val="bottom"/>
            <w:tcBorders>
              <w:top w:val="single" w:sz="8" w:color="auto"/>
            </w:tcBorders>
            <w:shd w:val="clear" w:color="auto" w:fill="CCEEFF"/>
          </w:tcPr>
          <w:p>
            <w:pPr>
              <w:ind w:left="40"/>
              <w:spacing w:after="0" w:line="191" w:lineRule="exact"/>
              <w:rPr>
                <w:sz w:val="20"/>
                <w:szCs w:val="20"/>
                <w:color w:val="auto"/>
              </w:rPr>
            </w:pPr>
            <w:r>
              <w:rPr>
                <w:rFonts w:ascii="Times New Roman" w:cs="Times New Roman" w:eastAsia="Times New Roman" w:hAnsi="Times New Roman"/>
                <w:sz w:val="18"/>
                <w:szCs w:val="18"/>
                <w:color w:val="auto"/>
              </w:rPr>
              <w:t>Derivatives subject to a master netting arrangement or</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similar agreement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351"/>
        </w:trPr>
        <w:tc>
          <w:tcPr>
            <w:tcW w:w="4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120" w:type="dxa"/>
            <w:vAlign w:val="bottom"/>
            <w:tcBorders>
              <w:top w:val="single" w:sz="8" w:color="auto"/>
            </w:tcBorders>
            <w:shd w:val="clear" w:color="auto" w:fill="CCEEFF"/>
          </w:tcPr>
          <w:p>
            <w:pPr>
              <w:ind w:left="40"/>
              <w:spacing w:after="0" w:line="191" w:lineRule="exact"/>
              <w:rPr>
                <w:sz w:val="20"/>
                <w:szCs w:val="20"/>
                <w:color w:val="auto"/>
              </w:rPr>
            </w:pPr>
            <w:r>
              <w:rPr>
                <w:rFonts w:ascii="Times New Roman" w:cs="Times New Roman" w:eastAsia="Times New Roman" w:hAnsi="Times New Roman"/>
                <w:sz w:val="18"/>
                <w:szCs w:val="18"/>
                <w:color w:val="auto"/>
              </w:rPr>
              <w:t>Derivatives subject to a master netting arrangement or</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similar agreement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459"/>
        </w:trPr>
        <w:tc>
          <w:tcPr>
            <w:tcW w:w="4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Offsetting of Derivative Liabilities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Derivatives Not</w:t>
            </w: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40" w:type="dxa"/>
            <w:vAlign w:val="bottom"/>
          </w:tcPr>
          <w:p>
            <w:pPr>
              <w:spacing w:after="0"/>
              <w:rPr>
                <w:sz w:val="12"/>
                <w:szCs w:val="12"/>
                <w:color w:val="auto"/>
              </w:rPr>
            </w:pPr>
          </w:p>
        </w:tc>
        <w:tc>
          <w:tcPr>
            <w:tcW w:w="122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Balance</w:t>
            </w:r>
          </w:p>
        </w:tc>
        <w:tc>
          <w:tcPr>
            <w:tcW w:w="6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Balance</w:t>
            </w:r>
          </w:p>
        </w:tc>
        <w:tc>
          <w:tcPr>
            <w:tcW w:w="40" w:type="dxa"/>
            <w:vAlign w:val="bottom"/>
          </w:tcPr>
          <w:p>
            <w:pPr>
              <w:spacing w:after="0"/>
              <w:rPr>
                <w:sz w:val="12"/>
                <w:szCs w:val="12"/>
                <w:color w:val="auto"/>
              </w:rPr>
            </w:pPr>
          </w:p>
        </w:tc>
        <w:tc>
          <w:tcPr>
            <w:tcW w:w="14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Balance</w:t>
            </w:r>
          </w:p>
        </w:tc>
        <w:tc>
          <w:tcPr>
            <w:tcW w:w="180" w:type="dxa"/>
            <w:vAlign w:val="bottom"/>
          </w:tcPr>
          <w:p>
            <w:pPr>
              <w:spacing w:after="0"/>
              <w:rPr>
                <w:sz w:val="12"/>
                <w:szCs w:val="12"/>
                <w:color w:val="auto"/>
              </w:rPr>
            </w:pPr>
          </w:p>
        </w:tc>
        <w:tc>
          <w:tcPr>
            <w:tcW w:w="120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0" w:type="dxa"/>
            <w:vAlign w:val="bottom"/>
          </w:tcPr>
          <w:p>
            <w:pPr>
              <w:spacing w:after="0"/>
              <w:rPr>
                <w:sz w:val="1"/>
                <w:szCs w:val="1"/>
                <w:color w:val="auto"/>
              </w:rPr>
            </w:pPr>
          </w:p>
        </w:tc>
      </w:tr>
      <w:tr>
        <w:trPr>
          <w:trHeight w:val="173"/>
        </w:trPr>
        <w:tc>
          <w:tcPr>
            <w:tcW w:w="4160" w:type="dxa"/>
            <w:vAlign w:val="bottom"/>
            <w:gridSpan w:val="2"/>
            <w:vMerge w:val="continue"/>
          </w:tcPr>
          <w:p>
            <w:pPr>
              <w:spacing w:after="0"/>
              <w:rPr>
                <w:sz w:val="15"/>
                <w:szCs w:val="15"/>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Recognized Liabilities</w:t>
            </w:r>
          </w:p>
        </w:tc>
        <w:tc>
          <w:tcPr>
            <w:tcW w:w="140" w:type="dxa"/>
            <w:vAlign w:val="bottom"/>
          </w:tcPr>
          <w:p>
            <w:pPr>
              <w:spacing w:after="0"/>
              <w:rPr>
                <w:sz w:val="15"/>
                <w:szCs w:val="15"/>
                <w:color w:val="auto"/>
              </w:rPr>
            </w:pPr>
          </w:p>
        </w:tc>
        <w:tc>
          <w:tcPr>
            <w:tcW w:w="12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Sheet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1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120" w:type="dxa"/>
            <w:vAlign w:val="bottom"/>
            <w:tcBorders>
              <w:top w:val="single" w:sz="8" w:color="auto"/>
            </w:tcBorders>
            <w:shd w:val="clear" w:color="auto" w:fill="CCEEFF"/>
          </w:tcPr>
          <w:p>
            <w:pPr>
              <w:ind w:left="40"/>
              <w:spacing w:after="0" w:line="191" w:lineRule="exact"/>
              <w:rPr>
                <w:sz w:val="20"/>
                <w:szCs w:val="20"/>
                <w:color w:val="auto"/>
              </w:rPr>
            </w:pPr>
            <w:r>
              <w:rPr>
                <w:rFonts w:ascii="Times New Roman" w:cs="Times New Roman" w:eastAsia="Times New Roman" w:hAnsi="Times New Roman"/>
                <w:sz w:val="18"/>
                <w:szCs w:val="18"/>
                <w:color w:val="auto"/>
              </w:rPr>
              <w:t>Derivatives subject to a master netting arrangement or</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similar agreement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499"/>
        </w:trPr>
        <w:tc>
          <w:tcPr>
            <w:tcW w:w="4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120" w:type="dxa"/>
            <w:vAlign w:val="bottom"/>
            <w:tcBorders>
              <w:top w:val="single" w:sz="8" w:color="auto"/>
            </w:tcBorders>
            <w:shd w:val="clear" w:color="auto" w:fill="CCEEFF"/>
          </w:tcPr>
          <w:p>
            <w:pPr>
              <w:ind w:left="40"/>
              <w:spacing w:after="0" w:line="191" w:lineRule="exact"/>
              <w:rPr>
                <w:sz w:val="20"/>
                <w:szCs w:val="20"/>
                <w:color w:val="auto"/>
              </w:rPr>
            </w:pPr>
            <w:r>
              <w:rPr>
                <w:rFonts w:ascii="Times New Roman" w:cs="Times New Roman" w:eastAsia="Times New Roman" w:hAnsi="Times New Roman"/>
                <w:sz w:val="18"/>
                <w:szCs w:val="18"/>
                <w:color w:val="auto"/>
              </w:rPr>
              <w:t>Derivatives subject to a master netting arrangement or</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similar agreement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Fair Value Measurements, for the determination of the fair values of derivatives.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Statement Presentation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location and amount of gains (losses) on derivatives in the Consolidated Statements of Income for the three months ended March 31, 2025 and 2024: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(Loss) Recognized in Income on</w:t>
            </w:r>
          </w:p>
        </w:tc>
        <w:tc>
          <w:tcPr>
            <w:tcW w:w="0" w:type="dxa"/>
            <w:vAlign w:val="bottom"/>
          </w:tcPr>
          <w:p>
            <w:pPr>
              <w:spacing w:after="0"/>
              <w:rPr>
                <w:sz w:val="1"/>
                <w:szCs w:val="1"/>
                <w:color w:val="auto"/>
              </w:rPr>
            </w:pPr>
          </w:p>
        </w:tc>
      </w:tr>
      <w:tr>
        <w:trPr>
          <w:trHeight w:val="173"/>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tcBorders>
              <w:bottom w:val="single" w:sz="8" w:color="auto"/>
            </w:tcBorders>
            <w:gridSpan w:val="4"/>
          </w:tcPr>
          <w:p>
            <w:pPr>
              <w:jc w:val="center"/>
              <w:ind w:left="525"/>
              <w:spacing w:after="0"/>
              <w:rPr>
                <w:sz w:val="20"/>
                <w:szCs w:val="20"/>
                <w:color w:val="auto"/>
              </w:rPr>
            </w:pPr>
            <w:r>
              <w:rPr>
                <w:rFonts w:ascii="Times New Roman" w:cs="Times New Roman" w:eastAsia="Times New Roman" w:hAnsi="Times New Roman"/>
                <w:sz w:val="14"/>
                <w:szCs w:val="14"/>
                <w:b w:val="1"/>
                <w:bCs w:val="1"/>
                <w:color w:val="auto"/>
              </w:rPr>
              <w:t>Derivative Contracts (a)</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20" w:type="dxa"/>
            <w:vAlign w:val="bottom"/>
            <w:gridSpan w:val="4"/>
          </w:tcPr>
          <w:p>
            <w:pPr>
              <w:jc w:val="center"/>
              <w:ind w:left="425"/>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Location of Gain (Loss) Recognized in Income on</w:t>
            </w:r>
          </w:p>
        </w:tc>
        <w:tc>
          <w:tcPr>
            <w:tcW w:w="10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4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Pr>
          <w:p>
            <w:pPr>
              <w:spacing w:after="0"/>
              <w:rPr>
                <w:sz w:val="3"/>
                <w:szCs w:val="3"/>
                <w:color w:val="auto"/>
              </w:rPr>
            </w:pPr>
          </w:p>
        </w:tc>
        <w:tc>
          <w:tcPr>
            <w:tcW w:w="3500" w:type="dxa"/>
            <w:vAlign w:val="bottom"/>
            <w:gridSpan w:val="2"/>
            <w:vMerge w:val="continue"/>
          </w:tcPr>
          <w:p>
            <w:pPr>
              <w:spacing w:after="0"/>
              <w:rPr>
                <w:sz w:val="3"/>
                <w:szCs w:val="3"/>
                <w:color w:val="auto"/>
              </w:rPr>
            </w:pPr>
          </w:p>
        </w:tc>
        <w:tc>
          <w:tcPr>
            <w:tcW w:w="1000" w:type="dxa"/>
            <w:vAlign w:val="bottom"/>
            <w:vMerge w:val="restart"/>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4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Derivative Contracts</w:t>
            </w:r>
          </w:p>
        </w:tc>
        <w:tc>
          <w:tcPr>
            <w:tcW w:w="10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contracts - Ria Operations</w:t>
            </w:r>
          </w:p>
        </w:tc>
        <w:tc>
          <w:tcPr>
            <w:tcW w:w="120" w:type="dxa"/>
            <w:vAlign w:val="bottom"/>
            <w:tcBorders>
              <w:top w:val="single" w:sz="8" w:color="CCEEFF"/>
            </w:tcBorders>
            <w:shd w:val="clear" w:color="auto" w:fill="CCEEFF"/>
          </w:tcPr>
          <w:p>
            <w:pPr>
              <w:spacing w:after="0"/>
              <w:rPr>
                <w:sz w:val="18"/>
                <w:szCs w:val="18"/>
                <w:color w:val="auto"/>
              </w:rPr>
            </w:pPr>
          </w:p>
        </w:tc>
        <w:tc>
          <w:tcPr>
            <w:tcW w:w="3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Foreign currency exchange gain (loss), net</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2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8"/>
        <w:spacing w:after="0" w:line="266" w:lineRule="auto"/>
        <w:tabs>
          <w:tab w:leader="none" w:pos="2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enters into derivative contracts such as foreign currency exchange forwards and cross-currency swaps as part of its xe operations. These derivative contracts are excluded from this table as they are part of the broader disclosure of foreign currency exchange revenues for this business discussed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Fair Value Measurements, for the determination of the fair values of derivatives.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Fair value measurements used in the unaudited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Level 1 – Unadjusted 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540" w:right="20"/>
        <w:spacing w:after="0" w:line="250" w:lineRule="auto"/>
        <w:rPr>
          <w:sz w:val="20"/>
          <w:szCs w:val="20"/>
          <w:color w:val="auto"/>
        </w:rPr>
      </w:pPr>
      <w:r>
        <w:rPr>
          <w:rFonts w:ascii="Times New Roman" w:cs="Times New Roman" w:eastAsia="Times New Roman" w:hAnsi="Times New Roman"/>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20"/>
        <w:spacing w:after="0" w:line="250" w:lineRule="auto"/>
        <w:rPr>
          <w:sz w:val="20"/>
          <w:szCs w:val="20"/>
          <w:color w:val="auto"/>
        </w:rPr>
      </w:pPr>
      <w:r>
        <w:rPr>
          <w:rFonts w:ascii="Times New Roman" w:cs="Times New Roman" w:eastAsia="Times New Roman" w:hAnsi="Times New Roman"/>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following table details financial assets and liabilities measured and recorded at fair value on a recurring basis: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3"/>
        </w:trPr>
        <w:tc>
          <w:tcPr>
            <w:tcW w:w="3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Pr>
          <w:p>
            <w:pPr>
              <w:spacing w:after="0"/>
              <w:rPr>
                <w:sz w:val="22"/>
                <w:szCs w:val="22"/>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2"/>
        </w:trPr>
        <w:tc>
          <w:tcPr>
            <w:tcW w:w="3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34.0</w:t>
            </w:r>
          </w:p>
        </w:tc>
      </w:tr>
      <w:tr>
        <w:trPr>
          <w:trHeight w:val="270"/>
        </w:trPr>
        <w:tc>
          <w:tcPr>
            <w:tcW w:w="3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Convertible notes receivable</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86.7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86.7</w:t>
            </w:r>
          </w:p>
        </w:tc>
      </w:tr>
      <w:tr>
        <w:trPr>
          <w:trHeight w:val="250"/>
        </w:trPr>
        <w:tc>
          <w:tcPr>
            <w:tcW w:w="36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Marketable securities</w:t>
            </w:r>
          </w:p>
        </w:tc>
        <w:tc>
          <w:tcPr>
            <w:tcW w:w="2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29.6</w:t>
            </w:r>
          </w:p>
        </w:tc>
      </w:tr>
      <w:tr>
        <w:trPr>
          <w:trHeight w:val="243"/>
        </w:trPr>
        <w:tc>
          <w:tcPr>
            <w:tcW w:w="3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Other current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(32.0)</w:t>
            </w:r>
          </w:p>
        </w:tc>
      </w:tr>
      <w:tr>
        <w:trPr>
          <w:trHeight w:val="481"/>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77"/>
        </w:trPr>
        <w:tc>
          <w:tcPr>
            <w:tcW w:w="3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2"/>
        </w:trPr>
        <w:tc>
          <w:tcPr>
            <w:tcW w:w="3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3620" w:type="dxa"/>
            <w:vAlign w:val="bottom"/>
            <w:gridSpan w:val="2"/>
          </w:tcPr>
          <w:p>
            <w:pPr>
              <w:spacing w:after="0"/>
              <w:rPr>
                <w:sz w:val="2"/>
                <w:szCs w:val="2"/>
                <w:color w:val="auto"/>
              </w:rPr>
            </w:pPr>
          </w:p>
        </w:tc>
        <w:tc>
          <w:tcPr>
            <w:tcW w:w="2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53.1</w:t>
            </w:r>
          </w:p>
        </w:tc>
      </w:tr>
      <w:tr>
        <w:trPr>
          <w:trHeight w:val="243"/>
        </w:trPr>
        <w:tc>
          <w:tcPr>
            <w:tcW w:w="3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3620" w:type="dxa"/>
            <w:vAlign w:val="bottom"/>
            <w:gridSpan w:val="2"/>
          </w:tcPr>
          <w:p>
            <w:pPr>
              <w:spacing w:after="0"/>
              <w:rPr>
                <w:sz w:val="2"/>
                <w:szCs w:val="2"/>
                <w:color w:val="auto"/>
              </w:rPr>
            </w:pPr>
          </w:p>
        </w:tc>
        <w:tc>
          <w:tcPr>
            <w:tcW w:w="2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3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Other current liabilities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7"/>
        </w:trPr>
        <w:tc>
          <w:tcPr>
            <w:tcW w:w="3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Fair Value Disclosures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carrying amounts of cash and cash equivalents, trade accounts receivable, trade accounts payable and short-term debt obligations approximate fair values due to their short maturities. The carrying values of the Company’s revolving credit agreements approximate fair values because interest as of March 31, 2025 was based on the Secured Overnight Financing Rate ("SOFR") that resets at various intervals of less than one year. The Company estimates the fair value of the Convertible Notes and Senior Notes using quoted prices in inactive markets for identical liabilities (Level 2). </w:t>
      </w:r>
      <w:r>
        <w:rPr>
          <w:rFonts w:ascii="Times New Roman" w:cs="Times New Roman" w:eastAsia="Times New Roman" w:hAnsi="Times New Roman"/>
          <w:sz w:val="18"/>
          <w:szCs w:val="18"/>
          <w:color w:val="252525"/>
        </w:rPr>
        <w:t>As of March 31, 2025,</w:t>
      </w:r>
      <w:r>
        <w:rPr>
          <w:rFonts w:ascii="Times New Roman" w:cs="Times New Roman" w:eastAsia="Times New Roman" w:hAnsi="Times New Roman"/>
          <w:sz w:val="18"/>
          <w:szCs w:val="18"/>
          <w:color w:val="auto"/>
        </w:rPr>
        <w:t xml:space="preserve"> the fair values of the Convertible Notes and Senior Notes were $31.6 million and $633.9 million, respectively, with carrying values of $33.2 million and $648.8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Euronet's Chief Executive Officer (CEO) is the Chief Operating Decision Maker (CODM) and is responsible for assessing performance and making resource allocation decisions across the Company's operating segments. The CODM evaluates segment performance primarily based on financial metrics such as revenue, operating income, and other key performance indicators. In making resource allocation decisions, the CODM reviews segment operating income and revenue on a monthly basis to assess profitability and efficiency across segments. Additionally, the CODM considers forecast-to-actual variances in revenue, operating income, and key performance indicators as part of the forecasting process. These measures are used to guide decisions related to capital investments, personnel allocation, and strategic initiatives across the Company’s segments. The CODM also evaluates segment-level profitability and return on assets when making long-term investment decisions and assessing segment performance relative to strategic goals. The accounting policies of the segments are the same as those described in the summary of significant accounting policies.</w:t>
      </w:r>
    </w:p>
    <w:p>
      <w:pPr>
        <w:spacing w:after="0" w:line="1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Euronet's reportable operating segments have been determined in accordance with ASC Topic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("ASC 280")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currently operates in the following three reportable operating segments:</w:t>
      </w:r>
    </w:p>
    <w:p>
      <w:pPr>
        <w:spacing w:after="0" w:line="160" w:lineRule="exact"/>
        <w:rPr>
          <w:sz w:val="20"/>
          <w:szCs w:val="20"/>
          <w:color w:val="auto"/>
        </w:rPr>
      </w:pPr>
    </w:p>
    <w:p>
      <w:pPr>
        <w:jc w:val="both"/>
        <w:ind w:firstLine="278"/>
        <w:spacing w:after="0" w:line="258" w:lineRule="auto"/>
        <w:tabs>
          <w:tab w:leader="none" w:pos="4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EFT Processing Segment, the Company processes transactions for a network of ATMs and POS terminals across Europe, the Middle East, Africa, Asia Pacific and the United States. Euronet provides comprehensive electronic payment solutions consisting of ATM cash withdrawal and deposit services, ATM network participation, outsourced ATM and POS management solutions, credit, debit and prepaid card outsourcing, dynamic currency conversion, domestic and international surcharges and other value added services. Through this segment, the Company also offers a suite of integrated electronic financial transaction software solutions for electronic payment and transaction delivery systems.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8" w:name="page19"/>
    <w:bookmarkEnd w:id="18"/>
    <w:p>
      <w:pPr>
        <w:jc w:val="both"/>
        <w:ind w:firstLine="278"/>
        <w:spacing w:after="0" w:line="266" w:lineRule="auto"/>
        <w:tabs>
          <w:tab w:leader="none" w:pos="4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epay Segment, Euronet provides distribution, processing and collection services for electronic payment products, and prepaid mobile airtime through a network of POS terminals in Europe, the Middle East, Asia Pacific, South America and North America. The epay Segment also provides vouchers and physical gift fulfillment services in Europe.</w:t>
      </w:r>
    </w:p>
    <w:p>
      <w:pPr>
        <w:spacing w:after="0" w:line="175" w:lineRule="exact"/>
        <w:rPr>
          <w:rFonts w:ascii="Times New Roman" w:cs="Times New Roman" w:eastAsia="Times New Roman" w:hAnsi="Times New Roman"/>
          <w:sz w:val="18"/>
          <w:szCs w:val="18"/>
          <w:color w:val="auto"/>
        </w:rPr>
      </w:pPr>
    </w:p>
    <w:p>
      <w:pPr>
        <w:jc w:val="both"/>
        <w:ind w:firstLine="278"/>
        <w:spacing w:after="0" w:line="254" w:lineRule="auto"/>
        <w:tabs>
          <w:tab w:leader="none" w:pos="49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Money Transfer Segment, Euronet provides global money transfers and currency exchange information in retail stores, apps, and websites through Ria Money Transfer, Xe and the Dandelion cross-border real-time payments network. Euronet’s Money Transfer segment offers real-time, cross-border payments to consumers and businesses across 199 countries and territories, enabling banks, fintechs and big tech platforms to integrate an international payments solution into their own platforms. Ria Money Transfer offers real-time international money transfers with a special focus on emerging markets. In addition, Ria offers safe and affordable money transfers through a global network of cash locations and online, serving over 20 million customers annually. Xe offers web and app-based currency information and industry-leading consumer and business cross-border money transfer services. Customers can send money, buy property overseas, and execute other international payments via the Xe website or app. Dandelion offers consumer and business transaction processing and fulfillment with alternative payout channels like bank accounts, cash pick-up and mobile wallets. Dandelion powers cross-border payments for Xe and Ria, as well as third party banks, fintechs, and big tech platforms.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accounts for non-operating activity, share-based compensation expense, certain intersegment eliminations and the costs of providing corporate and other administrative services in the administrative division, "Corporate Services, Eliminations and Other." These services are not directly identifiable with the Company’s reportable operating segments.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reportable segment results for the three months ended March 31, 2025 and 2024:</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EFT</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Money</w:t>
            </w: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Corporate Services,</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280" w:type="dxa"/>
            <w:vAlign w:val="bottom"/>
          </w:tcPr>
          <w:p>
            <w:pPr>
              <w:spacing w:after="0"/>
              <w:rPr>
                <w:sz w:val="18"/>
                <w:szCs w:val="18"/>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epay</w:t>
            </w: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Transfer</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0"/>
        </w:trPr>
        <w:tc>
          <w:tcPr>
            <w:tcW w:w="45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232.5</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267.4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417.7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915.5</w:t>
            </w:r>
          </w:p>
        </w:tc>
        <w:tc>
          <w:tcPr>
            <w:tcW w:w="0" w:type="dxa"/>
            <w:vAlign w:val="bottom"/>
          </w:tcPr>
          <w:p>
            <w:pPr>
              <w:spacing w:after="0"/>
              <w:rPr>
                <w:sz w:val="1"/>
                <w:szCs w:val="1"/>
                <w:color w:val="auto"/>
              </w:rPr>
            </w:pPr>
          </w:p>
        </w:tc>
      </w:tr>
      <w:tr>
        <w:trPr>
          <w:trHeight w:val="209"/>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 exclusive of depreciation</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561.0</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00" w:type="dxa"/>
            <w:vAlign w:val="bottom"/>
          </w:tcPr>
          <w:p>
            <w:pPr>
              <w:spacing w:after="0"/>
              <w:rPr>
                <w:sz w:val="18"/>
                <w:szCs w:val="18"/>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164.1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09"/>
        </w:trPr>
        <w:tc>
          <w:tcPr>
            <w:tcW w:w="4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209.2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240.6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372.6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840.3</w:t>
            </w:r>
          </w:p>
        </w:tc>
        <w:tc>
          <w:tcPr>
            <w:tcW w:w="0" w:type="dxa"/>
            <w:vAlign w:val="bottom"/>
          </w:tcPr>
          <w:p>
            <w:pPr>
              <w:spacing w:after="0"/>
              <w:rPr>
                <w:sz w:val="1"/>
                <w:szCs w:val="1"/>
                <w:color w:val="auto"/>
              </w:rPr>
            </w:pPr>
          </w:p>
        </w:tc>
      </w:tr>
      <w:tr>
        <w:trPr>
          <w:trHeight w:val="210"/>
        </w:trPr>
        <w:tc>
          <w:tcPr>
            <w:tcW w:w="46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2024</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EFT</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Money</w:t>
            </w: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Corporate Services,</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280" w:type="dxa"/>
            <w:vAlign w:val="bottom"/>
          </w:tcPr>
          <w:p>
            <w:pPr>
              <w:spacing w:after="0"/>
              <w:rPr>
                <w:sz w:val="18"/>
                <w:szCs w:val="18"/>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epay</w:t>
            </w: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Transfer</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9"/>
        </w:trPr>
        <w:tc>
          <w:tcPr>
            <w:tcW w:w="45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217.2</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257.1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384.6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857.0</w:t>
            </w:r>
          </w:p>
        </w:tc>
        <w:tc>
          <w:tcPr>
            <w:tcW w:w="0" w:type="dxa"/>
            <w:vAlign w:val="bottom"/>
          </w:tcPr>
          <w:p>
            <w:pPr>
              <w:spacing w:after="0"/>
              <w:rPr>
                <w:sz w:val="1"/>
                <w:szCs w:val="1"/>
                <w:color w:val="auto"/>
              </w:rPr>
            </w:pPr>
          </w:p>
        </w:tc>
      </w:tr>
      <w:tr>
        <w:trPr>
          <w:trHeight w:val="210"/>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 exclusive of depreciation</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131.1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533.7</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00" w:type="dxa"/>
            <w:vAlign w:val="bottom"/>
          </w:tcPr>
          <w:p>
            <w:pPr>
              <w:spacing w:after="0"/>
              <w:rPr>
                <w:sz w:val="18"/>
                <w:szCs w:val="18"/>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195.7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230.5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347.4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793.0</w:t>
            </w:r>
          </w:p>
        </w:tc>
        <w:tc>
          <w:tcPr>
            <w:tcW w:w="0" w:type="dxa"/>
            <w:vAlign w:val="bottom"/>
          </w:tcPr>
          <w:p>
            <w:pPr>
              <w:spacing w:after="0"/>
              <w:rPr>
                <w:sz w:val="1"/>
                <w:szCs w:val="1"/>
                <w:color w:val="auto"/>
              </w:rPr>
            </w:pPr>
          </w:p>
        </w:tc>
      </w:tr>
      <w:tr>
        <w:trPr>
          <w:trHeight w:val="210"/>
        </w:trPr>
        <w:tc>
          <w:tcPr>
            <w:tcW w:w="46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total assets by reportable segment: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40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Total Assets as of</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60" w:type="dxa"/>
            <w:vAlign w:val="bottom"/>
            <w:vMerge w:val="continue"/>
          </w:tcPr>
          <w:p>
            <w:pPr>
              <w:spacing w:after="0"/>
              <w:rPr>
                <w:sz w:val="12"/>
                <w:szCs w:val="12"/>
                <w:color w:val="auto"/>
              </w:rPr>
            </w:pPr>
          </w:p>
        </w:tc>
        <w:tc>
          <w:tcPr>
            <w:tcW w:w="4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13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0"/>
        </w:trPr>
        <w:tc>
          <w:tcPr>
            <w:tcW w:w="43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EFT Processing</w:t>
            </w:r>
          </w:p>
        </w:tc>
        <w:tc>
          <w:tcPr>
            <w:tcW w:w="4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2,933.0</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2,762.2</w:t>
            </w:r>
          </w:p>
        </w:tc>
        <w:tc>
          <w:tcPr>
            <w:tcW w:w="0" w:type="dxa"/>
            <w:vAlign w:val="bottom"/>
          </w:tcPr>
          <w:p>
            <w:pPr>
              <w:spacing w:after="0"/>
              <w:rPr>
                <w:sz w:val="1"/>
                <w:szCs w:val="1"/>
                <w:color w:val="auto"/>
              </w:rPr>
            </w:pPr>
          </w:p>
        </w:tc>
      </w:tr>
      <w:tr>
        <w:trPr>
          <w:trHeight w:val="216"/>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epay</w:t>
            </w:r>
          </w:p>
        </w:tc>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940.4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1,073.7</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Transfer</w:t>
            </w:r>
          </w:p>
        </w:tc>
        <w:tc>
          <w:tcPr>
            <w:tcW w:w="4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1,901.5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1,745.5</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Corporate Services, Eliminations and Other</w:t>
            </w:r>
          </w:p>
        </w:tc>
        <w:tc>
          <w:tcPr>
            <w:tcW w:w="40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278.7</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253.1</w:t>
            </w:r>
          </w:p>
        </w:tc>
        <w:tc>
          <w:tcPr>
            <w:tcW w:w="0" w:type="dxa"/>
            <w:vAlign w:val="bottom"/>
          </w:tcPr>
          <w:p>
            <w:pPr>
              <w:spacing w:after="0"/>
              <w:rPr>
                <w:sz w:val="1"/>
                <w:szCs w:val="1"/>
                <w:color w:val="auto"/>
              </w:rPr>
            </w:pPr>
          </w:p>
        </w:tc>
      </w:tr>
      <w:tr>
        <w:trPr>
          <w:trHeight w:val="209"/>
        </w:trPr>
        <w:tc>
          <w:tcPr>
            <w:tcW w:w="4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40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6,053.5</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5,834.5</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080" w:type="dxa"/>
            <w:vAlign w:val="bottom"/>
            <w:vMerge w:val="restart"/>
          </w:tcPr>
          <w:p>
            <w:pPr>
              <w:jc w:val="right"/>
              <w:ind w:right="263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6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360" w:type="dxa"/>
            <w:vAlign w:val="bottom"/>
            <w:tcBorders>
              <w:bottom w:val="single" w:sz="8" w:color="auto"/>
            </w:tcBorders>
          </w:tcPr>
          <w:p>
            <w:pPr>
              <w:spacing w:after="0"/>
              <w:rPr>
                <w:sz w:val="11"/>
                <w:szCs w:val="11"/>
                <w:color w:val="auto"/>
              </w:rPr>
            </w:pPr>
          </w:p>
        </w:tc>
        <w:tc>
          <w:tcPr>
            <w:tcW w:w="40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 w:name="page20"/>
    <w:bookmarkEnd w:id="19"/>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presents the Company's revenues disaggregated by segment and region. Sales and usage-based taxes are excluded from revenues. The Company believes disaggregation by segment and region best depicts how the nature, amount, timing, and uncertainty of revenue and cash flows are affected by economic factors. The disaggregation of revenues by segment and region is based on management's assessment of segment performance together with allocation of financial resources, both capital and operating support costs, on a segment and regional level. Both segments and regions benefit from synergies achieved through concentration of operations and are influenced by macro-economic, regulatory and political factors in the respective segment and region.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120" w:type="dxa"/>
            <w:vAlign w:val="bottom"/>
            <w:tcBorders>
              <w:bottom w:val="single" w:sz="8" w:color="auto"/>
            </w:tcBorders>
            <w:gridSpan w:val="10"/>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Revenues for the Three Months Ended March 31, 2025</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120" w:type="dxa"/>
            <w:vAlign w:val="bottom"/>
            <w:tcBorders>
              <w:bottom w:val="single" w:sz="8" w:color="auto"/>
            </w:tcBorders>
            <w:gridSpan w:val="11"/>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Revenues for the Three Months Ended March 31, 2024</w:t>
            </w:r>
          </w:p>
        </w:tc>
        <w:tc>
          <w:tcPr>
            <w:tcW w:w="0" w:type="dxa"/>
            <w:vAlign w:val="bottom"/>
          </w:tcPr>
          <w:p>
            <w:pPr>
              <w:spacing w:after="0"/>
              <w:rPr>
                <w:sz w:val="1"/>
                <w:szCs w:val="1"/>
                <w:color w:val="auto"/>
              </w:rPr>
            </w:pPr>
          </w:p>
        </w:tc>
      </w:tr>
      <w:tr>
        <w:trPr>
          <w:trHeight w:val="136"/>
        </w:trPr>
        <w:tc>
          <w:tcPr>
            <w:tcW w:w="2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1"/>
                <w:szCs w:val="11"/>
                <w:color w:val="auto"/>
              </w:rPr>
            </w:pPr>
          </w:p>
        </w:tc>
        <w:tc>
          <w:tcPr>
            <w:tcW w:w="940" w:type="dxa"/>
            <w:vAlign w:val="bottom"/>
            <w:gridSpan w:val="2"/>
          </w:tcPr>
          <w:p>
            <w:pPr>
              <w:jc w:val="center"/>
              <w:ind w:right="180"/>
              <w:spacing w:after="0" w:line="136" w:lineRule="exact"/>
              <w:rPr>
                <w:sz w:val="20"/>
                <w:szCs w:val="20"/>
                <w:color w:val="auto"/>
              </w:rPr>
            </w:pPr>
            <w:r>
              <w:rPr>
                <w:rFonts w:ascii="Times New Roman" w:cs="Times New Roman" w:eastAsia="Times New Roman" w:hAnsi="Times New Roman"/>
                <w:sz w:val="14"/>
                <w:szCs w:val="14"/>
                <w:b w:val="1"/>
                <w:bCs w:val="1"/>
                <w:color w:val="auto"/>
              </w:rPr>
              <w:t>EFT</w:t>
            </w:r>
          </w:p>
        </w:tc>
        <w:tc>
          <w:tcPr>
            <w:tcW w:w="240" w:type="dxa"/>
            <w:vAlign w:val="bottom"/>
          </w:tcPr>
          <w:p>
            <w:pPr>
              <w:spacing w:after="0"/>
              <w:rPr>
                <w:sz w:val="11"/>
                <w:szCs w:val="11"/>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epay</w:t>
            </w:r>
          </w:p>
        </w:tc>
        <w:tc>
          <w:tcPr>
            <w:tcW w:w="160" w:type="dxa"/>
            <w:vAlign w:val="bottom"/>
          </w:tcPr>
          <w:p>
            <w:pPr>
              <w:spacing w:after="0"/>
              <w:rPr>
                <w:sz w:val="11"/>
                <w:szCs w:val="11"/>
                <w:color w:val="auto"/>
              </w:rPr>
            </w:pPr>
          </w:p>
        </w:tc>
        <w:tc>
          <w:tcPr>
            <w:tcW w:w="920" w:type="dxa"/>
            <w:vAlign w:val="bottom"/>
            <w:gridSpan w:val="2"/>
          </w:tcPr>
          <w:p>
            <w:pPr>
              <w:jc w:val="center"/>
              <w:ind w:right="220"/>
              <w:spacing w:after="0" w:line="136" w:lineRule="exact"/>
              <w:rPr>
                <w:sz w:val="20"/>
                <w:szCs w:val="20"/>
                <w:color w:val="auto"/>
              </w:rPr>
            </w:pPr>
            <w:r>
              <w:rPr>
                <w:rFonts w:ascii="Times New Roman" w:cs="Times New Roman" w:eastAsia="Times New Roman" w:hAnsi="Times New Roman"/>
                <w:sz w:val="14"/>
                <w:szCs w:val="14"/>
                <w:b w:val="1"/>
                <w:bCs w:val="1"/>
                <w:color w:val="auto"/>
              </w:rPr>
              <w:t>Money</w:t>
            </w:r>
          </w:p>
        </w:tc>
        <w:tc>
          <w:tcPr>
            <w:tcW w:w="220" w:type="dxa"/>
            <w:vAlign w:val="bottom"/>
          </w:tcPr>
          <w:p>
            <w:pPr>
              <w:spacing w:after="0"/>
              <w:rPr>
                <w:sz w:val="11"/>
                <w:szCs w:val="11"/>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1"/>
                <w:szCs w:val="11"/>
                <w:color w:val="auto"/>
              </w:rPr>
            </w:pPr>
          </w:p>
        </w:tc>
        <w:tc>
          <w:tcPr>
            <w:tcW w:w="940" w:type="dxa"/>
            <w:vAlign w:val="bottom"/>
            <w:gridSpan w:val="2"/>
          </w:tcPr>
          <w:p>
            <w:pPr>
              <w:jc w:val="center"/>
              <w:ind w:right="180"/>
              <w:spacing w:after="0" w:line="136" w:lineRule="exact"/>
              <w:rPr>
                <w:sz w:val="20"/>
                <w:szCs w:val="20"/>
                <w:color w:val="auto"/>
              </w:rPr>
            </w:pPr>
            <w:r>
              <w:rPr>
                <w:rFonts w:ascii="Times New Roman" w:cs="Times New Roman" w:eastAsia="Times New Roman" w:hAnsi="Times New Roman"/>
                <w:sz w:val="14"/>
                <w:szCs w:val="14"/>
                <w:b w:val="1"/>
                <w:bCs w:val="1"/>
                <w:color w:val="auto"/>
              </w:rPr>
              <w:t>EFT</w:t>
            </w:r>
          </w:p>
        </w:tc>
        <w:tc>
          <w:tcPr>
            <w:tcW w:w="240" w:type="dxa"/>
            <w:vAlign w:val="bottom"/>
          </w:tcPr>
          <w:p>
            <w:pPr>
              <w:spacing w:after="0"/>
              <w:rPr>
                <w:sz w:val="11"/>
                <w:szCs w:val="11"/>
                <w:color w:val="auto"/>
              </w:rPr>
            </w:pP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epay</w:t>
            </w:r>
          </w:p>
        </w:tc>
        <w:tc>
          <w:tcPr>
            <w:tcW w:w="180" w:type="dxa"/>
            <w:vAlign w:val="bottom"/>
          </w:tcPr>
          <w:p>
            <w:pPr>
              <w:spacing w:after="0"/>
              <w:rPr>
                <w:sz w:val="11"/>
                <w:szCs w:val="11"/>
                <w:color w:val="auto"/>
              </w:rPr>
            </w:pPr>
          </w:p>
        </w:tc>
        <w:tc>
          <w:tcPr>
            <w:tcW w:w="900" w:type="dxa"/>
            <w:vAlign w:val="bottom"/>
            <w:gridSpan w:val="2"/>
          </w:tcPr>
          <w:p>
            <w:pPr>
              <w:jc w:val="center"/>
              <w:ind w:right="200"/>
              <w:spacing w:after="0" w:line="136" w:lineRule="exact"/>
              <w:rPr>
                <w:sz w:val="20"/>
                <w:szCs w:val="20"/>
                <w:color w:val="auto"/>
              </w:rPr>
            </w:pPr>
            <w:r>
              <w:rPr>
                <w:rFonts w:ascii="Times New Roman" w:cs="Times New Roman" w:eastAsia="Times New Roman" w:hAnsi="Times New Roman"/>
                <w:sz w:val="14"/>
                <w:szCs w:val="14"/>
                <w:b w:val="1"/>
                <w:bCs w:val="1"/>
                <w:color w:val="auto"/>
              </w:rPr>
              <w:t>Money</w:t>
            </w:r>
          </w:p>
        </w:tc>
        <w:tc>
          <w:tcPr>
            <w:tcW w:w="240" w:type="dxa"/>
            <w:vAlign w:val="bottom"/>
          </w:tcPr>
          <w:p>
            <w:pPr>
              <w:spacing w:after="0"/>
              <w:rPr>
                <w:sz w:val="11"/>
                <w:szCs w:val="11"/>
                <w:color w:val="auto"/>
              </w:rPr>
            </w:pPr>
          </w:p>
        </w:tc>
        <w:tc>
          <w:tcPr>
            <w:tcW w:w="8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7"/>
        </w:trPr>
        <w:tc>
          <w:tcPr>
            <w:tcW w:w="26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2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2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2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24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60" w:type="dxa"/>
            <w:vAlign w:val="bottom"/>
            <w:tcBorders>
              <w:top w:val="single" w:sz="8" w:color="auto"/>
            </w:tcBorders>
            <w:shd w:val="clear" w:color="auto" w:fill="CCEEFF"/>
          </w:tcPr>
          <w:p>
            <w:pPr>
              <w:ind w:left="40"/>
              <w:spacing w:after="0" w:line="186" w:lineRule="exact"/>
              <w:rPr>
                <w:sz w:val="20"/>
                <w:szCs w:val="20"/>
                <w:color w:val="auto"/>
              </w:rPr>
            </w:pPr>
            <w:r>
              <w:rPr>
                <w:rFonts w:ascii="Times New Roman" w:cs="Times New Roman" w:eastAsia="Times New Roman" w:hAnsi="Times New Roman"/>
                <w:sz w:val="18"/>
                <w:szCs w:val="18"/>
                <w:color w:val="auto"/>
              </w:rPr>
              <w:t>Europe</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149.5</w:t>
            </w: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173.3</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177.3</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6"/>
              <w:spacing w:after="0" w:line="186"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500.1</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147.1</w:t>
            </w: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6"/>
              <w:spacing w:after="0" w:line="186"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166.6</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161.2</w:t>
            </w: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gridSpan w:val="2"/>
            <w:shd w:val="clear" w:color="auto" w:fill="CCEEFF"/>
          </w:tcPr>
          <w:p>
            <w:pPr>
              <w:jc w:val="right"/>
              <w:ind w:right="60"/>
              <w:spacing w:after="0" w:line="186" w:lineRule="exact"/>
              <w:rPr>
                <w:sz w:val="20"/>
                <w:szCs w:val="20"/>
                <w:color w:val="auto"/>
              </w:rPr>
            </w:pPr>
            <w:r>
              <w:rPr>
                <w:rFonts w:ascii="Times New Roman" w:cs="Times New Roman" w:eastAsia="Times New Roman" w:hAnsi="Times New Roman"/>
                <w:sz w:val="18"/>
                <w:szCs w:val="18"/>
                <w:color w:val="auto"/>
              </w:rPr>
              <w:t>474.9</w:t>
            </w:r>
          </w:p>
        </w:tc>
        <w:tc>
          <w:tcPr>
            <w:tcW w:w="0" w:type="dxa"/>
            <w:vAlign w:val="bottom"/>
          </w:tcPr>
          <w:p>
            <w:pPr>
              <w:spacing w:after="0"/>
              <w:rPr>
                <w:sz w:val="1"/>
                <w:szCs w:val="1"/>
                <w:color w:val="auto"/>
              </w:rPr>
            </w:pPr>
          </w:p>
        </w:tc>
      </w:tr>
      <w:tr>
        <w:trPr>
          <w:trHeight w:val="179"/>
        </w:trPr>
        <w:tc>
          <w:tcPr>
            <w:tcW w:w="2660" w:type="dxa"/>
            <w:vAlign w:val="bottom"/>
            <w:tcBorders>
              <w:top w:val="single" w:sz="8" w:color="CCEEFF"/>
            </w:tcBorders>
            <w:gridSpan w:val="2"/>
          </w:tcPr>
          <w:p>
            <w:pPr>
              <w:ind w:left="40"/>
              <w:spacing w:after="0" w:line="179" w:lineRule="exact"/>
              <w:rPr>
                <w:sz w:val="20"/>
                <w:szCs w:val="20"/>
                <w:color w:val="auto"/>
              </w:rPr>
            </w:pPr>
            <w:r>
              <w:rPr>
                <w:rFonts w:ascii="Times New Roman" w:cs="Times New Roman" w:eastAsia="Times New Roman" w:hAnsi="Times New Roman"/>
                <w:sz w:val="18"/>
                <w:szCs w:val="18"/>
                <w:color w:val="auto"/>
              </w:rPr>
              <w:t>North America</w:t>
            </w:r>
          </w:p>
        </w:tc>
        <w:tc>
          <w:tcPr>
            <w:tcW w:w="1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18.8</w:t>
            </w:r>
          </w:p>
        </w:tc>
        <w:tc>
          <w:tcPr>
            <w:tcW w:w="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44.2</w:t>
            </w: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190.8</w:t>
            </w:r>
          </w:p>
        </w:tc>
        <w:tc>
          <w:tcPr>
            <w:tcW w:w="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253.8</w:t>
            </w:r>
          </w:p>
        </w:tc>
        <w:tc>
          <w:tcPr>
            <w:tcW w:w="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17.8</w:t>
            </w:r>
          </w:p>
        </w:tc>
        <w:tc>
          <w:tcPr>
            <w:tcW w:w="6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44.3</w:t>
            </w:r>
          </w:p>
        </w:tc>
        <w:tc>
          <w:tcPr>
            <w:tcW w:w="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175.7</w:t>
            </w:r>
          </w:p>
        </w:tc>
        <w:tc>
          <w:tcPr>
            <w:tcW w:w="6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237.8</w:t>
            </w:r>
          </w:p>
        </w:tc>
        <w:tc>
          <w:tcPr>
            <w:tcW w:w="60" w:type="dxa"/>
            <w:vAlign w:val="bottom"/>
            <w:tcBorders>
              <w:top w:val="single" w:sz="8" w:color="BBBBBB"/>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16"/>
        </w:trPr>
        <w:tc>
          <w:tcPr>
            <w:tcW w:w="2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0"/>
        </w:trPr>
        <w:tc>
          <w:tcPr>
            <w:tcW w:w="2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857.0</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4415790</wp:posOffset>
            </wp:positionH>
            <wp:positionV relativeFrom="paragraph">
              <wp:posOffset>-320675</wp:posOffset>
            </wp:positionV>
            <wp:extent cx="85725" cy="336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336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-867410</wp:posOffset>
            </wp:positionV>
            <wp:extent cx="34290" cy="12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1270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-867410</wp:posOffset>
            </wp:positionV>
            <wp:extent cx="34290" cy="12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1270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-867410</wp:posOffset>
            </wp:positionV>
            <wp:extent cx="34290" cy="12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1270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effective income tax rate was 15.6% and 37.9% for the three months ended March 31, 2025 and 2024 respectively. The Company's effective income tax rate for the three months ended March 31, 2025 was lower than the applicable statutory income tax rate of 21% mainly as a result of our U.S. deferred tax activity on the repurchase of Convertible Notes. The Company's effective income tax rate for the three months ended March 31, 2024 was higher than the applicable statutory income tax rate of 21% as a result of the Company's U.S. deferred tax activity on foreign exchange positions and certain of its foreign earnings being subject to higher local statutory tax rates. The Organization for Economic Co-operation and Development (“OECD”) Pillar 2 guidelines published to date include transition and safe harbor rules around the implementation of the Pillar 2 global minimum tax of 15%. Based on current enacted legislation effective in 2025, the Company does not expect a material impact in 2025. The Company is monitoring developments and evaluating the impacts these new rules will have on its future income tax provision and effective income tax 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had $73.3 million of stand-by letters of credit/bank guarantees issued on the Company's behalf, of which $1.6 million are collateralized by cash deposits held by the respective issuing banks.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certain circumstances, the Company grants guarantees in support of obligations of subsidiaries. As of March 31, 2025, the Company had granted off balance sheet guarantees for cash in various ATM networks amounting to $10.8 million over the terms of the cash supply agreements and performance guarantees amounting to approximately $35.5 million over the terms of agreements with the Company's customers.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The Company's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1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connection with contracts with financial institutions in the EFT Processing Segment, the Company is responsible for managing the damage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to ATMs and theft of ATM network cash. As of March 31, 2025, the balance of such cash used in the Company's ATM networks for which the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Company was responsible was approximately $483.7 million. The Company and suppliers maintain insurance policies to mitigate this exposure;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connection with contracts with financial institutions in the EFT Processing Segment, the Company is responsible for losses suffered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Company's customers and other parties as a result of the breach of the Company's computer systems, including in particular, losses arising from</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fraudulent transactions made using information stolen through the Company's processing systems. The Company maintains insurance policies to</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mitigate this exposure;</w:t>
      </w:r>
    </w:p>
    <w:p>
      <w:pPr>
        <w:spacing w:after="0" w:line="9" w:lineRule="exact"/>
        <w:rPr>
          <w:sz w:val="20"/>
          <w:szCs w:val="20"/>
          <w:color w:val="auto"/>
        </w:rPr>
      </w:pPr>
    </w:p>
    <w:p>
      <w:pPr>
        <w:jc w:val="both"/>
        <w:ind w:left="540"/>
        <w:spacing w:after="0" w:line="250" w:lineRule="auto"/>
        <w:rPr>
          <w:sz w:val="20"/>
          <w:szCs w:val="20"/>
          <w:color w:val="auto"/>
        </w:rPr>
      </w:pPr>
      <w:r>
        <w:rPr>
          <w:rFonts w:ascii="Times New Roman" w:cs="Times New Roman" w:eastAsia="Times New Roman" w:hAnsi="Times New Roman"/>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-371475</wp:posOffset>
            </wp:positionV>
            <wp:extent cx="5969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Times New Roman" w:cs="Times New Roman" w:eastAsia="Times New Roman" w:hAnsi="Times New Roman"/>
          <w:sz w:val="18"/>
          <w:szCs w:val="18"/>
          <w:color w:val="auto"/>
        </w:rPr>
        <w:t>The Company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-371475</wp:posOffset>
            </wp:positionV>
            <wp:extent cx="5969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Times New Roman" w:cs="Times New Roman" w:eastAsia="Times New Roman" w:hAnsi="Times New Roman"/>
          <w:sz w:val="18"/>
          <w:szCs w:val="18"/>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the Company, the Company has agreed to indemnify the seller against third party claims made against the seller relating to the operating unit or asset and arising after the closing of the transaction, and (ii) in connection with dispositions made by the Company, the Company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-782320</wp:posOffset>
            </wp:positionV>
            <wp:extent cx="5969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5" w:lineRule="auto"/>
        <w:rPr>
          <w:sz w:val="20"/>
          <w:szCs w:val="20"/>
          <w:color w:val="auto"/>
        </w:rPr>
      </w:pPr>
      <w:r>
        <w:rPr>
          <w:rFonts w:ascii="Times New Roman" w:cs="Times New Roman" w:eastAsia="Times New Roman" w:hAnsi="Times New Roman"/>
          <w:sz w:val="18"/>
          <w:szCs w:val="18"/>
          <w:color w:val="auto"/>
        </w:rPr>
        <w:t>The Company has entered into agreements with certain third parties, including banks that provide fiduciary and other services to the Company or the Company's benefit plans. Under such agreements, the Company has agreed to indemnify such service providers for third-party claims relating to carrying out their respective duties under such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-379730</wp:posOffset>
            </wp:positionV>
            <wp:extent cx="5969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also required to meet minimum capitalization and cash requirements of various regulatory authorities in the jurisdictions in which the Company has operations. The Company has obtained surety bonds in compliance with money transfer licensing requirements of the applicable governmental authorities.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date, the Company is not aware of any significant claims made by the indemnified parties or third parties to guarantee agreements with the Company and, accordingly, no liabilities were recorded as of March 31, 2025 or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LITIGATION AND CONTINGENCIES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From time to time, the Company is a party to legal or regulatory proceedings arising in the ordinary course of the Company's business. Currently, there are no legal proceedings or regulatory findings that management believes, either individually or in the aggregate, would have a material adverse effect on the Company's consolidated financial condition or results of operations.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200" w:lineRule="exact"/>
        <w:rPr>
          <w:sz w:val="20"/>
          <w:szCs w:val="20"/>
          <w:color w:val="auto"/>
        </w:rPr>
      </w:pP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July 2024, the Company received an adverse judicial decision related to withholding taxes on certain agency relationships in Italy within the Money Transfer Segment, which the Company has appealed. In January 2025, the Company received a positive judicial decision in the same court related to the same issue but corresponding to a different taxable period. The Company completed an assessment and concluded that it is reasonably possible that a liability has been incurred, but not probable. The principal amount of the agent-based withholding tax could be approximately $16.5 million for all open periods.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2025, the Company was notified of a fire, resulting in the loss of Malaysian Ringgit notes in the custody of a third-party service provider. The third-party service provider had the risk of loss based on the terms of the contractual arrangement. The bank note balance of approximately $10 million was moved to other receivables as of March 31, 2025. At this time the Company has determined that it is probable the bank notes will be recovered from the third-party service provider.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(17) 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enters into operating leases for ATM sites, office spaces, retail stores and equipment. The Company's finance leases are immaterial. Right of use (ROU) assets and lease liabilities are recognized at the lease commencement date based on the present value of the lease payments over the lease terms.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present value of lease payments is determined using the incremental borrowing rate based on information available at the lease commencement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lease expense for these leases on a straight-line basis over the lease term.</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Most leases include an option to renew, with renewal terms that can extend the lease terms. The exercise of lease renewal options is at the Company's sole discretion. The depreciable life of assets and leasehold improvements are limited by the expected lease terms. The Company also has a unilateral termination right for most of the ATM site leases. Since the Company is not reasonably certain not to exercise termination options, payments for ATM site leases with termination options subject to the short-term lease exemption are expensed in the period incurred and corresponding leases are excluded from the right of use lease asset and lease liability balances. Certain of the Company's lease agreements include variable rental payments based on revenues generated from the use of the leased location and certain leases include rental payments adjusted periodically for inflation. Variable lease payments are recognized when the event, activity or circumstance in the lease agreement on which those payments are assessed occurs and are excluded from the right of use assets and lease liabilities balances. The lease agreements do not contain any material residual value guarantees or material restrictive covenants.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minimum lease payments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non-cancelable operating leases (with initial lease terms in excess of one year) as of March 31, 2025 are: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0" w:type="dxa"/>
            <w:vAlign w:val="bottom"/>
          </w:tcPr>
          <w:p>
            <w:pPr>
              <w:spacing w:after="0"/>
              <w:rPr>
                <w:sz w:val="1"/>
                <w:szCs w:val="1"/>
                <w:color w:val="auto"/>
              </w:rPr>
            </w:pPr>
          </w:p>
        </w:tc>
      </w:tr>
      <w:tr>
        <w:trPr>
          <w:trHeight w:val="195"/>
        </w:trPr>
        <w:tc>
          <w:tcPr>
            <w:tcW w:w="98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9"/>
        </w:trPr>
        <w:tc>
          <w:tcPr>
            <w:tcW w:w="98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Maturity of Lease Liabilities </w:t>
            </w: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2"/>
                <w:szCs w:val="12"/>
                <w:color w:val="auto"/>
              </w:rPr>
            </w:pPr>
          </w:p>
        </w:tc>
        <w:tc>
          <w:tcPr>
            <w:tcW w:w="1240" w:type="dxa"/>
            <w:vAlign w:val="bottom"/>
          </w:tcPr>
          <w:p>
            <w:pPr>
              <w:jc w:val="right"/>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195"/>
        </w:trPr>
        <w:tc>
          <w:tcPr>
            <w:tcW w:w="9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215"/>
        </w:trPr>
        <w:tc>
          <w:tcPr>
            <w:tcW w:w="9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Remainder of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16"/>
        </w:trPr>
        <w:tc>
          <w:tcPr>
            <w:tcW w:w="9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6"/>
        </w:trPr>
        <w:tc>
          <w:tcPr>
            <w:tcW w:w="9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8"/>
                <w:szCs w:val="18"/>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98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0"/>
        </w:trPr>
        <w:tc>
          <w:tcPr>
            <w:tcW w:w="9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157.2</w:t>
            </w:r>
          </w:p>
        </w:tc>
        <w:tc>
          <w:tcPr>
            <w:tcW w:w="0" w:type="dxa"/>
            <w:vAlign w:val="bottom"/>
          </w:tcPr>
          <w:p>
            <w:pPr>
              <w:spacing w:after="0"/>
              <w:rPr>
                <w:sz w:val="1"/>
                <w:szCs w:val="1"/>
                <w:color w:val="auto"/>
              </w:rPr>
            </w:pPr>
          </w:p>
        </w:tc>
      </w:tr>
      <w:tr>
        <w:trPr>
          <w:trHeight w:val="216"/>
        </w:trPr>
        <w:tc>
          <w:tcPr>
            <w:tcW w:w="98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0"/>
        </w:trPr>
        <w:tc>
          <w:tcPr>
            <w:tcW w:w="9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540" w:right="2580" w:hanging="5208"/>
        <w:spacing w:after="0" w:line="548" w:lineRule="auto"/>
        <w:tabs>
          <w:tab w:leader="none" w:pos="61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payments reflect the Company's current fixed obligations under the operating lease agreements.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Lease expense recognized in the Consolidated Statements of Income is summarized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Lease Expense</w:t>
            </w:r>
          </w:p>
        </w:tc>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6"/>
        </w:trPr>
        <w:tc>
          <w:tcPr>
            <w:tcW w:w="3260" w:type="dxa"/>
            <w:vAlign w:val="bottom"/>
            <w:vMerge w:val="continue"/>
          </w:tcPr>
          <w:p>
            <w:pPr>
              <w:spacing w:after="0"/>
              <w:rPr>
                <w:sz w:val="12"/>
                <w:szCs w:val="12"/>
                <w:color w:val="auto"/>
              </w:rPr>
            </w:pPr>
          </w:p>
        </w:tc>
        <w:tc>
          <w:tcPr>
            <w:tcW w:w="5080" w:type="dxa"/>
            <w:vAlign w:val="bottom"/>
            <w:vMerge w:val="restart"/>
          </w:tcPr>
          <w:p>
            <w:pPr>
              <w:jc w:val="center"/>
              <w:ind w:left="256"/>
              <w:spacing w:after="0"/>
              <w:rPr>
                <w:sz w:val="20"/>
                <w:szCs w:val="20"/>
                <w:color w:val="auto"/>
              </w:rPr>
            </w:pPr>
            <w:r>
              <w:rPr>
                <w:rFonts w:ascii="Times New Roman" w:cs="Times New Roman" w:eastAsia="Times New Roman" w:hAnsi="Times New Roman"/>
                <w:sz w:val="14"/>
                <w:szCs w:val="14"/>
                <w:b w:val="1"/>
                <w:bCs w:val="1"/>
                <w:color w:val="auto"/>
              </w:rPr>
              <w:t>Income Statement Classification</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89"/>
        </w:trPr>
        <w:tc>
          <w:tcPr>
            <w:tcW w:w="3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expense</w:t>
            </w:r>
          </w:p>
        </w:tc>
        <w:tc>
          <w:tcPr>
            <w:tcW w:w="5200" w:type="dxa"/>
            <w:vAlign w:val="bottom"/>
            <w:gridSpan w:val="2"/>
            <w:shd w:val="clear" w:color="auto" w:fill="CCEEFF"/>
          </w:tcPr>
          <w:p>
            <w:pPr>
              <w:jc w:val="center"/>
              <w:ind w:left="156"/>
              <w:spacing w:after="0"/>
              <w:rPr>
                <w:sz w:val="20"/>
                <w:szCs w:val="20"/>
                <w:color w:val="auto"/>
              </w:rPr>
            </w:pPr>
            <w:r>
              <w:rPr>
                <w:rFonts w:ascii="Times New Roman" w:cs="Times New Roman" w:eastAsia="Times New Roman" w:hAnsi="Times New Roman"/>
                <w:sz w:val="18"/>
                <w:szCs w:val="18"/>
                <w:color w:val="auto"/>
              </w:rPr>
              <w:t>Selling, general and administrative and Direct operating costs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70"/>
        </w:trPr>
        <w:tc>
          <w:tcPr>
            <w:tcW w:w="3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Short-term and variable lease expense</w:t>
            </w:r>
          </w:p>
        </w:tc>
        <w:tc>
          <w:tcPr>
            <w:tcW w:w="5080" w:type="dxa"/>
            <w:vAlign w:val="bottom"/>
            <w:tcBorders>
              <w:bottom w:val="single" w:sz="8" w:color="auto"/>
            </w:tcBorders>
          </w:tcPr>
          <w:p>
            <w:pPr>
              <w:jc w:val="center"/>
              <w:ind w:left="276"/>
              <w:spacing w:after="0"/>
              <w:rPr>
                <w:sz w:val="20"/>
                <w:szCs w:val="20"/>
                <w:color w:val="auto"/>
              </w:rPr>
            </w:pPr>
            <w:r>
              <w:rPr>
                <w:rFonts w:ascii="Times New Roman" w:cs="Times New Roman" w:eastAsia="Times New Roman" w:hAnsi="Times New Roman"/>
                <w:sz w:val="18"/>
                <w:szCs w:val="18"/>
                <w:color w:val="auto"/>
              </w:rPr>
              <w:t>Selling, general and administrative and Direct operating costs</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3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lease expense</w:t>
            </w:r>
          </w:p>
        </w:tc>
        <w:tc>
          <w:tcPr>
            <w:tcW w:w="50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55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Other information about lease amounts recognized in the consolidated financial statements is summarized as follows:</w:t>
      </w:r>
    </w:p>
    <w:p>
      <w:pPr>
        <w:spacing w:after="0" w:line="3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Lease Term and Discount Rate of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Weighted- average remaining lease term (years)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cash flow and non-cash information related to leases.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of March 31,</w:t>
      </w:r>
    </w:p>
    <w:p>
      <w:pPr>
        <w:spacing w:after="0" w:line="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4.7</w:t>
      </w:r>
    </w:p>
    <w:p>
      <w:pPr>
        <w:spacing w:after="0" w:line="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3.3%</w:t>
      </w:r>
    </w:p>
    <w:p>
      <w:pPr>
        <w:spacing w:after="0" w:line="834" w:lineRule="exact"/>
        <w:rPr>
          <w:sz w:val="20"/>
          <w:szCs w:val="20"/>
          <w:color w:val="auto"/>
        </w:rPr>
      </w:pPr>
    </w:p>
    <w:p>
      <w:pPr>
        <w:sectPr>
          <w:pgSz w:w="11900" w:h="16838" w:orient="portrait"/>
          <w:cols w:equalWidth="0" w:num="2">
            <w:col w:w="9380" w:space="720"/>
            <w:col w:w="1140"/>
          </w:cols>
          <w:pgMar w:left="320" w:top="553" w:right="339" w:bottom="1440" w:gutter="0" w:footer="0" w:header="0"/>
          <w:type w:val="continuous"/>
        </w:sectPr>
      </w:pP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62"/>
        </w:trPr>
        <w:tc>
          <w:tcPr>
            <w:tcW w:w="83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Other Information </w:t>
            </w:r>
            <w:r>
              <w:rPr>
                <w:rFonts w:ascii="Times New Roman" w:cs="Times New Roman" w:eastAsia="Times New Roman" w:hAnsi="Times New Roman"/>
                <w:sz w:val="14"/>
                <w:szCs w:val="14"/>
                <w:i w:val="1"/>
                <w:iCs w:val="1"/>
                <w:color w:val="auto"/>
              </w:rPr>
              <w:t>(in millions)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95"/>
        </w:trPr>
        <w:tc>
          <w:tcPr>
            <w:tcW w:w="8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68"/>
        </w:trPr>
        <w:tc>
          <w:tcPr>
            <w:tcW w:w="8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Cash paid for amounts included in the measurement of lease liabilities </w:t>
            </w:r>
            <w:r>
              <w:rPr>
                <w:rFonts w:ascii="Times New Roman" w:cs="Times New Roman" w:eastAsia="Times New Roman" w:hAnsi="Times New Roman"/>
                <w:sz w:val="18"/>
                <w:szCs w:val="18"/>
                <w:i w:val="1"/>
                <w:iCs w:val="1"/>
                <w:color w:val="auto"/>
              </w:rPr>
              <w:t>(a)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43"/>
        </w:trPr>
        <w:tc>
          <w:tcPr>
            <w:tcW w:w="8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Supplemental non-cash information on lease liabilities arising from obtaining ROU assets: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ROU assets obtained in exchange for new operating lease liabilities</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5540" w:right="2460" w:hanging="5127"/>
        <w:spacing w:after="0" w:line="550" w:lineRule="auto"/>
        <w:tabs>
          <w:tab w:leader="none" w:pos="674"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Included in Net cash provided by operating activities on the Company's Consolidated Statements of Cash Flows. </w:t>
      </w: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"Euronet," the "Company," "we" and "us" as used herein refer to Euronet Worldwide, Inc. and its subsidiaries.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report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our business plans and financing plans and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trends affecting our business plans and financing plans and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trends affecting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the adequacy of capital to meet our capital requirements and expansion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the assumptions underlying our business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our ability to repay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our estimated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the potential outcome of loss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our expectations regarding the closing of any pending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government regulatory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the expected effects of changes in laws or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technological advances;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projected costs and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we believe that the expectations reflected in these forward-looking statements are reasonable, we can give no assurance that these expectations will prove to be correct.</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Investors are cautioned that any forward-looking statements are not guarantees of future performance and involve risks and uncertainties. Euronet's actual results may vary materially from those anticipated in such forward-looking statements as a result of a number of factors, including: conditions in world financial markets and general economic conditions, including impacts from pandemics; inflation; tariffs; the war in the Ukraine and the related economic sanctions; military conflicts in the Middle East; our ability to successfully integrate any acquired operations; economic conditions in specific countries and regions;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anti-bribery, consumer and data protection and privacy; changes in laws and regulations affecting our business, including tax and immigration laws and any laws regulating payments, including dynamic currency conversion transactions; changes in our relationships with, or in fees charged by, our business partners; competition; the outcome of claims and other loss contingencies affecting Euronet; the cost of borrowing (including fluctuations in interest rates), availability of credit and terms of and compliance with debt covenants; and renewal of sources of funding as they expire and the availability of replacement funding. These risks and other risks are described in the Company's filings with the Securities and Exchange Commission, including our Annual Report on Form 10-K, Quarterly Reports on Form 10-Q and Current Reports on Form 8-K. Copies of these filings may be obtained via the SEC's Edgar website or by contacting the Company. Any forward-looking statements made in this Form 10-Q speak only as of the date of this report. Except as required by law, we do not intend, and do not undertake any obligation, to update any forward-looking statements to reflect future events or circumstances after the date of such statements.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 GEOGRAPHIC LOCATIONS AND PRINCIPAL PRODUCTS AND SERVICES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Euronet is a leading global financial technology solutions and payments provider. We offer payment and transaction processing and distribution solutions to financial institutions, retailers, service providers and individual consumers. Our primary product offerings include comprehensive ATM, point-of-sale ("POS"), card outsourcing, card issuing and merchant acquiring services, software solutions, electronic distribution of prepaid mobile airtime, managed services and other electronic payment products, foreign currency exchange services and global money transfer services. We operate in the following three segments:</w:t>
      </w:r>
    </w:p>
    <w:p>
      <w:pPr>
        <w:spacing w:after="0" w:line="183" w:lineRule="exact"/>
        <w:rPr>
          <w:sz w:val="20"/>
          <w:szCs w:val="20"/>
          <w:color w:val="auto"/>
        </w:rPr>
      </w:pPr>
    </w:p>
    <w:p>
      <w:pPr>
        <w:jc w:val="both"/>
        <w:ind w:firstLine="8"/>
        <w:spacing w:after="0" w:line="261" w:lineRule="auto"/>
        <w:tabs>
          <w:tab w:leader="none" w:pos="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EFT Processing Segment meets the needs of financial institutions and consumers through Euronet-owned and outsourced ATMs and POS terminals combined with value added and transaction processing services. We deploy and operate our own ATMs, providing ATM services for financial institutions and providing electronic payment processing solutions. EFT offers a suite of integrated electronic financial transaction software solutions for electronic payment and transaction delivery systems. Transactions processed span a network of 55,512 installed ATMs and approximately 1,214,000 POS terminals.</w:t>
      </w:r>
    </w:p>
    <w:p>
      <w:pPr>
        <w:spacing w:after="0" w:line="179" w:lineRule="exact"/>
        <w:rPr>
          <w:rFonts w:ascii="Times New Roman" w:cs="Times New Roman" w:eastAsia="Times New Roman" w:hAnsi="Times New Roman"/>
          <w:sz w:val="18"/>
          <w:szCs w:val="18"/>
          <w:color w:val="auto"/>
        </w:rPr>
      </w:pPr>
    </w:p>
    <w:p>
      <w:pPr>
        <w:jc w:val="both"/>
        <w:ind w:firstLine="8"/>
        <w:spacing w:after="0" w:line="255" w:lineRule="auto"/>
        <w:tabs>
          <w:tab w:leader="none" w:pos="25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epay Segment provides retail payment solutions and delivers innovative connections between the digital content of the world’s leading brands and consumers. epay has one of the largest retail networks across Europe and Asia for the distribution of physical and digital third-party content, including branded payments, mobile, and alternative payments, partnering with 1,000+ of the world’s leading brands. In addition, through our own products, we have leveraged our technology to solve business challenges, delivering scalable solutions to drive efficiency and effectiveness. Our comprehensive range of consumer products simplifies transactions and provides financial convenience across a wide range of branded payments. epay operates in 64 countries. We operate a network that includes approximately 735,000 POS terminals that enable electronic processing of prepaid mobile airtime "top-up" services and other digital media content.</w:t>
      </w:r>
    </w:p>
    <w:p>
      <w:pPr>
        <w:spacing w:after="0" w:line="188" w:lineRule="exact"/>
        <w:rPr>
          <w:rFonts w:ascii="Times New Roman" w:cs="Times New Roman" w:eastAsia="Times New Roman" w:hAnsi="Times New Roman"/>
          <w:sz w:val="18"/>
          <w:szCs w:val="18"/>
          <w:color w:val="auto"/>
        </w:rPr>
      </w:pPr>
    </w:p>
    <w:p>
      <w:pPr>
        <w:jc w:val="both"/>
        <w:ind w:firstLine="8"/>
        <w:spacing w:after="0" w:line="254" w:lineRule="auto"/>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Money Transfer Segment provides global money transfers and currency exchange information in retail stores, apps, and websites through Ria Money Transfer, Xe and the Dandelion cross-border real-time payments network. Euronet’s Money Transfer segment offers real-time, cross-border payments to consumers and businesses across 199 countries and territories, enabling banks, fintechs and big tech platforms to integrate an international payments solution into their own platforms. Ria Money Transfer offers real-time international money transfers with a special focus on emerging markets. In addition, Ria offers safe and affordable money transfers through a global network of cash locations and online, serving over 20 million customers annually. Xe offers web and app-based currency information and industry-leading consumer and business cross-border money transfer services. Customers can send money, buy property overseas, and execute other international payments via the Xe website or app. Dandelion offers consumer and business transaction processing and fulfillment with alternative payout channels like bank accounts, cash pick-up and mobile wallets. Dandelion powers cross-border payments for Xe and Ria, as well as third party banks, fintechs, and big tech platforms.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six processing centers in Europe, five in Asia Pacific and two in North America. We have 35 principal offices in Europe, 14 in Asia Pacific, 10 in North America, three in the Middle East, two in South America and three in Africa. Our executive offices are located in Leawood, Kansas, USA. With approximately 74% of our revenues denominated in currencies other than the U.S. dollar, any significant changes in foreign currency exchange rates will likely have a significant impact on our results of operations (for a further discussion, see Item 1A - Risk Factors in our Annual Report on Form 10-K for the year ended December 31,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REVENUES AND CASH FLOW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Euronet earns revenues and income primarily from ATM management fees, transaction fees, commissions and foreign currency exchange margin. Each operating segment’s sources of revenues are described below.</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EFT Processing Segment </w:t>
      </w:r>
      <w:r>
        <w:rPr>
          <w:rFonts w:ascii="Times New Roman" w:cs="Times New Roman" w:eastAsia="Times New Roman" w:hAnsi="Times New Roman"/>
          <w:sz w:val="18"/>
          <w:szCs w:val="18"/>
          <w:color w:val="auto"/>
        </w:rPr>
        <w:t>— Revenues in the EFT Processing Segment, which represented approximately 25% of total consolidated revenues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2025 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domestic and international surcharge, foreign currency dispensing and other value added services such as advertising, prepaid telecommunication recharges, bill payment, and money transfers provided over ATMs. Revenues in this segment are also derived from cardless payment, banknote recycling, tax refund services, license fees, professional services and maintenance fees for proprietary application software and sales of related hardware.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5" w:name="page26"/>
    <w:bookmarkEnd w:id="25"/>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epay Segment </w:t>
      </w:r>
      <w:r>
        <w:rPr>
          <w:rFonts w:ascii="Times New Roman" w:cs="Times New Roman" w:eastAsia="Times New Roman" w:hAnsi="Times New Roman"/>
          <w:sz w:val="18"/>
          <w:szCs w:val="18"/>
          <w:color w:val="auto"/>
        </w:rPr>
        <w:t>— Revenues in the epay Segment, which represented approximately 29% of total consolidated revenues for the three months ended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2025 are primarily derived from commissions or processing fees received from mobile phone operators for the processing and distribution of prepaid mobile airtime and commissions earned from the distribution of other electronic content, vouchers, and physical gifts. The proportion of epay Segment revenues earned from the distribution of prepaid mobile phone time has decreased over time, and digital media content now produces approximately 71% of epay Segment revenues. Digital media content offered by this segment includes digital content such as music, games, and software, as well as other products including prepaid long distance calling card plans, prepaid Internet plans, prepaid debit cards, gift cards, vouchers, transport payments, lottery payments, bill payment, and money transfer.</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Money Transfer Segment </w:t>
      </w:r>
      <w:r>
        <w:rPr>
          <w:rFonts w:ascii="Times New Roman" w:cs="Times New Roman" w:eastAsia="Times New Roman" w:hAnsi="Times New Roman"/>
          <w:sz w:val="18"/>
          <w:szCs w:val="18"/>
          <w:color w:val="auto"/>
        </w:rPr>
        <w:t>— Revenues in the Money Transfer Segment, which represented approximately 46% of total consolidated revenues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2025,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Europe and Malaysia, Ria, and xe branded websites, along with a worldwide network of correspondent agents, consisting primarily of financial institutions in the transfer destination countries. Under the brand "Dandelion", Ria offers payment processing services to third party partners. The Dandelion cross-border payments platform provides financial institutions, fintechs such as digital wallets and banks, and enterprise software companies access to Euronet's money transfer network through an API connection. Sending and correspondent agents each earn fees for cash collection and distribution services, which are recognized as direct operating costs at the time of sale.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Corporate Services, Eliminations and Other </w:t>
      </w:r>
      <w:r>
        <w:rPr>
          <w:rFonts w:ascii="Times New Roman" w:cs="Times New Roman" w:eastAsia="Times New Roman" w:hAnsi="Times New Roman"/>
          <w:sz w:val="18"/>
          <w:szCs w:val="18"/>
          <w:color w:val="auto"/>
        </w:rPr>
        <w:t>— In addition to operating in our principal operating segments described above, our “Corporate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Opportunities and Challenges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global product markets in which we operate are large and fragmented, which poses both opportunities and challenges for our technology to disrupt new and existing competition. As an organization, our focus is on increasing our market presence through both physical (ATMs, POS terminals, Company stores and agent correspondents) and digital assets and providing new and improved products and services for customers through all of our channels, which may in turn drive an increase in the number of transactions on our networks. Each of these opportunities also presents us with challenges, including differentiating our portfolio of products and services in highly competitive markets, the successful development and implementation of our software products and access to financing for expansion.</w:t>
      </w:r>
    </w:p>
    <w:p>
      <w:pPr>
        <w:spacing w:after="0" w:line="174" w:lineRule="exact"/>
        <w:rPr>
          <w:sz w:val="20"/>
          <w:szCs w:val="20"/>
          <w:color w:val="auto"/>
        </w:rPr>
      </w:pPr>
    </w:p>
    <w:p>
      <w:pPr>
        <w:jc w:val="both"/>
        <w:ind w:firstLine="8"/>
        <w:spacing w:after="0" w:line="255" w:lineRule="auto"/>
        <w:tabs>
          <w:tab w:leader="none" w:pos="1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EFT Processing Segment opportunities include physical expansion into target markets, developing value-added products or services, increasing high value DCC and surcharge transactions and efficiently leveraging our portfolio of software solutions. Our opportunities are dependent on renewing and expanding our card acceptance, ATM, POS and merchant acquiring services, cash supply and other commercial agreements with customers and financial institutions. Operational challenges in the EFT Processing Segment include obtaining and maintaining the required licenses and sponsorship agreements in</w:t>
      </w:r>
    </w:p>
    <w:p>
      <w:pPr>
        <w:spacing w:after="0" w:line="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markets in which we operate and navigating frequently changing rules imposed by international card organizations, such as Visa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Mastercard</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that govern ATM interchange fees, direct access fees and other restrictions. Our profitability is dependent on the laws and regulations that govern DCC transactions, specifically in the E.U., as well as the laws and regulations of each country in which we operate. These laws and regulations may impact our cross-border and cross-currency transactions. The timing and amount of revenues in the EFT Processing Segment is uncertain and unpredictable due to inherent limitations in managing our estate of ATMs. Our ATM estate is dependent on contracts that cover large numbers of ATMs, and management is complicated by legal and regulatory considerations of local countries, as well as customers' decisions whether to outsource ATMs. Inflationary pressure may impact our business as travelers have less cash available to spend on vacations.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26" w:name="page27"/>
    <w:bookmarkEnd w:id="26"/>
    <w:p>
      <w:pPr>
        <w:jc w:val="both"/>
        <w:ind w:firstLine="8"/>
        <w:spacing w:after="0" w:line="254" w:lineRule="auto"/>
        <w:tabs>
          <w:tab w:leader="none" w:pos="1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epay Segment opportunities include renewing existing and negotiating new agreements in target markets in which we operate, primarily with digital content providers, mobile operators, financial institutions and retailers. The overall growth rate in the digital media content and prepaid mobile phone markets, shifts between prepaid and postpaid services, and our market share in those respective markets will have a significant impact on our ability to maintain and grow the epay Segment revenues. There is significant competition in these markets that may impact our ability to grow organically and increase the margin we earn and the margin that we pay to retailers. The profitability of the epay Segment is dependent on our ability to adapt to new technologies that may compete with POS distribution of digital content and prepaid mobile airtime, as well as our ability to leverage cross-selling opportunities with our EFT and Money Transfer Segments. The epay Segment opportunities may be impacted by government-imposed restrictions on retailers and/or content providers with whom we partner in countries in which we have a presence, and corresponding licensure requirements mandated upon such parties to legally operate in such countries.</w:t>
      </w:r>
    </w:p>
    <w:p>
      <w:pPr>
        <w:spacing w:after="0" w:line="188" w:lineRule="exact"/>
        <w:rPr>
          <w:rFonts w:ascii="Times New Roman" w:cs="Times New Roman" w:eastAsia="Times New Roman" w:hAnsi="Times New Roman"/>
          <w:sz w:val="18"/>
          <w:szCs w:val="18"/>
          <w:color w:val="auto"/>
        </w:rPr>
      </w:pPr>
    </w:p>
    <w:p>
      <w:pPr>
        <w:jc w:val="both"/>
        <w:ind w:firstLine="8"/>
        <w:spacing w:after="0" w:line="254" w:lineRule="auto"/>
        <w:tabs>
          <w:tab w:leader="none" w:pos="20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Money Transfer Segment opportunities include expanding our portfolio of products and services to new and existing customers around the globe, which in turn may lead to an increase in transaction volumes. The opportunities to expand are contingent on our ability to effectively leverage our network of bank accounts for digital money transfer delivery, maintaining our physical agent network, cross selling opportunities with our EFT and epay Segments and our penetration into high growth money transfer corridors. The challenges inherent in these opportunities include maintaining compliance with all regulatory requirements, maintaining all required licenses, ensuring the recoverability of funds advanced to agents and the continued reliance on the technologies required to operate our business. The volume of transactions processed on our network is impacted by shifts in our customer base, which can change rapidly with worker migration patterns and changes in unbanked populations across the globe. Foreign regulations that impact cross-border migration patterns and the money transfer markets can significantly impact our ability to grow the number of transactions on our network.</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 Recently, inflation has been increasing our cost structure in many parts of the world in which we operate.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SEGMENT SUMMARY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and operating income by segment for the three months ended March 31, 2025 and 2024 are summarized in the tables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Revenues for the Three Months Ended</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5"/>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5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200" w:type="dxa"/>
            <w:vAlign w:val="bottom"/>
          </w:tcPr>
          <w:p>
            <w:pPr>
              <w:spacing w:after="0"/>
              <w:rPr>
                <w:sz w:val="12"/>
                <w:szCs w:val="12"/>
                <w:color w:val="auto"/>
              </w:rPr>
            </w:pPr>
          </w:p>
        </w:tc>
        <w:tc>
          <w:tcPr>
            <w:tcW w:w="114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5"/>
        </w:trPr>
        <w:tc>
          <w:tcPr>
            <w:tcW w:w="55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41"/>
        </w:trPr>
        <w:tc>
          <w:tcPr>
            <w:tcW w:w="54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EFT Processing</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232.5</w:t>
            </w: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217.2</w:t>
            </w: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epay</w:t>
            </w:r>
          </w:p>
        </w:tc>
        <w:tc>
          <w:tcPr>
            <w:tcW w:w="200" w:type="dxa"/>
            <w:vAlign w:val="bottom"/>
          </w:tcPr>
          <w:p>
            <w:pPr>
              <w:spacing w:after="0"/>
              <w:rPr>
                <w:sz w:val="20"/>
                <w:szCs w:val="20"/>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257.1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10.3</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Transfer</w:t>
            </w: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417.7</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384.6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33.1</w:t>
            </w:r>
          </w:p>
        </w:tc>
        <w:tc>
          <w:tcPr>
            <w:tcW w:w="14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20"/>
                <w:szCs w:val="20"/>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917.6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858.9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58.7</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services, eliminations and other</w:t>
            </w: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915.5</w:t>
            </w:r>
          </w:p>
        </w:tc>
        <w:tc>
          <w:tcPr>
            <w:tcW w:w="100" w:type="dxa"/>
            <w:vAlign w:val="bottom"/>
          </w:tcPr>
          <w:p>
            <w:pPr>
              <w:spacing w:after="0"/>
              <w:rPr>
                <w:sz w:val="20"/>
                <w:szCs w:val="20"/>
                <w:color w:val="auto"/>
              </w:rPr>
            </w:pPr>
          </w:p>
        </w:tc>
        <w:tc>
          <w:tcPr>
            <w:tcW w:w="4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857.0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58.5</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gridSpan w:val="7"/>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Operating Income (Loss) for the Three</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Months Ended March 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5"/>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54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95"/>
        </w:trPr>
        <w:tc>
          <w:tcPr>
            <w:tcW w:w="5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5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EFT Processing</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w:t>
            </w:r>
          </w:p>
        </w:tc>
        <w:tc>
          <w:tcPr>
            <w:tcW w:w="14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epay</w:t>
            </w:r>
          </w:p>
        </w:tc>
        <w:tc>
          <w:tcPr>
            <w:tcW w:w="200" w:type="dxa"/>
            <w:vAlign w:val="bottom"/>
          </w:tcPr>
          <w:p>
            <w:pPr>
              <w:spacing w:after="0"/>
              <w:rPr>
                <w:sz w:val="23"/>
                <w:szCs w:val="23"/>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0.2</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Transfer</w:t>
            </w: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37.2</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Borders>
              <w:bottom w:val="single" w:sz="8" w:color="auto"/>
            </w:tcBorders>
            <w:shd w:val="clear" w:color="auto" w:fill="CCEEFF"/>
          </w:tcPr>
          <w:p>
            <w:pPr>
              <w:spacing w:after="0"/>
              <w:rPr>
                <w:sz w:val="23"/>
                <w:szCs w:val="23"/>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85.3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9.9</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services, eliminations and other</w:t>
            </w: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auto"/>
            </w:tcBorders>
            <w:shd w:val="clear" w:color="auto" w:fill="CCEEFF"/>
          </w:tcPr>
          <w:p>
            <w:pPr>
              <w:spacing w:after="0"/>
              <w:rPr>
                <w:sz w:val="23"/>
                <w:szCs w:val="23"/>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20"/>
                <w:szCs w:val="20"/>
                <w:color w:val="auto"/>
              </w:rPr>
            </w:pPr>
          </w:p>
        </w:tc>
        <w:tc>
          <w:tcPr>
            <w:tcW w:w="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11.2</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26</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Impact of changes in foreign currency exchange rates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revenues and local expenses are recorded in the functional currencies of our operating entities, and then are translated into U.S. dollars for reporting purposes; therefore, amounts we earn outside the U.S. are negatively impacted by a stronger U.S. dollar and positively impacted by a weaker U.S. dollar. If significant, in our discussion we will refer to the impact of fluctuations in foreign currency exchange rates in our comparison of operating segment results.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provide further perspective on the impact of foreign currency exchange rates, the following table shows the changes in values relative to the U.S. dollar of the currencies of the countries in which we have our most significant operations: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 Translation Rate</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9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9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Currency (dollars per foreign currency)</w:t>
            </w:r>
          </w:p>
        </w:tc>
        <w:tc>
          <w:tcPr>
            <w:tcW w:w="2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140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95"/>
        </w:trPr>
        <w:tc>
          <w:tcPr>
            <w:tcW w:w="3920" w:type="dxa"/>
            <w:vAlign w:val="bottom"/>
            <w:vMerge w:val="continue"/>
          </w:tcPr>
          <w:p>
            <w:pPr>
              <w:spacing w:after="0"/>
              <w:rPr>
                <w:sz w:val="16"/>
                <w:szCs w:val="16"/>
                <w:color w:val="auto"/>
              </w:rPr>
            </w:pPr>
          </w:p>
        </w:tc>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42"/>
        </w:trPr>
        <w:tc>
          <w:tcPr>
            <w:tcW w:w="39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Australian dollar</w:t>
            </w:r>
          </w:p>
        </w:tc>
        <w:tc>
          <w:tcPr>
            <w:tcW w:w="2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0.6271</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0.6521</w:t>
            </w:r>
          </w:p>
        </w:tc>
        <w:tc>
          <w:tcPr>
            <w:tcW w:w="10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British pounds sterling</w:t>
            </w:r>
          </w:p>
        </w:tc>
        <w:tc>
          <w:tcPr>
            <w:tcW w:w="32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1.2588</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1.2638</w:t>
            </w:r>
          </w:p>
        </w:tc>
        <w:tc>
          <w:tcPr>
            <w:tcW w:w="10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Canadian dollar</w:t>
            </w:r>
          </w:p>
        </w:tc>
        <w:tc>
          <w:tcPr>
            <w:tcW w:w="328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0.6973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0.7400</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euro</w:t>
            </w:r>
          </w:p>
        </w:tc>
        <w:tc>
          <w:tcPr>
            <w:tcW w:w="32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1.0516</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1.0800</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Hungarian forint</w:t>
            </w:r>
          </w:p>
        </w:tc>
        <w:tc>
          <w:tcPr>
            <w:tcW w:w="328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0.0026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0.0028</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Indian rupee</w:t>
            </w:r>
          </w:p>
        </w:tc>
        <w:tc>
          <w:tcPr>
            <w:tcW w:w="32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0.0115</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0.0120</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Malaysian ringgit</w:t>
            </w:r>
          </w:p>
        </w:tc>
        <w:tc>
          <w:tcPr>
            <w:tcW w:w="328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0.2249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0.2114</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New Zealand dollar</w:t>
            </w:r>
          </w:p>
        </w:tc>
        <w:tc>
          <w:tcPr>
            <w:tcW w:w="32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0.5673</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0.6056</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Polish zloty</w:t>
            </w:r>
          </w:p>
        </w:tc>
        <w:tc>
          <w:tcPr>
            <w:tcW w:w="328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0.2508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0.2509</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3920" w:type="dxa"/>
            <w:vAlign w:val="bottom"/>
          </w:tcPr>
          <w:p>
            <w:pPr>
              <w:spacing w:after="0"/>
              <w:rPr>
                <w:sz w:val="24"/>
                <w:szCs w:val="24"/>
                <w:color w:val="auto"/>
              </w:rPr>
            </w:pPr>
          </w:p>
        </w:tc>
        <w:tc>
          <w:tcPr>
            <w:tcW w:w="29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920" w:type="dxa"/>
            <w:vAlign w:val="bottom"/>
            <w:tcBorders>
              <w:bottom w:val="single" w:sz="8" w:color="auto"/>
            </w:tcBorders>
          </w:tcPr>
          <w:p>
            <w:pPr>
              <w:spacing w:after="0"/>
              <w:rPr>
                <w:sz w:val="8"/>
                <w:szCs w:val="8"/>
                <w:color w:val="auto"/>
              </w:rPr>
            </w:pPr>
          </w:p>
        </w:tc>
        <w:tc>
          <w:tcPr>
            <w:tcW w:w="29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COMPARISON OF OPERATING RESULTS FOR THE THREE MONTHS ENDED MARCH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EFT PROCESSING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our EFT Processing Segment for the three months ended March 31, 2025 and 2024:</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240" w:type="dxa"/>
            <w:vAlign w:val="bottom"/>
          </w:tcPr>
          <w:p>
            <w:pPr>
              <w:spacing w:after="0"/>
              <w:rPr>
                <w:sz w:val="12"/>
                <w:szCs w:val="12"/>
                <w:color w:val="auto"/>
              </w:rPr>
            </w:pPr>
          </w:p>
        </w:tc>
        <w:tc>
          <w:tcPr>
            <w:tcW w:w="110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314"/>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0" w:type="dxa"/>
            <w:vAlign w:val="bottom"/>
          </w:tcPr>
          <w:p>
            <w:pPr>
              <w:spacing w:after="0"/>
              <w:rPr>
                <w:sz w:val="1"/>
                <w:szCs w:val="1"/>
                <w:color w:val="auto"/>
              </w:rPr>
            </w:pPr>
          </w:p>
        </w:tc>
      </w:tr>
      <w:tr>
        <w:trPr>
          <w:trHeight w:val="195"/>
        </w:trPr>
        <w:tc>
          <w:tcPr>
            <w:tcW w:w="55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42"/>
        </w:trPr>
        <w:tc>
          <w:tcPr>
            <w:tcW w:w="54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232.5</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4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0.7</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52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Transactions processed (millions)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Active ATMs as of March 31,</w:t>
            </w:r>
          </w:p>
        </w:tc>
        <w:tc>
          <w:tcPr>
            <w:tcW w:w="24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51,875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49,290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2,585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Active ATMs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50,682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47,944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2,738</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EFT Processing Segment total revenues were $232.5 million for the three months ended March 31, 2025, an increase of $15.3 million or 7% compared to the same period in 2024. Revenue growth was primarily driven by market expansion, growth across most existing markets and the addition of access fees and interchange fees in certain markets. Additionally, this quarter experienced increased business volumes supported by a rise in tourism and the implementation of proactive pricing and rate adjustment strategies to maintain competitiveness</w:t>
      </w:r>
      <w:r>
        <w:rPr>
          <w:rFonts w:ascii="Times New Roman" w:cs="Times New Roman" w:eastAsia="Times New Roman" w:hAnsi="Times New Roman"/>
          <w:sz w:val="18"/>
          <w:szCs w:val="18"/>
          <w:color w:val="993300"/>
        </w:rPr>
        <w:t>.</w:t>
      </w:r>
      <w:r>
        <w:rPr>
          <w:rFonts w:ascii="Times New Roman" w:cs="Times New Roman" w:eastAsia="Times New Roman" w:hAnsi="Times New Roman"/>
          <w:sz w:val="18"/>
          <w:szCs w:val="18"/>
          <w:color w:val="auto"/>
        </w:rPr>
        <w:t xml:space="preserve"> Average monthly revenues per ATM increased to $1,529 for the three months ended March 31, 2025 compared to $1,510 for the same period in 2024. Fluctuations in foreign currency exchange rates decreased revenues by approximately $6.7 million for the three months ended March 31, 2025 compared to the same period in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operating costs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EFT Processing Segment direct operating costs were $136.5 million for the three months ended March 31, 2025, an increase of $5.4 million or 4% compared to the same period in 2024. Direct operating costs primarily consist of site rental fees, cash delivery costs, cash supply costs, maintenance, insurance, telecommunications, payment scheme processing fees, data center operations-related personnel, as well as the processing centers’ facility-related costs and other processing center-related expenses and commissions paid to retail merchants, banks and card processors. The primary drivers of the increase in direct costs were additional expenses required to support increased business volumes from both new and existing operations. Direct costs were also impacted by overall cost inflation in products and services.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0" w:name="page31"/>
    <w:bookmarkEnd w:id="30"/>
    <w:p>
      <w:pPr>
        <w:jc w:val="both"/>
        <w:spacing w:after="0" w:line="282" w:lineRule="auto"/>
        <w:rPr>
          <w:sz w:val="20"/>
          <w:szCs w:val="20"/>
          <w:color w:val="auto"/>
        </w:rPr>
      </w:pPr>
      <w:r>
        <w:rPr>
          <w:rFonts w:ascii="Times New Roman" w:cs="Times New Roman" w:eastAsia="Times New Roman" w:hAnsi="Times New Roman"/>
          <w:sz w:val="18"/>
          <w:szCs w:val="18"/>
          <w:color w:val="auto"/>
        </w:rPr>
        <w:t>Fluctuations in foreign currency exchange rates decreased direct operating costs by approximately $3.5 million for the three months ended March 31, 2025 compared to the same period in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which is calculated as revenues less direct operating costs, was $96.0 million for the three months ended March 31, 2025, an increase of $9.9 million or 11% compared to $86.1 million for the same period in 2024. Gross profit as a percentage of revenues (“gross margin”) increased to 41.3% for the three months ended March 31, 2025, compared to 39.6% for the same period in 2024. The increase in gross profit was primarily driven by market expansion, growth across most existing markets and the addition of access fees and interchange fees in certain markets.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Salaries and benefits expenses were $35.5 million for the three months ended March 31, 2025, an increase of $3.7 million or 12% compared to the same period in 2024. The increase is primarily due to an increase in headcount to support the growth of the business and salary increases due to inflationary pressures. Fluctuations in foreign currency exchange rates in the countries in which we employ our workforce decreased salaries by approximately $1.0 million for the three months ended March 31, 2025. As a percentage of revenues, salary expense increased to 15.3% for the three months ended March 31, 2025, compared to 14.6% for the same period in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$12.9 million for the three months ended March 31, 2025, an increase of $3.7 million or 40% compared to the same period in 2024. The increase is primarily due to a one-time operating tax benefit in the prior period. Further increases were noted in professional fees. As a percentage of revenues, these expenses increased to 5.5% for the three months ended March 31, 2025, compared to 4.2% for the same period in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expenses were $24.3 million for the three months ended March 31, 2025, an increase of $0.7 million or 3% compared to the same period in 2024. As a percentage of revenues, these expenses decreased to 10.5% for the three months ended March 31, 2025, compared to 10.9% for the same period in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EFT Processing Segment had operating income of $23.3 million for the three months ended March 31, 2025, an increase of $1.8 million or 8.4% compared to the same period in 2024. Operating income as a percentage of revenues (“operating margin”) increased to 10.0% for the three months ended March 31, 2025, compared to 9.9% for the same period in 2024. The increase in operating income was primarily driven by market expansion, growth across most existing markets, the addition of access fees and interchange fees in certain markets partially offset by a one-time operating tax benefit in the prior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EPAY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results of operations for the three months ended March 31, 2025 and 2024 for our epay Segment: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260" w:type="dxa"/>
            <w:vAlign w:val="bottom"/>
          </w:tcPr>
          <w:p>
            <w:pPr>
              <w:spacing w:after="0"/>
              <w:rPr>
                <w:sz w:val="12"/>
                <w:szCs w:val="12"/>
                <w:color w:val="auto"/>
              </w:rPr>
            </w:pPr>
          </w:p>
        </w:tc>
        <w:tc>
          <w:tcPr>
            <w:tcW w:w="108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Pr>
          <w:p>
            <w:pPr>
              <w:spacing w:after="0"/>
              <w:rPr>
                <w:sz w:val="12"/>
                <w:szCs w:val="12"/>
                <w:color w:val="auto"/>
              </w:rPr>
            </w:pPr>
          </w:p>
        </w:tc>
        <w:tc>
          <w:tcPr>
            <w:tcW w:w="14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5"/>
        </w:trPr>
        <w:tc>
          <w:tcPr>
            <w:tcW w:w="55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 Percent</w:t>
            </w:r>
          </w:p>
        </w:tc>
        <w:tc>
          <w:tcPr>
            <w:tcW w:w="0" w:type="dxa"/>
            <w:vAlign w:val="bottom"/>
          </w:tcPr>
          <w:p>
            <w:pPr>
              <w:spacing w:after="0"/>
              <w:rPr>
                <w:sz w:val="1"/>
                <w:szCs w:val="1"/>
                <w:color w:val="auto"/>
              </w:rPr>
            </w:pPr>
          </w:p>
        </w:tc>
      </w:tr>
      <w:tr>
        <w:trPr>
          <w:trHeight w:val="241"/>
        </w:trPr>
        <w:tc>
          <w:tcPr>
            <w:tcW w:w="54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267.4</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257.1</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195.1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6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240.6</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230.5</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552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0.2</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Transactions processed (millions)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epay Segment total revenues were $267.4 million for the three months ended March 31, 2025, an increase of $10.3 million or 4% compared to the same period in 2024. The increase in revenue for the three months ended March 31, 2025 was driven by continued payments, digital media and mobile growth. Fluctuations in foreign currency exchange rates decreased revenue by approximately $9.3 million for the three months ended March 31, 2025, compared to the same period in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Revenue per transaction decreased to $0.24 for the three months ended March 31, 2025, compared to $0.27 for the same period in 2024. </w:t>
      </w:r>
      <w:r>
        <w:rPr>
          <w:rFonts w:ascii="Times New Roman" w:cs="Times New Roman" w:eastAsia="Times New Roman" w:hAnsi="Times New Roman"/>
          <w:sz w:val="18"/>
          <w:szCs w:val="18"/>
          <w:color w:val="212529"/>
        </w:rPr>
        <w:t>The decrease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revenue per transaction was </w:t>
      </w:r>
      <w:r>
        <w:rPr>
          <w:rFonts w:ascii="Times New Roman" w:cs="Times New Roman" w:eastAsia="Times New Roman" w:hAnsi="Times New Roman"/>
          <w:sz w:val="18"/>
          <w:szCs w:val="18"/>
          <w:color w:val="000000"/>
        </w:rPr>
        <w:t>primarily due to the shift in the mix of transactions processed.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operating costs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epay Segment direct operating costs were $202.1 million for the three months ended March 31, 2025, an increase of $7.0 million or 4% compared to the same period in 2024. Direct operating costs primarily consist of the commissions paid to retail merchants for the distribution and sale of prepaid mobile airtime and other prepaid products, expenses incurred to operate POS terminals and the cost of vouchers sold and physical gifts fulfilled. Foreign currency exchange rates decreased direct operating costs by $7.0 million for the three months ended March 31, 2025 compared to the same period in 2024. The increase in direct operating costs was the result of the increase in business activity.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was $65.3 million for the three months ended March 31, 2025, an increase of $3.3 million or 5% compared to $62.0 million for the same period in 2024. Gross margin increased to 24.4% for the three months ended March 31, 2025, compared to 24.1% for the same period in 2024. The changes in gross profit and gross margin were primarily a result of a shift in the mix of transactions processed.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Salaries and benefits expenses were $24.1 million for both the three months ended March 31, 2025 and 2024. As a percentage of revenues, these expenses decreased to 9.0% for the three months ended March 31, 2025, compared to 9.4% for the same period in 2024. Fluctuations in foreign currency exchange rates in the countries in which we employ our workforce decreased salaries by approximately $0.8 million for the three months ended March 31, 2025 compared to the same period in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$12.8 million for the three months ended March 31, 2025, an increase of $3.2 million or 33% compared to the same period in 2024. As a percentage of revenues, these expenses increased to 4.8% for the three months ended March 31, 2025, compared to 3.7% for the same period in 2024. The increase in selling, general and administrative expenses was primarily due to the payment of $4.5 million to resolve a non-recurring, multi-year operating tax matter during the quarter.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expenses were $1.6 million for the three months ended March 31, 2025, a decrease of $0.1 million or 6% compared to the same period in 2024. Depreciation and amortization expense primarily represent depreciation of POS terminals we install in retail stores and amortization of acquired intangible assets. As a percentage of revenues, these expenses decreased to 0.6% for the three months ended March 31, 2025, compared to 0.7% for the same period in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epay Segment operating income was $26.8 million for the three months ended March 31, 2025, an increase of $0.2 million or 1% compared to the same period in 2024. Operating margin decreased to 10.0% for the three months ended March 31, 2025, compared to 10.3% for the same period in 2024. Operating income per transaction decreased to $0.02 for the three months ended March 31, 2025 compared to $0.03 for the same period in 2024. Operating income growth did not keep pace with revenue growth due to the payment of $4.5 million to resolve a non-recurring, multi-year operating tax matter during the quarter.</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MONEY TRANSFER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results of operations for the three months ended March 31, 2025 and 2024 for the Money Transfer Segment: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3"/>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8"/>
        </w:trPr>
        <w:tc>
          <w:tcPr>
            <w:tcW w:w="54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4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42"/>
        </w:trPr>
        <w:tc>
          <w:tcPr>
            <w:tcW w:w="54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417.7</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384.6</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top w:val="single" w:sz="8" w:color="CCEEFF"/>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224.5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87.9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4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372.6</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347.4</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42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7.9</w:t>
            </w:r>
          </w:p>
        </w:tc>
        <w:tc>
          <w:tcPr>
            <w:tcW w:w="1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Transactions processed (millions)</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Money Transfer Segment total revenues were $417.7 million for the three months ended March 31, 2025, an increase of $33.1 million or 9% compared to the same period in 2024. The increase in revenues was primarily driven by double-digit growth in cross-border transactions, partially offset by a decrease in intra-U.S. transactions. Direct-to-consumer digital transactions grew by 31%, reflecting strong consumer demand for digital products. Revenues per transaction decreased to $9.37 for the three months ended March 31, 2025, compared to $9.47 for the same period in 2024 due to a higher proportion of digital transactions, which typically generate lower revenue per transaction. Fluctuations in foreign currency exchange rates decreased revenues by approximately $5.9 million for the three months ended March 31, 2025, compared tot the same period in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operating costs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Money Transfer Segment direct operating costs were $224.5 million for the three months ended March 31, 2025, an increase of $15.1 million or 7% compared to the same period in 2024. Direct operating costs primarily consist of commissions paid to agents who originate money transfers on our behalf and correspondent agents who disburse funds to the customers’ destination beneficiaries, together with less significant costs, such as bank depository fees. The increase in direct operating costs was primarily due to the increase in the number of international-originated and U.S. outbound money transfer transactions. Fluctuations in foreign currency exchange rates increased direct costs by approximately $2.6 million for the three months ended March 31, 2025, compared to the same period in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was $193.2 million for the three months ended March 31, 2025, an increase of $18.0 million or 10% compared to $175.2 million for the same period in 2024. Gross margin increased to 46.3% for the three months ended March 31, 2025, compared to 45.6% for the same period in 2024. The increase in gross profit and gross margin was primarily due to increases in international-originated money transfers, U.S. outbound transactions and direct-to-consumer digital transactions.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Salaries and benefits expenses were $87.9 million for the three months ended March 31, 2025, an increase of $7.2 million or 9% compared to the same period in 2024. The increase in salaries and benefits was primarily driven by an increase in headcount to support the growth of the business and salary increases due to inflationary pressures. As a percentage of revenues, these expenses were 21.0% for both the three months ended March 31, 2025 and 2024. Fluctuations in foreign currency exchange rates in the countries in which we employ our workforce increased salaries by approximately $1.9 million for the three months ended March 31, 2025, as compared to the same period in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$54.1 million for the three months ended March 31, 2025, an increase of $4.1 million or 8% compared to the same period in 2024. The increase in selling, general and administrative expenses are primarily attributed to higher professional fees related to the implementation of a new fraud and risk management system and an increase in bad debt expenses. As a percentage of revenues, these expenses were 13.0% for both the three months ended March 31, 2025, and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expenses were $6.1 million for the three months ended March 31, 2025, a decrease of $1.2 million or 16% compared to the same period in 2024. Depreciation and amortization expenses primarily represents amortization of acquired intangible assets and depreciation of money transfer terminals, computers and software, leasehold improvements and office equipment. As a percentage of revenues, these expenses decreased to 1.5% for the three months ended March 31, 2025, compared to 1.9% for the same period in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Money Transfer Segment operating income was $45.1 million for the three months ended March 31, 2025, an increase of $7.9 million or 21.2% compared to the same period in 2024. Operating margin increased to 10.8% for the three months ended March 31, 2025, compared to 9.7% for the same period in 2024. Operating income per transaction increased to $1.01 for the three months ended March 31, 2025, compared to $0.92 for the same period in 2024. Operating income growth outpaced revenue growth due to gross margin expansion, leverage of scale and effective expense management.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operating expenses for the three months ended March 31, 2025 and 2024 for Corporate Services: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84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2"/>
                <w:szCs w:val="12"/>
                <w:color w:val="auto"/>
              </w:rPr>
            </w:pPr>
          </w:p>
        </w:tc>
        <w:tc>
          <w:tcPr>
            <w:tcW w:w="100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95"/>
        </w:trPr>
        <w:tc>
          <w:tcPr>
            <w:tcW w:w="552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41"/>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12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18.1</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4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5"/>
              </w:rPr>
              <w:t>21.3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Corporate operating expenses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Corporate operating expenses were $20.0 million for the three months ended March 31, 2025, a decrease of $1.3 million compared to the same period in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2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5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vMerge w:val="restart"/>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5.3</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exchange loss, net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Other gains (losses)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was $5.3 million for the three months ended March 31, 2025, a decrease of $0.4 million or 7% compared to the same period in 2024. This decrease was driven by lower bank balances in the first quarter of 2025 compared to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Interest expense was $19.4 million for the three months ended March 31, 2025, an increase of $4.5 million or 30% compared to the same period in 2024. This increase was driven by an increase in interest rates on our Credit Facility, and the shift of borrowing from the Convertible Notes during the quarter to the Credit Facility, due to the use of borrowings under the Credit Facility to fund the repurchase of $491.8 million of Convertible Notes in March 2025.</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loss, net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 income.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net foreign currency exchange losses of $18.1 million for the three months ended March 31, 2025, compared to net foreign currency exchange losses of $12.5 million for the same period in 2024. These realized and unrealized foreign currency exchange losses reflect the fluctuation in the value of the U.S. dollar against the currencies of the countries in which we operated during the respective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gains (losses)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other gains in the first quarter 2025 relate to a discrete non-cash investment gain.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effective income tax rate was 15.6% for the three months ended March 31, 2025, compared to 37.9% for the same period ended March 31, 2024. The Company's effective income tax rate for the three months ended March 31, 2025 was lower than the applicable statutory income tax rate of 21% mainly as a result of our U.S. deferred tax activity on the repurchase of Convertible Notes. Our effective income tax rate for the three months ended March 31, 2024 was higher than the applicable statutory income tax rate of 21% as a result of our U.S. deferred tax activity on foreign exchange positions and certain of our foreign earnings being subject to higher local statutory tax rates.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NONCONTROLLING INTERESTS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Noncontrolling interests represent the elimination of net income or loss attributable to the minority shareholders’ portion of the following consolidated subsidiaries that are not wholly owned: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Owned</w:t>
            </w: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Segment - Country</w:t>
            </w:r>
          </w:p>
        </w:tc>
      </w:tr>
      <w:tr>
        <w:trPr>
          <w:trHeight w:val="248"/>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LATAM ATM Solutions (Prosegur)</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EFT - South America</w:t>
            </w:r>
          </w:p>
        </w:tc>
      </w:tr>
      <w:tr>
        <w:trPr>
          <w:trHeight w:val="243"/>
        </w:trPr>
        <w:tc>
          <w:tcPr>
            <w:tcW w:w="8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Euronet China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EFT - China</w:t>
            </w:r>
          </w:p>
        </w:tc>
      </w:tr>
      <w:tr>
        <w:trPr>
          <w:trHeight w:val="27"/>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43"/>
        </w:trPr>
        <w:tc>
          <w:tcPr>
            <w:tcW w:w="8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Euronet Pakistan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21"/>
                <w:szCs w:val="21"/>
                <w:color w:val="auto"/>
              </w:rPr>
            </w:pPr>
          </w:p>
        </w:tc>
        <w:tc>
          <w:tcPr>
            <w:tcW w:w="20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EFT - Pakistan</w:t>
            </w:r>
          </w:p>
        </w:tc>
      </w:tr>
      <w:tr>
        <w:trPr>
          <w:trHeight w:val="27"/>
        </w:trPr>
        <w:tc>
          <w:tcPr>
            <w:tcW w:w="7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EURONET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attributable to Euronet was $38.4 million for the three months ended March 31, 2025, an increase of $12.2 million or 47% compared to the same period in 2024. The increase in net income was primarily attributable to the $58.5 million increase in revenues, largely driven by successful business operations. The increased revenues led to a $31.2 million increase in gross profit. The increase in gross profit was partially offset by a $9.4 million increase in salaries and benefits expense and a $11.1 million increase in selling, general and administrative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2025, we had working capital of $1,565.3 million, which is calculated as the difference between total current assets and total current liabilities, compared to working capital of $810.5 million as of December 31, 2024. The increase in working capital was primarily due to the repurchase of Convertible Notes with cash and borrowings under the Credit Facility (which replaced a current liability with long term debt), positive operational results and changes in [operational related] working capital items. Our ratio of current assets to current liabilities was 1.60 and 1.25 at March 31, 2025 and December 31, 2024, respectively.</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require substantial working capital to finance operations. The Money Transfer Segment funds the payout of the majority of our consumer-to-consumer money transfer services before receiving the benefit of amounts collected from customers by agents. Working capital needs increase in order to cover weekends and banking holidays. As a result, we may report more or less working capital for the Money Transfer Segment based solely upon the day on which the reporting period ends. The epay Segment produces positive working capital, some of which is restricted in connection with the administration of its customer collection and vendor remittance activities. In our EFT Processing Segment, we obtain a significant portion of the cash required to operate our ATMs through various cash supply arrangements, the amount of which is not recorded on Euronet's Consolidated Balance Sheets. However, in certain countries, we fund the cash required to operate our ATM network from borrowings under our revolving credit facilities, uncommitted credit agreements and cash flows from operations. As of March 31, 2025, we had $700.3 million of our own cash in use or designated for use in our ATM network, which is recorded in ATM cash on Euronet's Consolidated Balance Sheet. ATM cash increased $56.5 million from $643.8 million as of December 31, 2024 to $700.3 million as of March 31, 2025 as a result of the increase in the number of active ATMs as of March 31, 2025 compared to December 31, 2024. The Company has $1,393.6 million of unrestricted cash as of March 31, 2025 compared to $1,278.8 million as of December 31, 2024. Including the $700.3 million of cash in ATMs at March 31, 2025, we have access to $2,689.6 million in available cash, and $623.2 million available under the Credit Facility.</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The following table identifies cash and cash equivalents provided by/(used in) our operating, investing and financing activities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2024 (in millions):</w:t>
      </w:r>
    </w:p>
    <w:p>
      <w:pPr>
        <w:spacing w:after="0" w:line="200" w:lineRule="exact"/>
        <w:rPr>
          <w:sz w:val="20"/>
          <w:szCs w:val="20"/>
          <w:color w:val="auto"/>
        </w:rPr>
      </w:pPr>
    </w:p>
    <w:p>
      <w:pPr>
        <w:spacing w:after="0" w:line="270"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24765</wp:posOffset>
            </wp:positionV>
            <wp:extent cx="17741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Liquidity</w:t>
            </w:r>
          </w:p>
        </w:tc>
        <w:tc>
          <w:tcPr>
            <w:tcW w:w="3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8"/>
        </w:trPr>
        <w:tc>
          <w:tcPr>
            <w:tcW w:w="8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and restricted cash provided by (used in):</w:t>
            </w:r>
          </w:p>
        </w:tc>
        <w:tc>
          <w:tcPr>
            <w:tcW w:w="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6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30.0</w:t>
            </w:r>
          </w:p>
        </w:tc>
      </w:tr>
      <w:tr>
        <w:trPr>
          <w:trHeight w:val="27"/>
        </w:trPr>
        <w:tc>
          <w:tcPr>
            <w:tcW w:w="8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243"/>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81.3</w:t>
            </w:r>
          </w:p>
        </w:tc>
      </w:tr>
      <w:tr>
        <w:trPr>
          <w:trHeight w:val="27"/>
        </w:trPr>
        <w:tc>
          <w:tcPr>
            <w:tcW w:w="8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(decrease) foreign currency exchange rate changes on cash and cash equivalents and restricted cash</w:t>
            </w:r>
          </w:p>
        </w:tc>
        <w:tc>
          <w:tcPr>
            <w:tcW w:w="3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57"/>
        </w:trPr>
        <w:tc>
          <w:tcPr>
            <w:tcW w:w="8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(decrease) in cash and cash equivalents and restricted cash</w:t>
            </w:r>
          </w:p>
        </w:tc>
        <w:tc>
          <w:tcPr>
            <w:tcW w:w="3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0"/>
        </w:trPr>
        <w:tc>
          <w:tcPr>
            <w:tcW w:w="8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activity cash flow</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flows provided by operating activities were $1.7 million for the three months ended March 31, 2025 compared to cash flows provided by operating activities of $30.0 million for the same period in 2024. The net decrease in operating cash flows was primarily due to a decrease in deferred income taxes as a result of our U.S. deferred tax activity on the repurchase of Convertible Notes, partially offset by an increase in net income and a decrease in other working capital fluctuations.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activity cash flow</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used in investing activities were $54.7 million for the three months ended March 31, 2025 compared to $96.8 million for the same period in 2024. The decrease in cash used in investing activities is primarily due to the acquisition of Infinitum in 2024, partially offset by the purchase of the 2030 Note from Marker Trax Digital, LLC in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activity cash flow</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flows provided by financing activities were $162.6 million for the three months ended March 31, 2025 compared to cash flows provided by financing activities of $81.3 million for the same period in 2024. Our borrowing activities on the Credit Facility for the three months ended March 31, 2025 consisted of net borrowings of $710.0 million compared to net borrowings of $82.6 million for the same period in 2024. The increase in net borrowings on the Credit Facility, during the three months ended March 31, 2025, is primarily the result of cash for the repurchase of the convertible notes and the repurchase of shares.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exchange rates on cash, cash equivalents and restricted cash</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Fluctuations in foreign currency exchange rates impacted cash, cash equivalents, and restricted cash by $91.8 million and ($47.2) million for the three months ended March 31, 2025 and 2024, respectively. The positive impact in 2025 was primarily driven by the weakening of the U.S. dollar compared to euro.</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Other sources of capital</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Credit Facility</w:t>
      </w:r>
      <w:r>
        <w:rPr>
          <w:rFonts w:ascii="Times New Roman" w:cs="Times New Roman" w:eastAsia="Times New Roman" w:hAnsi="Times New Roman"/>
          <w:sz w:val="18"/>
          <w:szCs w:val="18"/>
          <w:color w:val="auto"/>
        </w:rPr>
        <w:t xml:space="preserve"> - On December 17, 2024, the Company amended its revolving credit agreement (the “Credit Facility”) to increase the facility from $1.25 billion to $1.9 billion and to extend the expiration to December 17, 2029. The amended Credit Facility includes a multi-currency borrowing tranche totaling $1,685 million and a U.S. dollar borrowing tranche totaling $215 million. The amended Credit Facility also removes the credit spread adjustment on SOFR and SONIA borrowings. All other terms remain substantially the same as the previous Credit Facility. The multi-currency tranche of the revolving Credit Facility contains a sublimit of up to $500 million for the issuance of letters of credit, a $75 million sublimit for U.S. dollar swingline loans and a $75 million sublimit for swingline loans in euros or British pounds sterling. The multi-currency tranche of the Credit Facility allows for borrowings in British pounds sterling, euro and U.S. dollars. Subject to certain conditions, the Company has the option to increase the Credit Facility by up to an additional $500 million by requesting additional commitments from existing or new lenders. Borrowings under the revolving Credit Facility (other than swing line loans) bear interest based on a margin over a secured financing rate or the base rate, as selected by the Company, which varies from 0.875% to 1.375%, in each case based, on the Company’s current credit rating. The applicable margin for borrowings under the Credit Facility, based on the Company’s current credit rating is 1.075%. In addition, the Company pays a facility fee on the total commitments made under the revolving Credit Facility, which varies from 0.125% to 0.250%. As of March 31, 2025, the stand-by letters of credit interest charge was 1.25% per annum.</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we had $1,230.4 million of borrowings and $46.4 million of stand-by letters of credit outstanding under the Credit Facility. The remaining $623.2 million under the Credit Facility was available for borrowing.</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Convertible debt</w:t>
      </w:r>
      <w:r>
        <w:rPr>
          <w:rFonts w:ascii="Times New Roman" w:cs="Times New Roman" w:eastAsia="Times New Roman" w:hAnsi="Times New Roman"/>
          <w:sz w:val="18"/>
          <w:szCs w:val="18"/>
          <w:color w:val="auto"/>
        </w:rPr>
        <w:t xml:space="preserve"> - On March 18, 2019, we completed the sale of $525.0 million in principal amount of Convertible Senior Notes due 2049 (“Convertible Notes”). The Convertible Notes were issued pursuant to an indenture, dated as of March 18, 2019 (the “Indenture”), by and between us and U.S. Bank National Association, as trustee. The Convertible Notes have an interest rate of 0.75% per annum payable semi-annually in March and September and are convertible into shares of Euronet common stock at a conversion price of approximately $188.73 per share if certain conditions are met (relating to the closing prices of Euronet common stock exceeding certain thresholds for specified periods). Holders of the Convertible Notes have the option to require us to repurchase for cash all or part of their Convertible Notes on each of March 15, 2025, 2029, 2034, 2039 and 2044 at a repurchase price equal to 100% of the principal amount of the Convertible Notes to be repurchased, plus accrued and unpaid interest to, but excluding, the relevant repurchase date. In connection with the issuance of the Convertible Notes, we recorded $12.8 million in debt issuance costs, which were amortized through March 1, 2025. Almost all of the holders exercised their repurchase option in March 2025 and we repurchased $491.8 million of the Convertible Notes with a combination of cash on hand and a borrowing under our Credit Facility. As of March 31, 2025, $33.2 million of the Convertible Notes remain outstanding.</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Senior Notes</w:t>
      </w:r>
      <w:r>
        <w:rPr>
          <w:rFonts w:ascii="Times New Roman" w:cs="Times New Roman" w:eastAsia="Times New Roman" w:hAnsi="Times New Roman"/>
          <w:sz w:val="18"/>
          <w:szCs w:val="18"/>
          <w:color w:val="auto"/>
        </w:rPr>
        <w:t xml:space="preserve"> - On May 22, 2019, we completed the sale of €600 million ($669.9 million) aggregate principal amount of Senior Notes that expire on May 2026 (the “Senior Notes”). The Senior Notes accrue interest at a rate of 1.375% per year, payable annually in arrears on May 22 of each year, until maturity or earlier redemption. As of March 31, 2025, we have outstanding €600.0 million ($648.8 million) principal amount of the Senior Notes. In addition, we may redeem some or all of these notes on or after February 22, 2026 at their principal amount plus any accrued and unpaid interest.</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Uncommitted Credit Agreement</w:t>
      </w:r>
      <w:r>
        <w:rPr>
          <w:rFonts w:ascii="Times New Roman" w:cs="Times New Roman" w:eastAsia="Times New Roman" w:hAnsi="Times New Roman"/>
          <w:sz w:val="18"/>
          <w:szCs w:val="18"/>
          <w:color w:val="auto"/>
        </w:rPr>
        <w:t xml:space="preserve"> - On June 21, 2024, the Company rolled its existing $150 million Uncommitted Loan Agreement into a new Uncommitted Loan Agreement with a $400 million credit limit through September 30, 2024, and a credit limit of $250 million thereafter for the sole purpose of providing vault cash for ATMs and expires no later than June 20, 2025. The loan had an outstanding balance of $250 million at March 31, 2025. The loan is a Prime Rate Loan, a Daily SOFR Rate Loan plus 1.05% or shall bear interest at the rate agreed to by the Bank and the Company at the time such Loan is made. The weighted-average interest rate from loan inception date to March 31, 2025, was 5.86%. We currently anticipate that the Uncommitted Loan Agreement will be replaced with a similar credit facility prior to its expiration.</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Other debt obligations</w:t>
      </w:r>
      <w:r>
        <w:rPr>
          <w:rFonts w:ascii="Times New Roman" w:cs="Times New Roman" w:eastAsia="Times New Roman" w:hAnsi="Times New Roman"/>
          <w:sz w:val="18"/>
          <w:szCs w:val="18"/>
          <w:color w:val="auto"/>
        </w:rPr>
        <w:t xml:space="preserve"> — Certain of our subsidiaries have available credit lines and overdraft facilities to generally supplement short-term working capital requirements, when necessary. On October 9, 2024, the Company completed a facility of MYR 140 million and an overdraft facility of MYR 100 million for its Malaysian business. Each advance under this facility shall be made for a term of 1 month or such other period of up to 12 months. As of March 31, 2025 $43.8 million was borrowed under this facility. Including the Malaysian facility, there was a total of $44.2 million outstanding under our subsidiaries credit lines and overdraft facilities as of March 31, 2025.</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Other uses of capital</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Capital expenditures and needs</w:t>
      </w:r>
      <w:r>
        <w:rPr>
          <w:rFonts w:ascii="Times New Roman" w:cs="Times New Roman" w:eastAsia="Times New Roman" w:hAnsi="Times New Roman"/>
          <w:sz w:val="18"/>
          <w:szCs w:val="18"/>
          <w:color w:val="auto"/>
        </w:rPr>
        <w:t xml:space="preserve"> - Total capital expenditures for the three months ended March 31, 2025 were $23.2 million. These capital expenditures were primarily for the purchase and installation of ATMs in key under-penetrated markets, the purchase of POS terminals for the epay and Money Transfer Segments, and office, data center and company store computer equipment and software. Total capital expenditures for 2025 are currently estimated to range from approximately $85 million to $95 million. At current and projected cash flow levels, we anticipate that cash generated from operations, together with cash on hand and amounts available under our Credit Facility and other existing and potential future financings will be sufficient to meet our debt (including our uncommitted credit facilities),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and functional currencies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Historically, the countries in which we operate have experienced low and stable inflation. Therefore, the local currency in each of these markets is the functional currency. We have seen indications that the current inflationary period will put pressure on our results of operations and our financial position. We have seen some signs of inflation impacting discretionary spend items, such as gaming products, in our epay business, discretionary travel expenditures in EFT, as well as some pressure on send amounts in money transfer. As a consequence of this inflationary period, we expect to see increasing expenses forthcoming. We continually review inflation and the functional currency in each of the countries where we operate.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March 31, 2025, there were no material changes from the disclosure in our Annual Report on Form 10-K for the year ended December 31, 2024. To date, we are not aware of any significant claims made by the indemnified parties or parties to whom we have provided guarantees on behalf of our subsidiaries and, accordingly, no liabilities have been recorded as of March 31, 2025. See also Note 15, Commitments, to the unaudited consolidated financial statements included elsewhere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there have been no material changes outside the ordinary course of business in our future contractual obligations from the amounts reported within our Annual Report on Form 10-K for the year ended December 31, 2024.</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March 31, 2025, our total debt outstanding, excluding unamortized debt issuance costs, was $2,206.6 million. Of this amount, $33.2 million, net of debt discounts, or 2% of our total debt obligations, relates to our contingent Convertible Notes that have a fixed coupon rate. Our $33.2 million outstanding principal amount of Convertible Notes accrue cash interest at a rate of 0.75% of the principal amount per annum. Based on quoted market prices, as of March 31, 2025, the fair value of our fixed rate Convertible Notes was $31.6 million, compared to a carrying value of $33.2 million. Further, as of March 31, 2025 we had $1,230.4 million of borrowings under our Credit Facility, or 56% of our total debt obligations. If we were to maintain these borrowings for one year and maximize the potential borrowings available under the Credit Facility for one year, a 1% (100 basis points) increase in the applicable interest rate would result in additional interest expense to the Company of approximately $12.3 million. The carrying values of the Credit Facility approximates fair value because interest as of March 31, 2025, was based on SOFR that resets at various intervals of less than one year. Additionally, $648.8 million, or 29% of our total debt obligations, relates to Senior Notes having a fixed coupon rate. Our $648.8 million outstanding principal amount of Senior Notes accrue cash interest at a rate of 1.375% of the principal amount per annum. Based on quoted market prices, as of March 31, 2025, the fair value of our fixed rate Senior Notes was $633.9 million, compared to a carrying value of $648.8 million. An additional $250.0 million, or 11% of our total debt, is related to a short-term uncommitted credit agreement. The credit agreement is due within one year and accrues interest at variable rates. The remaining $44.2 million is related to borrowings by certain subsidiaries to fund, from time to time, working capital requirements. These arrangements generally are due within one year and accrue interest at variable rates. 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approximately 74% of our revenues were generated in non-U.S. dollar countries and we expect to continue generating a significant portion of our revenues in countries with currencies other than the U.S. dollar.</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 March 31, 2025, we estimate that a 10% fluctuation in these foreign currency exchange rates would have the combined annualized effect on reported net income and working capital of approximately $140 million to $150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and our Senior Notes. We estimate that a 10% fluctuation in foreign currency exchange rates would have a non-cash impact on total comprehensive income of approximately $70 million to $80 million as a result of the change in value of these items during translation to the U.S. dollar. For the fluctuations described above, a strengthening U.S. dollar produces a financial loss, while a weakening U.S. dollar produces a financial gain.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a weakening of the U.S. dollar and negatively impacted by a strengthening of the U.S. dollar. Additionally, a significant portion of our debt obligations are in U.S. dollars; therefore, as foreign currency exchange rates fluctuate, the amount available for repayment of debt will also increase or decrease.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1" w:name="page42"/>
    <w:bookmarkEnd w:id="41"/>
    <w:p>
      <w:pPr>
        <w:jc w:val="both"/>
        <w:spacing w:after="0" w:line="258" w:lineRule="auto"/>
        <w:rPr>
          <w:sz w:val="20"/>
          <w:szCs w:val="20"/>
          <w:color w:val="auto"/>
        </w:rPr>
      </w:pPr>
      <w:r>
        <w:rPr>
          <w:rFonts w:ascii="Times New Roman" w:cs="Times New Roman" w:eastAsia="Times New Roman" w:hAnsi="Times New Roman"/>
          <w:sz w:val="18"/>
          <w:szCs w:val="18"/>
          <w:color w:val="auto"/>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majority of our consumer-to-consumer money transfer operations involve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(loss) gain, net on the Consolidated Statements of Operations. As of March 31, 2025, we had foreign currency derivative contracts outstanding with a notional value of $415.6 million, primarily in Australian dollars, British pounds, Canadian dollars, euros and Mexican pesos, that were not designated as hedges and mature within a few days.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derivative instruments our xe operations write to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Operations. As of March 31, 2025, we held foreign currency derivative contracts outstanding with a notional value of $0.9 billion, primarily in U.S. dollars, euros, British pounds, Australian dollars and New Zealand dollars, that were not designated as hedges and for which the majority mature within the next twelve months.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longer-term foreign currency forward contracts to mitigate risks associated with changes in foreign currency exchange rates on certain foreign currency denominated other asset and liability positions. As of March 31, 2025, the Company had foreign currency forward contracts outstanding with a notional value of $396.6 million, primarily in euros.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 Derivative Instruments and Hedging Activities, to our unaudited consolidated financial statements for additional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executive management, including our Chief Executive Officer and Chief Financial Officer, evaluated the effectiveness of the design and operation of our disclosure controls and procedures pursuant to Rule 13a-15(b) under the Exchange Act as of March 31, 2025.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Internal Controls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three months ended March 31, 2025 that has materially affected, or is reasonably likely to materially affect, our internal control over financial reporting.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from time to time, a party to legal or regulatory proceedings arising in the ordinary course of its business.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discussion regarding contingencies in Part I, Item 1 — Financial Statements (unaudited), Note 16, Litigation and Contingencies, to the unaudited consolidated financial statements in this report is incorporated herein by reference.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Currently, there are no legal or regulatory proceedings that management believes, either individually or in the aggregate, would have a material adverse effect on the Company's consolidated financial condition or results of operations.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July 2024, the Company received an adverse judicial decision related to withholding taxes on certain agency relationships in Italy within the Money Transfer Segment, which the Company has appealed. In January 2025, the Company received a positive judicial decision in the same court related to the same issue but corresponding to a different taxable period. The Company completed an assessment and concluded that it is reasonably possible that a liability has been incurred, but not probable. The principal amount of the agent-based withholding tax could be approximately $16.5 million for all open periods.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2025, the Company was notified of a fire, resulting in the loss of Malaysian Ringgit notes in the custody of a third-party service provider. The third-party service provider had the risk of loss based on the terms of the contractual arrangement. The bank note balance of approximately $10 million was moved to other receivables as of March 31, 2025. At this time the Company has determined that it is probable the bank notes will be recovered from the third-party service provider.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described herein, there were no material changes to the risk factors previously disclosed in our Annual Report on Form 10-K for the year ended 31 December 2024, as filed with the SEC.</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shares of the Company's common stock that were purchased by the Company during the three months ended March 31,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3"/>
                <w:szCs w:val="13"/>
                <w:color w:val="auto"/>
              </w:rPr>
            </w:pPr>
          </w:p>
        </w:tc>
        <w:tc>
          <w:tcPr>
            <w:tcW w:w="124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480" w:type="dxa"/>
            <w:vAlign w:val="bottom"/>
            <w:gridSpan w:val="2"/>
          </w:tcPr>
          <w:p>
            <w:pPr>
              <w:jc w:val="center"/>
              <w:ind w:left="36"/>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40" w:type="dxa"/>
            <w:vAlign w:val="bottom"/>
          </w:tcPr>
          <w:p>
            <w:pPr>
              <w:spacing w:after="0"/>
              <w:rPr>
                <w:sz w:val="12"/>
                <w:szCs w:val="12"/>
                <w:color w:val="auto"/>
              </w:rPr>
            </w:pPr>
          </w:p>
        </w:tc>
        <w:tc>
          <w:tcPr>
            <w:tcW w:w="124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28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40" w:type="dxa"/>
            <w:vAlign w:val="bottom"/>
          </w:tcPr>
          <w:p>
            <w:pPr>
              <w:spacing w:after="0"/>
              <w:rPr>
                <w:sz w:val="12"/>
                <w:szCs w:val="12"/>
                <w:color w:val="auto"/>
              </w:rPr>
            </w:pPr>
          </w:p>
        </w:tc>
        <w:tc>
          <w:tcPr>
            <w:tcW w:w="124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9"/>
        </w:trPr>
        <w:tc>
          <w:tcPr>
            <w:tcW w:w="55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Programs (in</w:t>
            </w:r>
          </w:p>
        </w:tc>
        <w:tc>
          <w:tcPr>
            <w:tcW w:w="240" w:type="dxa"/>
            <w:vAlign w:val="bottom"/>
          </w:tcPr>
          <w:p>
            <w:pPr>
              <w:spacing w:after="0"/>
              <w:rPr>
                <w:sz w:val="12"/>
                <w:szCs w:val="12"/>
                <w:color w:val="auto"/>
              </w:rPr>
            </w:pPr>
          </w:p>
        </w:tc>
        <w:tc>
          <w:tcPr>
            <w:tcW w:w="124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the Programs (in</w:t>
            </w:r>
          </w:p>
        </w:tc>
        <w:tc>
          <w:tcPr>
            <w:tcW w:w="0" w:type="dxa"/>
            <w:vAlign w:val="bottom"/>
          </w:tcPr>
          <w:p>
            <w:pPr>
              <w:spacing w:after="0"/>
              <w:rPr>
                <w:sz w:val="1"/>
                <w:szCs w:val="1"/>
                <w:color w:val="auto"/>
              </w:rPr>
            </w:pPr>
          </w:p>
        </w:tc>
      </w:tr>
      <w:tr>
        <w:trPr>
          <w:trHeight w:val="195"/>
        </w:trPr>
        <w:tc>
          <w:tcPr>
            <w:tcW w:w="5520" w:type="dxa"/>
            <w:vAlign w:val="bottom"/>
            <w:vMerge w:val="continue"/>
          </w:tcPr>
          <w:p>
            <w:pPr>
              <w:spacing w:after="0"/>
              <w:rPr>
                <w:sz w:val="16"/>
                <w:szCs w:val="16"/>
                <w:color w:val="auto"/>
              </w:rPr>
            </w:pP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16"/>
                <w:szCs w:val="16"/>
                <w:color w:val="auto"/>
              </w:rPr>
            </w:pPr>
          </w:p>
        </w:tc>
        <w:tc>
          <w:tcPr>
            <w:tcW w:w="124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millions) (1)</w:t>
            </w:r>
          </w:p>
        </w:tc>
        <w:tc>
          <w:tcPr>
            <w:tcW w:w="0" w:type="dxa"/>
            <w:vAlign w:val="bottom"/>
          </w:tcPr>
          <w:p>
            <w:pPr>
              <w:spacing w:after="0"/>
              <w:rPr>
                <w:sz w:val="1"/>
                <w:szCs w:val="1"/>
                <w:color w:val="auto"/>
              </w:rPr>
            </w:pPr>
          </w:p>
        </w:tc>
      </w:tr>
      <w:tr>
        <w:trPr>
          <w:trHeight w:val="255"/>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1 - March 31, 2025</w:t>
            </w:r>
          </w:p>
        </w:tc>
        <w:tc>
          <w:tcPr>
            <w:tcW w:w="12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February 1 - February 28, 2025</w:t>
            </w:r>
          </w:p>
        </w:tc>
        <w:tc>
          <w:tcPr>
            <w:tcW w:w="1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1 - March 31, 2025</w:t>
            </w:r>
          </w:p>
        </w:tc>
        <w:tc>
          <w:tcPr>
            <w:tcW w:w="12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591,258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100.74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591,258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100.74</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8"/>
        <w:spacing w:after="0" w:line="256"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13, 2023, the Company initiated a repurchase program to repurchase up to $350 million in value, but not more than 7.0 million shares of common stock through September 13, 2025. During the first quarter 2025, we repurchased 591,258 shares under the repurchase program at a weighted average purchase price of $100.74 for a total value of $59.6 million. On September 11, 2024, the Company initiated a repurchase program to repurchase up to $350 million in value, but not more than 7.0 million shares of common stock through September 11, 2026. During the first quarter 2025, the Company did not repurchase shares under this plan. Repurchases under the programs may take place in the open market or in privately negotiated transactions, including derivative transactions, and may be made under a Rule 10b5-1 plan.</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5. OTHER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31, 2025, none of the Company’s directors or "officers," as defined in Rule 16a-1(f) of the Securities Exchange Act of 1934, as amended (the "Exchange Act"), adopted or terminated a "Rule 10b5-1 trading arrangement" or a "non-Rule 10b5-1 trading arrangement," as each term is defined in Item 408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8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71"/>
        </w:trPr>
        <w:tc>
          <w:tcPr>
            <w:tcW w:w="10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Employment agreement Nikolaos Fountas</w:t>
            </w:r>
          </w:p>
        </w:tc>
      </w:tr>
      <w:tr>
        <w:trPr>
          <w:trHeight w:val="230"/>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Section 302 — Certification of Chief Executive Officer</w:t>
            </w:r>
          </w:p>
        </w:tc>
        <w:tc>
          <w:tcPr>
            <w:tcW w:w="6080" w:type="dxa"/>
            <w:vAlign w:val="bottom"/>
          </w:tcPr>
          <w:p>
            <w:pPr>
              <w:spacing w:after="0"/>
              <w:rPr>
                <w:sz w:val="19"/>
                <w:szCs w:val="19"/>
                <w:color w:val="auto"/>
              </w:rPr>
            </w:pPr>
          </w:p>
        </w:tc>
      </w:tr>
      <w:tr>
        <w:trPr>
          <w:trHeight w:val="250"/>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302 — Certification of Chief Financial Officer</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r>
      <w:tr>
        <w:trPr>
          <w:trHeight w:val="250"/>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Section 906 — Certification of Chief Executive Officer</w:t>
            </w:r>
          </w:p>
        </w:tc>
        <w:tc>
          <w:tcPr>
            <w:tcW w:w="6080" w:type="dxa"/>
            <w:vAlign w:val="bottom"/>
          </w:tcPr>
          <w:p>
            <w:pPr>
              <w:spacing w:after="0"/>
              <w:rPr>
                <w:sz w:val="21"/>
                <w:szCs w:val="21"/>
                <w:color w:val="auto"/>
              </w:rPr>
            </w:pPr>
          </w:p>
        </w:tc>
      </w:tr>
      <w:tr>
        <w:trPr>
          <w:trHeight w:val="250"/>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Section 906 — Certification of Chief Financial Officer</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r>
      <w:tr>
        <w:trPr>
          <w:trHeight w:val="272"/>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materials from Euronet Worldwide, Inc.’s Quarterly Report on Form 10-Q for the quarter ended March 31, 2025, formatted</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XBRL (eXtensible Business Reporting Language): (i) Consolidated Balance Sheets at March 31, 2025 (unaudited) and December 31,</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2024, (ii) Consolidated Statements of Operations (unaudited) for the three months ended March 31, 2025 and 2024, (iii) Consolidated</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Statements of Comprehensive Income (Loss) (unaudited) for the three months ended March 31, 2025 and 2024, (iv) Consolidated</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Statements of Changes in Equity (unaudited) for the three months ended March 31, 2025 and 2024 (v) Consolidated Statements of Cash</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Flows (unaudited) for the three months ended March 31, 2025 and 2024, and (vi) Notes to the Unaudited Consolidated Financial</w:t>
            </w:r>
          </w:p>
        </w:tc>
      </w:t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Statements.</w:t>
            </w:r>
          </w:p>
        </w:tc>
      </w:tr>
      <w:tr>
        <w:trPr>
          <w:trHeight w:val="270"/>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Filed herewith.</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Pursuant to Item 601(b)(32) of Regulation S-K, this Exhibit is furnished rather than filed with this Form 10-Q.</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PLEASE NOTE: Pursuant to the rules and regulations of the SEC,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us or our business or operations on the date hereof.</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4" w:name="page45"/>
    <w:bookmarkEnd w:id="44"/>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INDEFINITE TERM EMPLOYMENT AGREEMENT</w:t>
      </w:r>
    </w:p>
    <w:p>
      <w:pPr>
        <w:spacing w:after="0" w:line="148" w:lineRule="exact"/>
        <w:rPr>
          <w:sz w:val="20"/>
          <w:szCs w:val="20"/>
          <w:color w:val="auto"/>
        </w:rPr>
      </w:pPr>
    </w:p>
    <w:p>
      <w:pPr>
        <w:ind w:left="4040" w:right="780" w:hanging="3308"/>
        <w:spacing w:after="0" w:line="282" w:lineRule="auto"/>
        <w:rPr>
          <w:sz w:val="20"/>
          <w:szCs w:val="20"/>
          <w:color w:val="auto"/>
        </w:rPr>
      </w:pPr>
      <w:r>
        <w:rPr>
          <w:rFonts w:ascii="Times New Roman" w:cs="Times New Roman" w:eastAsia="Times New Roman" w:hAnsi="Times New Roman"/>
          <w:sz w:val="18"/>
          <w:szCs w:val="18"/>
          <w:color w:val="auto"/>
        </w:rPr>
        <w:t>(and information about the substantial employment terms in accordance with P.D. 80/2022) In Kallithea Attikis, today, 31 March 2025, the following contracting parties:</w:t>
      </w:r>
    </w:p>
    <w:p>
      <w:pPr>
        <w:spacing w:after="0" w:line="158"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color w:val="auto"/>
        </w:rPr>
        <w:t xml:space="preserve">The société anonyme under the name </w:t>
      </w:r>
      <w:r>
        <w:rPr>
          <w:rFonts w:ascii="Times New Roman" w:cs="Times New Roman" w:eastAsia="Times New Roman" w:hAnsi="Times New Roman"/>
          <w:sz w:val="18"/>
          <w:szCs w:val="18"/>
          <w:b w:val="1"/>
          <w:bCs w:val="1"/>
          <w:color w:val="auto"/>
        </w:rPr>
        <w:t>“EURONET CARD SERVICES SINGLE MEMBER SOCIETE ANONYME FOR THE PROVSION OF 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SERVICES” </w:t>
      </w:r>
      <w:r>
        <w:rPr>
          <w:rFonts w:ascii="Times New Roman" w:cs="Times New Roman" w:eastAsia="Times New Roman" w:hAnsi="Times New Roman"/>
          <w:sz w:val="18"/>
          <w:szCs w:val="18"/>
          <w:color w:val="auto"/>
        </w:rPr>
        <w:t>and the distinctive title</w:t>
      </w:r>
      <w:r>
        <w:rPr>
          <w:rFonts w:ascii="Times New Roman" w:cs="Times New Roman" w:eastAsia="Times New Roman" w:hAnsi="Times New Roman"/>
          <w:sz w:val="18"/>
          <w:szCs w:val="18"/>
          <w:b w:val="1"/>
          <w:bCs w:val="1"/>
          <w:color w:val="auto"/>
        </w:rPr>
        <w:t xml:space="preserve"> “EURONET CARD SERVICES S.M.S.A.”</w:t>
      </w:r>
      <w:r>
        <w:rPr>
          <w:rFonts w:ascii="Times New Roman" w:cs="Times New Roman" w:eastAsia="Times New Roman" w:hAnsi="Times New Roman"/>
          <w:sz w:val="18"/>
          <w:szCs w:val="18"/>
          <w:color w:val="auto"/>
        </w:rPr>
        <w:t>, with VAT Reg. No. 999311933 with registered office in Kallithea,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Sachtouri str., P.C. 17674 legally represented under delegated power of attorney by XXXX, hereinafter referred to as “</w:t>
      </w:r>
      <w:r>
        <w:rPr>
          <w:rFonts w:ascii="Times New Roman" w:cs="Times New Roman" w:eastAsia="Times New Roman" w:hAnsi="Times New Roman"/>
          <w:sz w:val="18"/>
          <w:szCs w:val="18"/>
          <w:b w:val="1"/>
          <w:bCs w:val="1"/>
          <w:color w:val="auto"/>
        </w:rPr>
        <w:t>Employer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Nikolaos Fountas</w:t>
      </w:r>
      <w:r>
        <w:rPr>
          <w:rFonts w:ascii="Times New Roman" w:cs="Times New Roman" w:eastAsia="Times New Roman" w:hAnsi="Times New Roman"/>
          <w:sz w:val="18"/>
          <w:szCs w:val="18"/>
          <w:color w:val="auto"/>
        </w:rPr>
        <w:t>, XXXX, hereinafter referred to as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have agreed and mutually accepted the following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Definitions</w:t>
      </w:r>
    </w:p>
    <w:p>
      <w:pPr>
        <w:spacing w:after="0" w:line="40" w:lineRule="exact"/>
        <w:rPr>
          <w:sz w:val="20"/>
          <w:szCs w:val="20"/>
          <w:color w:val="auto"/>
        </w:rPr>
      </w:pPr>
    </w:p>
    <w:p>
      <w:pPr>
        <w:ind w:left="60"/>
        <w:spacing w:after="0"/>
        <w:tabs>
          <w:tab w:leader="none" w:pos="2740" w:val="left"/>
        </w:tabs>
        <w:rPr>
          <w:sz w:val="20"/>
          <w:szCs w:val="20"/>
          <w:color w:val="auto"/>
        </w:rPr>
      </w:pPr>
      <w:r>
        <w:rPr>
          <w:rFonts w:ascii="Times New Roman" w:cs="Times New Roman" w:eastAsia="Times New Roman" w:hAnsi="Times New Roman"/>
          <w:sz w:val="18"/>
          <w:szCs w:val="18"/>
          <w:color w:val="auto"/>
        </w:rPr>
        <w:t>Awards</w:t>
      </w:r>
      <w:r>
        <w:rPr>
          <w:sz w:val="20"/>
          <w:szCs w:val="20"/>
          <w:color w:val="auto"/>
        </w:rPr>
        <w:tab/>
      </w:r>
      <w:r>
        <w:rPr>
          <w:rFonts w:ascii="Times New Roman" w:cs="Times New Roman" w:eastAsia="Times New Roman" w:hAnsi="Times New Roman"/>
          <w:sz w:val="18"/>
          <w:szCs w:val="18"/>
          <w:color w:val="auto"/>
        </w:rPr>
        <w:t>shall mean any and all restricted stock, non-qualifying stock options and/or</w:t>
      </w:r>
    </w:p>
    <w:p>
      <w:pPr>
        <w:sectPr>
          <w:pgSz w:w="11900" w:h="16838" w:orient="portrait"/>
          <w:cols w:equalWidth="0" w:num="1">
            <w:col w:w="11240"/>
          </w:cols>
          <w:pgMar w:left="320" w:top="3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Board</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Capacity</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0" w:right="220"/>
        <w:spacing w:after="0" w:line="462" w:lineRule="auto"/>
        <w:rPr>
          <w:sz w:val="20"/>
          <w:szCs w:val="20"/>
          <w:color w:val="auto"/>
        </w:rPr>
      </w:pPr>
      <w:r>
        <w:rPr>
          <w:rFonts w:ascii="Times New Roman" w:cs="Times New Roman" w:eastAsia="Times New Roman" w:hAnsi="Times New Roman"/>
          <w:sz w:val="17"/>
          <w:szCs w:val="17"/>
          <w:color w:val="auto"/>
        </w:rPr>
        <w:t>Commencement Date Confidential Information</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300"/>
        <w:spacing w:after="0" w:line="234" w:lineRule="auto"/>
        <w:rPr>
          <w:sz w:val="20"/>
          <w:szCs w:val="20"/>
          <w:color w:val="auto"/>
        </w:rPr>
      </w:pPr>
      <w:r>
        <w:rPr>
          <w:rFonts w:ascii="Times New Roman" w:cs="Times New Roman" w:eastAsia="Times New Roman" w:hAnsi="Times New Roman"/>
          <w:sz w:val="18"/>
          <w:szCs w:val="18"/>
          <w:color w:val="auto"/>
        </w:rPr>
        <w:t>other equity incentive awards in EWI that the Executive holds at the point in time of the relevant provision of this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of the Company for the time being (including any committee of the Board).</w:t>
      </w:r>
    </w:p>
    <w:p>
      <w:pPr>
        <w:spacing w:after="0" w:line="14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directly or indirectly, whether as principal, shareholder, partner, employee, officer, agent or otherwise, on his own behalf, or on behalf of any person, firm, company or any other entity.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of control includes: (i) completion of any merger, consolidation or sale of substantially all of the assets of</w:t>
      </w:r>
    </w:p>
    <w:p>
      <w:pPr>
        <w:spacing w:after="0" w:line="2"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8"/>
          <w:szCs w:val="18"/>
          <w:color w:val="auto"/>
        </w:rPr>
        <w:t>EWI and such merger results in the stockholders of EWI immediately prior to the merger holding less than 50% of the surviving entity; (ii) replacement of over 25% of the directors of EWI without the approval of at least 75% of the</w:t>
      </w:r>
    </w:p>
    <w:p>
      <w:pPr>
        <w:spacing w:after="0" w:line="1"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EWI directors in office as of the Commencement Date or of EWI directors so approved; or (iii) the acquisition by any person or group of persons of 40% or more of the voting rights of EWI’s outstanding voting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mean: (1) conviction of the Executive of, or the entry of a plea of guilty or nolo contendere by the Executive to,</w:t>
      </w:r>
    </w:p>
    <w:p>
      <w:pPr>
        <w:spacing w:after="0" w:line="2"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8"/>
          <w:szCs w:val="18"/>
          <w:color w:val="auto"/>
        </w:rPr>
        <w:t>any felony, or any misdemeanor involving moral turpitude; (2) fraud, misappropriation or embezzlement by the Executive; (3) Executive’s willful failure, gross negligence or gross misconduct in the performance of Executive’s</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8"/>
          <w:szCs w:val="18"/>
          <w:color w:val="auto"/>
        </w:rPr>
        <w:t>assigned duties for Employer, Relevant Group Company and/or EWI; (4) willful failure by the Executive to follow reasonable instructions of any director/officer of EWI to whom the Executive reports or the Company’s and/or EWI’s</w:t>
      </w:r>
    </w:p>
    <w:p>
      <w:pPr>
        <w:spacing w:after="0" w:line="1"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Board; (5) Executive’s gross negligence or gross misconduct in the performance of Executive’s assigned duties for the Company, Relevant Group Company and/or EWI.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March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information which may be imparted or obtained in confidence or be of a confidential nature (whether imparted in</w:t>
      </w:r>
    </w:p>
    <w:p>
      <w:pPr>
        <w:spacing w:after="0" w:line="2"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8"/>
          <w:szCs w:val="18"/>
          <w:color w:val="auto"/>
        </w:rPr>
        <w:t>writing, verbally or otherwise and whether imparted directly or indirectly) relating to the business or prospective business, current or projected plans or internal affairs of the Company or any Group Company including without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limitation:</w:t>
      </w:r>
    </w:p>
    <w:p>
      <w:pPr>
        <w:spacing w:after="0" w:line="21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040" w:space="720"/>
            <w:col w:w="8480"/>
          </w:cols>
          <w:pgMar w:left="320" w:top="374" w:right="33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1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w:t>
            </w:r>
          </w:p>
        </w:tc>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information relating to the current or prospective marketing or sales of any products or services of the</w:t>
            </w:r>
          </w:p>
        </w:tc>
      </w:tr>
      <w:tr>
        <w:trPr>
          <w:trHeight w:val="216"/>
        </w:trPr>
        <w:tc>
          <w:tcPr>
            <w:tcW w:w="1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 or any Group Company, including lists of customers' and suppliers' names; addresses and</w:t>
            </w:r>
          </w:p>
        </w:tc>
      </w:tr>
      <w:tr>
        <w:trPr>
          <w:trHeight w:val="203"/>
        </w:trPr>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80" w:type="dxa"/>
            <w:vAlign w:val="bottom"/>
          </w:tcPr>
          <w:p>
            <w:pPr>
              <w:ind w:left="240"/>
              <w:spacing w:after="0" w:line="202" w:lineRule="exact"/>
              <w:rPr>
                <w:sz w:val="20"/>
                <w:szCs w:val="20"/>
                <w:color w:val="auto"/>
              </w:rPr>
            </w:pPr>
            <w:r>
              <w:rPr>
                <w:rFonts w:ascii="Times New Roman" w:cs="Times New Roman" w:eastAsia="Times New Roman" w:hAnsi="Times New Roman"/>
                <w:sz w:val="18"/>
                <w:szCs w:val="18"/>
                <w:color w:val="auto"/>
              </w:rPr>
              <w:t>contacts; sales targets and statistics; market share and pricing information; marketing surveys; research and</w:t>
            </w:r>
          </w:p>
        </w:tc>
      </w:tr>
      <w:tr>
        <w:trPr>
          <w:trHeight w:val="234"/>
        </w:trPr>
        <w:tc>
          <w:tcPr>
            <w:tcW w:w="18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reports; and advertising and promotional material;</w:t>
            </w:r>
          </w:p>
        </w:tc>
      </w:tr>
      <w:tr>
        <w:trPr>
          <w:trHeight w:val="292"/>
        </w:trPr>
        <w:tc>
          <w:tcPr>
            <w:tcW w:w="1860" w:type="dxa"/>
            <w:vAlign w:val="bottom"/>
          </w:tcPr>
          <w:p>
            <w:pPr>
              <w:spacing w:after="0"/>
              <w:rPr>
                <w:sz w:val="24"/>
                <w:szCs w:val="24"/>
                <w:color w:val="auto"/>
              </w:rPr>
            </w:pPr>
          </w:p>
        </w:tc>
        <w:tc>
          <w:tcPr>
            <w:tcW w:w="1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(b)</w:t>
            </w:r>
          </w:p>
        </w:tc>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any information relating to any actual or prospective business strategies of the Company or any Group</w:t>
            </w:r>
          </w:p>
        </w:tc>
      </w:tr>
      <w:tr>
        <w:trPr>
          <w:trHeight w:val="234"/>
        </w:trPr>
        <w:tc>
          <w:tcPr>
            <w:tcW w:w="18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w:t>
            </w:r>
          </w:p>
        </w:tc>
      </w:tr>
      <w:tr>
        <w:trPr>
          <w:trHeight w:val="279"/>
        </w:trPr>
        <w:tc>
          <w:tcPr>
            <w:tcW w:w="1860" w:type="dxa"/>
            <w:vAlign w:val="bottom"/>
          </w:tcPr>
          <w:p>
            <w:pPr>
              <w:spacing w:after="0"/>
              <w:rPr>
                <w:sz w:val="24"/>
                <w:szCs w:val="24"/>
                <w:color w:val="auto"/>
              </w:rPr>
            </w:pPr>
          </w:p>
        </w:tc>
        <w:tc>
          <w:tcPr>
            <w:tcW w:w="1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w:t>
            </w:r>
          </w:p>
        </w:tc>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any information relating to any actual or prospective marketing strategies for the launches of any new</w:t>
            </w:r>
          </w:p>
        </w:tc>
      </w:tr>
      <w:tr>
        <w:trPr>
          <w:trHeight w:val="234"/>
        </w:trPr>
        <w:tc>
          <w:tcPr>
            <w:tcW w:w="18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products or services of the Company or any Group Company;</w:t>
            </w:r>
          </w:p>
        </w:tc>
      </w:tr>
      <w:tr>
        <w:trPr>
          <w:trHeight w:val="324"/>
        </w:trPr>
        <w:tc>
          <w:tcPr>
            <w:tcW w:w="1860" w:type="dxa"/>
            <w:vAlign w:val="bottom"/>
          </w:tcPr>
          <w:p>
            <w:pPr>
              <w:spacing w:after="0"/>
              <w:rPr>
                <w:sz w:val="24"/>
                <w:szCs w:val="24"/>
                <w:color w:val="auto"/>
              </w:rPr>
            </w:pPr>
          </w:p>
        </w:tc>
        <w:tc>
          <w:tcPr>
            <w:tcW w:w="1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(d)</w:t>
            </w:r>
          </w:p>
        </w:tc>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details of any client connections and contacts;</w:t>
            </w:r>
          </w:p>
        </w:tc>
      </w:tr>
      <w:tr>
        <w:trPr>
          <w:trHeight w:val="319"/>
        </w:trPr>
        <w:tc>
          <w:tcPr>
            <w:tcW w:w="1860" w:type="dxa"/>
            <w:vAlign w:val="bottom"/>
          </w:tcPr>
          <w:p>
            <w:pPr>
              <w:spacing w:after="0"/>
              <w:rPr>
                <w:sz w:val="24"/>
                <w:szCs w:val="24"/>
                <w:color w:val="auto"/>
              </w:rPr>
            </w:pPr>
          </w:p>
        </w:tc>
        <w:tc>
          <w:tcPr>
            <w:tcW w:w="1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(e)</w:t>
            </w:r>
          </w:p>
        </w:tc>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any information relating to any actual or prospective acquisitions, or internal re-organisations, by the</w:t>
            </w:r>
          </w:p>
        </w:tc>
      </w:tr>
      <w:tr>
        <w:trPr>
          <w:trHeight w:val="234"/>
        </w:trPr>
        <w:tc>
          <w:tcPr>
            <w:tcW w:w="18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 or any Group Company;</w:t>
            </w:r>
          </w:p>
        </w:tc>
      </w:tr>
      <w:tr>
        <w:trPr>
          <w:trHeight w:val="292"/>
        </w:trPr>
        <w:tc>
          <w:tcPr>
            <w:tcW w:w="1860" w:type="dxa"/>
            <w:vAlign w:val="bottom"/>
          </w:tcPr>
          <w:p>
            <w:pPr>
              <w:spacing w:after="0"/>
              <w:rPr>
                <w:sz w:val="24"/>
                <w:szCs w:val="24"/>
                <w:color w:val="auto"/>
              </w:rPr>
            </w:pPr>
          </w:p>
        </w:tc>
        <w:tc>
          <w:tcPr>
            <w:tcW w:w="1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(f)</w:t>
            </w:r>
          </w:p>
        </w:tc>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 know-how, trade secrets, unpublished information relating to the Company's or any Group Company's</w:t>
            </w:r>
          </w:p>
        </w:tc>
      </w:tr>
      <w:tr>
        <w:trPr>
          <w:trHeight w:val="203"/>
        </w:trPr>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80" w:type="dxa"/>
            <w:vAlign w:val="bottom"/>
          </w:tcPr>
          <w:p>
            <w:pPr>
              <w:ind w:left="240"/>
              <w:spacing w:after="0" w:line="202" w:lineRule="exact"/>
              <w:rPr>
                <w:sz w:val="20"/>
                <w:szCs w:val="20"/>
                <w:color w:val="auto"/>
              </w:rPr>
            </w:pPr>
            <w:r>
              <w:rPr>
                <w:rFonts w:ascii="Times New Roman" w:cs="Times New Roman" w:eastAsia="Times New Roman" w:hAnsi="Times New Roman"/>
                <w:sz w:val="18"/>
                <w:szCs w:val="18"/>
                <w:color w:val="auto"/>
              </w:rPr>
              <w:t>intellectual property and to the creation, production or supply of any products or services of the Company</w:t>
            </w:r>
          </w:p>
        </w:tc>
      </w:tr>
      <w:tr>
        <w:trPr>
          <w:trHeight w:val="234"/>
        </w:trPr>
        <w:tc>
          <w:tcPr>
            <w:tcW w:w="18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 any Group Company;</w:t>
            </w:r>
          </w:p>
        </w:tc>
      </w:tr>
      <w:tr>
        <w:trPr>
          <w:trHeight w:val="292"/>
        </w:trPr>
        <w:tc>
          <w:tcPr>
            <w:tcW w:w="1860" w:type="dxa"/>
            <w:vAlign w:val="bottom"/>
          </w:tcPr>
          <w:p>
            <w:pPr>
              <w:spacing w:after="0"/>
              <w:rPr>
                <w:sz w:val="24"/>
                <w:szCs w:val="24"/>
                <w:color w:val="auto"/>
              </w:rPr>
            </w:pPr>
          </w:p>
        </w:tc>
        <w:tc>
          <w:tcPr>
            <w:tcW w:w="1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(g)</w:t>
            </w:r>
          </w:p>
        </w:tc>
        <w:tc>
          <w:tcPr>
            <w:tcW w:w="8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any information to which the Company or any Group Company owes an obligation of confidence to a third</w:t>
            </w:r>
          </w:p>
        </w:tc>
      </w:tr>
      <w:tr>
        <w:trPr>
          <w:trHeight w:val="234"/>
        </w:trPr>
        <w:tc>
          <w:tcPr>
            <w:tcW w:w="18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party; and</w:t>
            </w:r>
          </w:p>
        </w:tc>
      </w:tr>
      <w:tr>
        <w:trPr>
          <w:trHeight w:val="292"/>
        </w:trPr>
        <w:tc>
          <w:tcPr>
            <w:tcW w:w="1860" w:type="dxa"/>
            <w:vAlign w:val="bottom"/>
          </w:tcPr>
          <w:p>
            <w:pPr>
              <w:spacing w:after="0"/>
              <w:rPr>
                <w:sz w:val="24"/>
                <w:szCs w:val="24"/>
                <w:color w:val="auto"/>
              </w:rPr>
            </w:pPr>
          </w:p>
        </w:tc>
        <w:tc>
          <w:tcPr>
            <w:tcW w:w="1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(h)</w:t>
            </w:r>
          </w:p>
        </w:tc>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any other commercial, financial or technical information relating to the business or prospective business of</w:t>
            </w:r>
          </w:p>
        </w:tc>
      </w:tr>
      <w:tr>
        <w:trPr>
          <w:trHeight w:val="203"/>
        </w:trPr>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8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the Company or any Group Company or to any past, current or prospective client, customer, supplier,</w:t>
            </w:r>
          </w:p>
        </w:tc>
      </w:tr>
      <w:tr>
        <w:trPr>
          <w:trHeight w:val="203"/>
        </w:trPr>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8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licensee, officer or employee, agent of the Company or any Group Company or any member or person</w:t>
            </w:r>
          </w:p>
        </w:tc>
      </w:tr>
      <w:tr>
        <w:trPr>
          <w:trHeight w:val="216"/>
        </w:trPr>
        <w:tc>
          <w:tcPr>
            <w:tcW w:w="1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interested in the share capital of the Company or any Group Company and any other person to whom the</w:t>
            </w:r>
          </w:p>
        </w:tc>
      </w:tr>
      <w:tr>
        <w:trPr>
          <w:trHeight w:val="203"/>
        </w:trPr>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8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Company or any Group Company may provide or from whom they may receive information (whether</w:t>
            </w:r>
          </w:p>
        </w:tc>
      </w:tr>
      <w:tr>
        <w:trPr>
          <w:trHeight w:val="234"/>
        </w:trPr>
        <w:tc>
          <w:tcPr>
            <w:tcW w:w="18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marked confidential or not).</w:t>
            </w:r>
          </w:p>
        </w:tc>
      </w:tr>
      <w:tr>
        <w:trPr>
          <w:trHeight w:val="360"/>
        </w:trPr>
        <w:tc>
          <w:tcPr>
            <w:tcW w:w="1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Documents</w:t>
            </w:r>
          </w:p>
        </w:tc>
        <w:tc>
          <w:tcPr>
            <w:tcW w:w="93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documents, notes, memoranda, correspondence, drawings, sketches, plans, designs, disks, memory, notebooks, tapes</w:t>
            </w:r>
          </w:p>
        </w:tc>
      </w:tr>
      <w:tr>
        <w:trPr>
          <w:trHeight w:val="216"/>
        </w:trPr>
        <w:tc>
          <w:tcPr>
            <w:tcW w:w="1860" w:type="dxa"/>
            <w:vAlign w:val="bottom"/>
          </w:tcPr>
          <w:p>
            <w:pPr>
              <w:spacing w:after="0"/>
              <w:rPr>
                <w:sz w:val="18"/>
                <w:szCs w:val="18"/>
                <w:color w:val="auto"/>
              </w:rPr>
            </w:pPr>
          </w:p>
        </w:tc>
        <w:tc>
          <w:tcPr>
            <w:tcW w:w="93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or any other medium, whether or not eye-readable, on which information (whether confidential or otherwise) relating</w:t>
            </w:r>
          </w:p>
        </w:tc>
      </w:tr>
      <w:tr>
        <w:trPr>
          <w:trHeight w:val="202"/>
        </w:trPr>
        <w:tc>
          <w:tcPr>
            <w:tcW w:w="1860" w:type="dxa"/>
            <w:vAlign w:val="bottom"/>
          </w:tcPr>
          <w:p>
            <w:pPr>
              <w:spacing w:after="0"/>
              <w:rPr>
                <w:sz w:val="17"/>
                <w:szCs w:val="17"/>
                <w:color w:val="auto"/>
              </w:rPr>
            </w:pPr>
          </w:p>
        </w:tc>
        <w:tc>
          <w:tcPr>
            <w:tcW w:w="9380" w:type="dxa"/>
            <w:vAlign w:val="bottom"/>
            <w:gridSpan w:val="2"/>
          </w:tcPr>
          <w:p>
            <w:pPr>
              <w:ind w:left="900"/>
              <w:spacing w:after="0" w:line="202" w:lineRule="exact"/>
              <w:rPr>
                <w:sz w:val="20"/>
                <w:szCs w:val="20"/>
                <w:color w:val="auto"/>
              </w:rPr>
            </w:pPr>
            <w:r>
              <w:rPr>
                <w:rFonts w:ascii="Times New Roman" w:cs="Times New Roman" w:eastAsia="Times New Roman" w:hAnsi="Times New Roman"/>
                <w:sz w:val="18"/>
                <w:szCs w:val="18"/>
                <w:color w:val="auto"/>
              </w:rPr>
              <w:t>to the business or affairs of the Company or any Group Company or to any past, current or prospective client,</w:t>
            </w:r>
          </w:p>
        </w:tc>
      </w:tr>
      <w:tr>
        <w:trPr>
          <w:trHeight w:val="203"/>
        </w:trPr>
        <w:tc>
          <w:tcPr>
            <w:tcW w:w="1860" w:type="dxa"/>
            <w:vAlign w:val="bottom"/>
          </w:tcPr>
          <w:p>
            <w:pPr>
              <w:spacing w:after="0"/>
              <w:rPr>
                <w:sz w:val="17"/>
                <w:szCs w:val="17"/>
                <w:color w:val="auto"/>
              </w:rPr>
            </w:pPr>
          </w:p>
        </w:tc>
        <w:tc>
          <w:tcPr>
            <w:tcW w:w="9380" w:type="dxa"/>
            <w:vAlign w:val="bottom"/>
            <w:gridSpan w:val="2"/>
          </w:tcPr>
          <w:p>
            <w:pPr>
              <w:ind w:left="900"/>
              <w:spacing w:after="0" w:line="202" w:lineRule="exact"/>
              <w:rPr>
                <w:sz w:val="20"/>
                <w:szCs w:val="20"/>
                <w:color w:val="auto"/>
              </w:rPr>
            </w:pPr>
            <w:r>
              <w:rPr>
                <w:rFonts w:ascii="Times New Roman" w:cs="Times New Roman" w:eastAsia="Times New Roman" w:hAnsi="Times New Roman"/>
                <w:sz w:val="18"/>
                <w:szCs w:val="18"/>
                <w:color w:val="auto"/>
              </w:rPr>
              <w:t>customer, supplier, licensee, officer, employee, or agent of the Company or any Group Company or any member or</w:t>
            </w:r>
          </w:p>
        </w:tc>
      </w:tr>
      <w:tr>
        <w:trPr>
          <w:trHeight w:val="216"/>
        </w:trPr>
        <w:tc>
          <w:tcPr>
            <w:tcW w:w="1860" w:type="dxa"/>
            <w:vAlign w:val="bottom"/>
          </w:tcPr>
          <w:p>
            <w:pPr>
              <w:spacing w:after="0"/>
              <w:rPr>
                <w:sz w:val="18"/>
                <w:szCs w:val="18"/>
                <w:color w:val="auto"/>
              </w:rPr>
            </w:pPr>
          </w:p>
        </w:tc>
        <w:tc>
          <w:tcPr>
            <w:tcW w:w="93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person interested in the share capital of the Company or any Group Company and any other person to whom the</w:t>
            </w:r>
          </w:p>
        </w:tc>
      </w:tr>
      <w:tr>
        <w:trPr>
          <w:trHeight w:val="203"/>
        </w:trPr>
        <w:tc>
          <w:tcPr>
            <w:tcW w:w="1860" w:type="dxa"/>
            <w:vAlign w:val="bottom"/>
          </w:tcPr>
          <w:p>
            <w:pPr>
              <w:spacing w:after="0"/>
              <w:rPr>
                <w:sz w:val="17"/>
                <w:szCs w:val="17"/>
                <w:color w:val="auto"/>
              </w:rPr>
            </w:pPr>
          </w:p>
        </w:tc>
        <w:tc>
          <w:tcPr>
            <w:tcW w:w="9380" w:type="dxa"/>
            <w:vAlign w:val="bottom"/>
            <w:gridSpan w:val="2"/>
          </w:tcPr>
          <w:p>
            <w:pPr>
              <w:ind w:left="900"/>
              <w:spacing w:after="0" w:line="202" w:lineRule="exact"/>
              <w:rPr>
                <w:sz w:val="20"/>
                <w:szCs w:val="20"/>
                <w:color w:val="auto"/>
              </w:rPr>
            </w:pPr>
            <w:r>
              <w:rPr>
                <w:rFonts w:ascii="Times New Roman" w:cs="Times New Roman" w:eastAsia="Times New Roman" w:hAnsi="Times New Roman"/>
                <w:sz w:val="18"/>
                <w:szCs w:val="18"/>
                <w:color w:val="auto"/>
              </w:rPr>
              <w:t>Company or any Group Company may provide or from whom they may receive information (whether confidential or</w:t>
            </w:r>
          </w:p>
        </w:tc>
      </w:tr>
      <w:tr>
        <w:trPr>
          <w:trHeight w:val="203"/>
        </w:trPr>
        <w:tc>
          <w:tcPr>
            <w:tcW w:w="1860" w:type="dxa"/>
            <w:vAlign w:val="bottom"/>
          </w:tcPr>
          <w:p>
            <w:pPr>
              <w:spacing w:after="0"/>
              <w:rPr>
                <w:sz w:val="17"/>
                <w:szCs w:val="17"/>
                <w:color w:val="auto"/>
              </w:rPr>
            </w:pPr>
          </w:p>
        </w:tc>
        <w:tc>
          <w:tcPr>
            <w:tcW w:w="9380" w:type="dxa"/>
            <w:vAlign w:val="bottom"/>
            <w:gridSpan w:val="2"/>
          </w:tcPr>
          <w:p>
            <w:pPr>
              <w:ind w:left="900"/>
              <w:spacing w:after="0" w:line="202" w:lineRule="exact"/>
              <w:rPr>
                <w:sz w:val="20"/>
                <w:szCs w:val="20"/>
                <w:color w:val="auto"/>
              </w:rPr>
            </w:pPr>
            <w:r>
              <w:rPr>
                <w:rFonts w:ascii="Times New Roman" w:cs="Times New Roman" w:eastAsia="Times New Roman" w:hAnsi="Times New Roman"/>
                <w:sz w:val="18"/>
                <w:szCs w:val="18"/>
                <w:color w:val="auto"/>
              </w:rPr>
              <w:t>not) may from time to time be referred to, written, recorded or stored (including without limitation any such</w:t>
            </w:r>
          </w:p>
        </w:tc>
      </w:tr>
      <w:tr>
        <w:trPr>
          <w:trHeight w:val="234"/>
        </w:trPr>
        <w:tc>
          <w:tcPr>
            <w:tcW w:w="1860" w:type="dxa"/>
            <w:vAlign w:val="bottom"/>
          </w:tcPr>
          <w:p>
            <w:pPr>
              <w:spacing w:after="0"/>
              <w:rPr>
                <w:sz w:val="20"/>
                <w:szCs w:val="20"/>
                <w:color w:val="auto"/>
              </w:rPr>
            </w:pPr>
          </w:p>
        </w:tc>
        <w:tc>
          <w:tcPr>
            <w:tcW w:w="93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information on any social media websites).</w:t>
            </w:r>
          </w:p>
        </w:tc>
      </w:tr>
      <w:tr>
        <w:trPr>
          <w:trHeight w:val="405"/>
        </w:trPr>
        <w:tc>
          <w:tcPr>
            <w:tcW w:w="1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Employment</w:t>
            </w:r>
          </w:p>
        </w:tc>
        <w:tc>
          <w:tcPr>
            <w:tcW w:w="93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the employment of the Executive pursuant to this Agreement.</w:t>
            </w:r>
          </w:p>
        </w:tc>
      </w:tr>
      <w:tr>
        <w:trPr>
          <w:trHeight w:val="580"/>
        </w:trPr>
        <w:tc>
          <w:tcPr>
            <w:tcW w:w="1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8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44</w:t>
            </w:r>
          </w:p>
        </w:tc>
      </w:tr>
      <w:tr>
        <w:trPr>
          <w:trHeight w:val="128"/>
        </w:trPr>
        <w:tc>
          <w:tcPr>
            <w:tcW w:w="18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80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EWI</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Group Company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Employee</w:t>
      </w:r>
    </w:p>
    <w:p>
      <w:pPr>
        <w:spacing w:after="0" w:line="20" w:lineRule="exact"/>
        <w:rPr>
          <w:sz w:val="20"/>
          <w:szCs w:val="20"/>
          <w:color w:val="auto"/>
        </w:rPr>
      </w:pPr>
      <w:r>
        <w:rPr>
          <w:sz w:val="20"/>
          <w:szCs w:val="20"/>
          <w:color w:val="auto"/>
        </w:rPr>
        <w:br w:type="column"/>
      </w:r>
    </w:p>
    <w:p>
      <w:pPr>
        <w:ind w:left="4" w:right="3020"/>
        <w:spacing w:after="0" w:line="297" w:lineRule="auto"/>
        <w:rPr>
          <w:sz w:val="20"/>
          <w:szCs w:val="20"/>
          <w:color w:val="auto"/>
        </w:rPr>
      </w:pPr>
      <w:r>
        <w:rPr>
          <w:rFonts w:ascii="Times New Roman" w:cs="Times New Roman" w:eastAsia="Times New Roman" w:hAnsi="Times New Roman"/>
          <w:sz w:val="18"/>
          <w:szCs w:val="18"/>
          <w:color w:val="auto"/>
        </w:rPr>
        <w:t>Euronet Worldwide, Inc., the ultimate parent company of the Company and Group.</w:t>
      </w:r>
    </w:p>
    <w:p>
      <w:pPr>
        <w:spacing w:after="0" w:line="68" w:lineRule="exact"/>
        <w:rPr>
          <w:sz w:val="20"/>
          <w:szCs w:val="20"/>
          <w:color w:val="auto"/>
        </w:rPr>
      </w:pPr>
    </w:p>
    <w:p>
      <w:pPr>
        <w:jc w:val="both"/>
        <w:ind w:left="4"/>
        <w:spacing w:after="0" w:line="258" w:lineRule="auto"/>
        <w:rPr>
          <w:sz w:val="20"/>
          <w:szCs w:val="20"/>
          <w:color w:val="auto"/>
        </w:rPr>
      </w:pPr>
      <w:r>
        <w:rPr>
          <w:rFonts w:ascii="Times New Roman" w:cs="Times New Roman" w:eastAsia="Times New Roman" w:hAnsi="Times New Roman"/>
          <w:sz w:val="18"/>
          <w:szCs w:val="18"/>
          <w:color w:val="auto"/>
        </w:rPr>
        <w:t>shall mean a termination of the Agreement at the Executive’s own initiative within one year following the occurrence, without Executive’s prior written consent, of one or more of the following events not on account of Cause (“</w:t>
      </w:r>
      <w:r>
        <w:rPr>
          <w:rFonts w:ascii="Times New Roman" w:cs="Times New Roman" w:eastAsia="Times New Roman" w:hAnsi="Times New Roman"/>
          <w:sz w:val="18"/>
          <w:szCs w:val="18"/>
          <w:b w:val="1"/>
          <w:bCs w:val="1"/>
          <w:color w:val="auto"/>
        </w:rPr>
        <w:t>Constructive Termination Event(s)</w:t>
      </w:r>
      <w:r>
        <w:rPr>
          <w:rFonts w:ascii="Times New Roman" w:cs="Times New Roman" w:eastAsia="Times New Roman" w:hAnsi="Times New Roman"/>
          <w:sz w:val="18"/>
          <w:szCs w:val="18"/>
          <w:color w:val="auto"/>
        </w:rPr>
        <w:t>”):</w:t>
      </w:r>
    </w:p>
    <w:p>
      <w:pPr>
        <w:spacing w:after="0" w:line="61" w:lineRule="exact"/>
        <w:rPr>
          <w:sz w:val="20"/>
          <w:szCs w:val="20"/>
          <w:color w:val="auto"/>
        </w:rPr>
      </w:pPr>
    </w:p>
    <w:p>
      <w:pPr>
        <w:jc w:val="both"/>
        <w:ind w:left="4" w:hanging="4"/>
        <w:spacing w:after="0" w:line="258" w:lineRule="auto"/>
        <w:tabs>
          <w:tab w:leader="none" w:pos="28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and adverse diminution in the nature or scope of Executive’s authority, title, responsibilities or duties, unless Executive is given new authority or duties that are substantially comparable to Executive’s previous authority or duties;</w:t>
      </w:r>
    </w:p>
    <w:p>
      <w:pPr>
        <w:spacing w:after="0" w:line="61" w:lineRule="exact"/>
        <w:rPr>
          <w:rFonts w:ascii="Times New Roman" w:cs="Times New Roman" w:eastAsia="Times New Roman" w:hAnsi="Times New Roman"/>
          <w:sz w:val="18"/>
          <w:szCs w:val="18"/>
          <w:color w:val="auto"/>
        </w:rPr>
      </w:pPr>
    </w:p>
    <w:p>
      <w:pPr>
        <w:jc w:val="both"/>
        <w:ind w:left="4" w:hanging="4"/>
        <w:spacing w:after="0" w:line="250" w:lineRule="auto"/>
        <w:tabs>
          <w:tab w:leader="none" w:pos="26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Executive’s then-current base salary, or a significant reduction in Executive’s opportunities for earnings under Executive’s incentive compensation plans (not attributable to economic conditions or business performance at the time), or the termination or significant reduction of any employee benefit or perquisite enjoyed by the Executive (except as part of a general reduction that applies to substantially all similarly situated employees or participants);</w:t>
      </w:r>
    </w:p>
    <w:p>
      <w:pPr>
        <w:spacing w:after="0" w:line="69" w:lineRule="exact"/>
        <w:rPr>
          <w:rFonts w:ascii="Times New Roman" w:cs="Times New Roman" w:eastAsia="Times New Roman" w:hAnsi="Times New Roman"/>
          <w:sz w:val="18"/>
          <w:szCs w:val="18"/>
          <w:color w:val="auto"/>
        </w:rPr>
      </w:pPr>
    </w:p>
    <w:p>
      <w:pPr>
        <w:ind w:left="4" w:hanging="4"/>
        <w:spacing w:after="0" w:line="266" w:lineRule="auto"/>
        <w:tabs>
          <w:tab w:leader="none" w:pos="27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Executive’s place of employment such that Executive is required to work more than 50 miles from Executive’s then current place of employment; or</w:t>
      </w:r>
    </w:p>
    <w:p>
      <w:pPr>
        <w:spacing w:after="0" w:line="67" w:lineRule="exact"/>
        <w:rPr>
          <w:rFonts w:ascii="Times New Roman" w:cs="Times New Roman" w:eastAsia="Times New Roman" w:hAnsi="Times New Roman"/>
          <w:sz w:val="18"/>
          <w:szCs w:val="18"/>
          <w:color w:val="auto"/>
        </w:rPr>
      </w:pPr>
    </w:p>
    <w:p>
      <w:pPr>
        <w:ind w:left="4" w:hanging="4"/>
        <w:spacing w:after="0" w:line="266" w:lineRule="auto"/>
        <w:tabs>
          <w:tab w:leader="none" w:pos="26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Employer to obtain an assumption in writing of its obligation to perform this Agreement by any successor to all or substantially all of the assets of Employer and/or EWI within 45 days after a Change of Control.</w:t>
      </w:r>
    </w:p>
    <w:p>
      <w:pPr>
        <w:spacing w:after="0" w:line="54" w:lineRule="exact"/>
        <w:rPr>
          <w:sz w:val="20"/>
          <w:szCs w:val="20"/>
          <w:color w:val="auto"/>
        </w:rPr>
      </w:pPr>
    </w:p>
    <w:p>
      <w:pPr>
        <w:jc w:val="both"/>
        <w:ind w:left="4"/>
        <w:spacing w:after="0" w:line="247" w:lineRule="auto"/>
        <w:rPr>
          <w:sz w:val="20"/>
          <w:szCs w:val="20"/>
          <w:color w:val="auto"/>
        </w:rPr>
      </w:pPr>
      <w:r>
        <w:rPr>
          <w:rFonts w:ascii="Times New Roman" w:cs="Times New Roman" w:eastAsia="Times New Roman" w:hAnsi="Times New Roman"/>
          <w:sz w:val="18"/>
          <w:szCs w:val="18"/>
          <w:color w:val="auto"/>
        </w:rPr>
        <w:t>If the Executive believes there exists a basis for termination by the Executive for Good Reason, the Executive shall provide the Employer and/or EWI written notice within 30 days of the occurrence of the Constructive Termination Event describing such event, and the Employer and/or EWI shall be provided the opportunity to cure the cause of the Constructive Termination Event within a 30-day period following Employer’s and/or EWI’s receipt of the written notice. If the cause of the constructive termination is cured, then no right of termination for Good Reason shall be found to have taken place.</w:t>
      </w:r>
    </w:p>
    <w:p>
      <w:pPr>
        <w:spacing w:after="0" w:line="18" w:lineRule="exact"/>
        <w:rPr>
          <w:sz w:val="20"/>
          <w:szCs w:val="20"/>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t>EWI and the Company, and their subsidiary undertakings from time to time and the ultimate parent undertaking (if any) of the Company from time to time and every other undertaking which from time to time is a subsidiary undertaking of the same ultimate holding company (if any) from time to time.</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any undertaking within the Group and references to the "Group Companies" shall be construed accordingly.</w:t>
      </w:r>
    </w:p>
    <w:p>
      <w:pPr>
        <w:spacing w:after="0" w:line="10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any employee of the Company or any Group Company who is (or was at any time in the Period):</w:t>
      </w:r>
    </w:p>
    <w:p>
      <w:pPr>
        <w:spacing w:after="0" w:line="104" w:lineRule="exact"/>
        <w:rPr>
          <w:sz w:val="20"/>
          <w:szCs w:val="20"/>
          <w:color w:val="auto"/>
        </w:rPr>
      </w:pPr>
    </w:p>
    <w:p>
      <w:pPr>
        <w:ind w:left="964" w:hanging="964"/>
        <w:spacing w:after="0"/>
        <w:tabs>
          <w:tab w:leader="none" w:pos="9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management grade; or</w:t>
      </w:r>
    </w:p>
    <w:p>
      <w:pPr>
        <w:spacing w:after="0" w:line="157" w:lineRule="exact"/>
        <w:rPr>
          <w:rFonts w:ascii="Times New Roman" w:cs="Times New Roman" w:eastAsia="Times New Roman" w:hAnsi="Times New Roman"/>
          <w:sz w:val="18"/>
          <w:szCs w:val="18"/>
          <w:color w:val="auto"/>
        </w:rPr>
      </w:pPr>
    </w:p>
    <w:p>
      <w:pPr>
        <w:ind w:left="964" w:hanging="964"/>
        <w:spacing w:after="0"/>
        <w:tabs>
          <w:tab w:leader="none" w:pos="9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senior capacity; or</w:t>
      </w:r>
    </w:p>
    <w:p>
      <w:pPr>
        <w:spacing w:after="0" w:line="103" w:lineRule="exact"/>
        <w:rPr>
          <w:rFonts w:ascii="Times New Roman" w:cs="Times New Roman" w:eastAsia="Times New Roman" w:hAnsi="Times New Roman"/>
          <w:sz w:val="18"/>
          <w:szCs w:val="18"/>
          <w:color w:val="auto"/>
        </w:rPr>
      </w:pPr>
    </w:p>
    <w:p>
      <w:pPr>
        <w:ind w:left="964" w:hanging="964"/>
        <w:spacing w:after="0"/>
        <w:tabs>
          <w:tab w:leader="none" w:pos="9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capacity in which he has access to or obtained Confidential Information,</w:t>
      </w:r>
    </w:p>
    <w:p>
      <w:pPr>
        <w:spacing w:after="0" w:line="279" w:lineRule="exact"/>
        <w:rPr>
          <w:sz w:val="20"/>
          <w:szCs w:val="20"/>
          <w:color w:val="auto"/>
        </w:rPr>
      </w:pPr>
    </w:p>
    <w:p>
      <w:pPr>
        <w:ind w:left="2784"/>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-1757045</wp:posOffset>
            </wp:positionH>
            <wp:positionV relativeFrom="paragraph">
              <wp:posOffset>81915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976" w:space="720"/>
            <w:col w:w="8444"/>
          </w:cols>
          <w:pgMar w:left="380" w:top="540" w:right="379" w:bottom="1440" w:gutter="0" w:footer="0" w:header="0"/>
        </w:sectPr>
      </w:pPr>
    </w:p>
    <w:bookmarkStart w:id="47" w:name="page48"/>
    <w:bookmarkEnd w:id="47"/>
    <w:p>
      <w:pPr>
        <w:ind w:left="2760"/>
        <w:spacing w:after="0"/>
        <w:rPr>
          <w:sz w:val="20"/>
          <w:szCs w:val="20"/>
          <w:color w:val="auto"/>
        </w:rPr>
      </w:pPr>
      <w:r>
        <w:rPr>
          <w:rFonts w:ascii="Times New Roman" w:cs="Times New Roman" w:eastAsia="Times New Roman" w:hAnsi="Times New Roman"/>
          <w:sz w:val="18"/>
          <w:szCs w:val="18"/>
          <w:color w:val="auto"/>
        </w:rPr>
        <w:t>and with whom the Executive has had personal dealings, or who reported to</w:t>
      </w:r>
    </w:p>
    <w:p>
      <w:pPr>
        <w:spacing w:after="0" w:line="2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7"/>
          <w:szCs w:val="17"/>
          <w:color w:val="auto"/>
        </w:rPr>
        <w:t>the Executive, or for whose work the Executive has had responsibility, at any time during the Period.</w:t>
      </w:r>
    </w:p>
    <w:p>
      <w:pPr>
        <w:sectPr>
          <w:pgSz w:w="11900" w:h="16838" w:orient="portrait"/>
          <w:cols w:equalWidth="0" w:num="1">
            <w:col w:w="11200"/>
          </w:cols>
          <w:pgMar w:left="320" w:top="634" w:right="379" w:bottom="1440" w:gutter="0" w:footer="0" w:header="0"/>
        </w:sectPr>
      </w:pP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Period</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period of 12 months immediately before the Termination Date.</w:t>
      </w:r>
    </w:p>
    <w:p>
      <w:pPr>
        <w:spacing w:after="0" w:line="213" w:lineRule="exact"/>
        <w:rPr>
          <w:sz w:val="20"/>
          <w:szCs w:val="20"/>
          <w:color w:val="auto"/>
        </w:rPr>
      </w:pPr>
    </w:p>
    <w:p>
      <w:pPr>
        <w:sectPr>
          <w:pgSz w:w="11900" w:h="16838" w:orient="portrait"/>
          <w:cols w:equalWidth="0" w:num="2">
            <w:col w:w="2040" w:space="720"/>
            <w:col w:w="8440"/>
          </w:cols>
          <w:pgMar w:left="320" w:top="634" w:right="379" w:bottom="1440" w:gutter="0" w:footer="0" w:header="0"/>
          <w:type w:val="continuous"/>
        </w:sectPr>
      </w:pPr>
    </w:p>
    <w:p>
      <w:pPr>
        <w:spacing w:after="0" w:line="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Permitted Interest</w:t>
      </w:r>
    </w:p>
    <w:p>
      <w:pPr>
        <w:spacing w:after="0" w:line="20" w:lineRule="exact"/>
        <w:rPr>
          <w:sz w:val="20"/>
          <w:szCs w:val="20"/>
          <w:color w:val="auto"/>
        </w:rPr>
      </w:pPr>
      <w:r>
        <w:rPr>
          <w:sz w:val="20"/>
          <w:szCs w:val="20"/>
          <w:color w:val="auto"/>
        </w:rPr>
        <w:br w:type="column"/>
      </w:r>
    </w:p>
    <w:p>
      <w:pPr>
        <w:jc w:val="both"/>
        <w:spacing w:after="0" w:line="250" w:lineRule="auto"/>
        <w:rPr>
          <w:sz w:val="20"/>
          <w:szCs w:val="20"/>
          <w:color w:val="auto"/>
        </w:rPr>
      </w:pPr>
      <w:r>
        <w:rPr>
          <w:rFonts w:ascii="Times New Roman" w:cs="Times New Roman" w:eastAsia="Times New Roman" w:hAnsi="Times New Roman"/>
          <w:sz w:val="18"/>
          <w:szCs w:val="18"/>
          <w:color w:val="auto"/>
        </w:rPr>
        <w:t>an interest in any class of shares or other securities of any company that are traded on a recognized investment exchange that amount to not more than three per cent of such class of issued shares or securities and an interest in any units of any authorized unit trust.</w:t>
      </w:r>
    </w:p>
    <w:p>
      <w:pPr>
        <w:spacing w:after="0" w:line="150" w:lineRule="exact"/>
        <w:rPr>
          <w:sz w:val="20"/>
          <w:szCs w:val="20"/>
          <w:color w:val="auto"/>
        </w:rPr>
      </w:pPr>
    </w:p>
    <w:p>
      <w:pPr>
        <w:sectPr>
          <w:pgSz w:w="11900" w:h="16838" w:orient="portrait"/>
          <w:cols w:equalWidth="0" w:num="2">
            <w:col w:w="2060" w:space="720"/>
            <w:col w:w="8420"/>
          </w:cols>
          <w:pgMar w:left="320" w:top="634" w:right="37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7"/>
          <w:szCs w:val="17"/>
          <w:color w:val="auto"/>
        </w:rPr>
        <w:t>Relevant Group Company</w:t>
      </w:r>
    </w:p>
    <w:p>
      <w:pPr>
        <w:spacing w:after="0" w:line="20" w:lineRule="exact"/>
        <w:rPr>
          <w:sz w:val="20"/>
          <w:szCs w:val="20"/>
          <w:color w:val="auto"/>
        </w:rPr>
      </w:pPr>
      <w:r>
        <w:rPr>
          <w:sz w:val="20"/>
          <w:szCs w:val="20"/>
          <w:color w:val="auto"/>
        </w:rPr>
        <w:br w:type="column"/>
      </w:r>
    </w:p>
    <w:p>
      <w:pPr>
        <w:ind w:right="20"/>
        <w:spacing w:after="0" w:line="266" w:lineRule="auto"/>
        <w:rPr>
          <w:sz w:val="20"/>
          <w:szCs w:val="20"/>
          <w:color w:val="auto"/>
        </w:rPr>
      </w:pPr>
      <w:r>
        <w:rPr>
          <w:rFonts w:ascii="Times New Roman" w:cs="Times New Roman" w:eastAsia="Times New Roman" w:hAnsi="Times New Roman"/>
          <w:sz w:val="18"/>
          <w:szCs w:val="18"/>
          <w:color w:val="auto"/>
        </w:rPr>
        <w:t>each Group Company for which the Executive performed material duties or about which he received Confidential Information, in each case during the Period.</w:t>
      </w:r>
    </w:p>
    <w:p>
      <w:pPr>
        <w:spacing w:after="0" w:line="149" w:lineRule="exact"/>
        <w:rPr>
          <w:sz w:val="20"/>
          <w:szCs w:val="20"/>
          <w:color w:val="auto"/>
        </w:rPr>
      </w:pPr>
    </w:p>
    <w:p>
      <w:pPr>
        <w:sectPr>
          <w:pgSz w:w="11900" w:h="16838" w:orient="portrait"/>
          <w:cols w:equalWidth="0" w:num="2">
            <w:col w:w="2080" w:space="720"/>
            <w:col w:w="8400"/>
          </w:cols>
          <w:pgMar w:left="320" w:top="634" w:right="37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7"/>
          <w:szCs w:val="17"/>
          <w:color w:val="auto"/>
        </w:rPr>
        <w:t>Remuneration Committee</w:t>
      </w:r>
    </w:p>
    <w:p>
      <w:pPr>
        <w:spacing w:after="0" w:line="20" w:lineRule="exact"/>
        <w:rPr>
          <w:sz w:val="20"/>
          <w:szCs w:val="20"/>
          <w:color w:val="auto"/>
        </w:rPr>
      </w:pPr>
      <w:r>
        <w:rPr>
          <w:sz w:val="20"/>
          <w:szCs w:val="20"/>
          <w:color w:val="auto"/>
        </w:rPr>
        <w:br w:type="column"/>
      </w: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 committee of the Board, or a committee of the board of directors of any Group Company and in particular one of EWI, that determines the annual salary, any bonuses and other remuneration payable to the Executive and other employees of the Group who hold a similar stature to that of the Executive within the Group.</w:t>
      </w:r>
    </w:p>
    <w:p>
      <w:pPr>
        <w:spacing w:after="0" w:line="150" w:lineRule="exact"/>
        <w:rPr>
          <w:sz w:val="20"/>
          <w:szCs w:val="20"/>
          <w:color w:val="auto"/>
        </w:rPr>
      </w:pPr>
    </w:p>
    <w:p>
      <w:pPr>
        <w:sectPr>
          <w:pgSz w:w="11900" w:h="16838" w:orient="portrait"/>
          <w:cols w:equalWidth="0" w:num="2">
            <w:col w:w="2080" w:space="720"/>
            <w:col w:w="8400"/>
          </w:cols>
          <w:pgMar w:left="320" w:top="634" w:right="37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7"/>
          <w:szCs w:val="17"/>
          <w:color w:val="auto"/>
        </w:rPr>
        <w:t>Restricted Area</w:t>
      </w:r>
    </w:p>
    <w:p>
      <w:pPr>
        <w:spacing w:after="0" w:line="20" w:lineRule="exact"/>
        <w:rPr>
          <w:sz w:val="20"/>
          <w:szCs w:val="20"/>
          <w:color w:val="auto"/>
        </w:rPr>
      </w:pPr>
      <w:r>
        <w:rPr>
          <w:sz w:val="20"/>
          <w:szCs w:val="20"/>
          <w:color w:val="auto"/>
        </w:rPr>
        <w:br w:type="column"/>
      </w:r>
    </w:p>
    <w:p>
      <w:pPr>
        <w:ind w:right="20"/>
        <w:spacing w:after="0" w:line="266" w:lineRule="auto"/>
        <w:rPr>
          <w:sz w:val="20"/>
          <w:szCs w:val="20"/>
          <w:color w:val="auto"/>
        </w:rPr>
      </w:pPr>
      <w:r>
        <w:rPr>
          <w:rFonts w:ascii="Times New Roman" w:cs="Times New Roman" w:eastAsia="Times New Roman" w:hAnsi="Times New Roman"/>
          <w:sz w:val="18"/>
          <w:szCs w:val="18"/>
          <w:color w:val="auto"/>
        </w:rPr>
        <w:t>Greece and any other country in which at the Termination Date the Company or any other Relevant Group Company has or proposed to have material business operations.</w:t>
      </w:r>
    </w:p>
    <w:p>
      <w:pPr>
        <w:spacing w:after="0" w:line="135" w:lineRule="exact"/>
        <w:rPr>
          <w:sz w:val="20"/>
          <w:szCs w:val="20"/>
          <w:color w:val="auto"/>
        </w:rPr>
      </w:pPr>
    </w:p>
    <w:p>
      <w:pPr>
        <w:sectPr>
          <w:pgSz w:w="11900" w:h="16838" w:orient="portrait"/>
          <w:cols w:equalWidth="0" w:num="2">
            <w:col w:w="2080" w:space="720"/>
            <w:col w:w="8400"/>
          </w:cols>
          <w:pgMar w:left="320" w:top="634" w:right="37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6"/>
          <w:szCs w:val="16"/>
          <w:color w:val="auto"/>
        </w:rPr>
        <w:t>Termination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date of termination of this Agreement in any manner.</w:t>
      </w:r>
    </w:p>
    <w:p>
      <w:pPr>
        <w:spacing w:after="0" w:line="200" w:lineRule="exact"/>
        <w:rPr>
          <w:sz w:val="20"/>
          <w:szCs w:val="20"/>
          <w:color w:val="auto"/>
        </w:rPr>
      </w:pPr>
    </w:p>
    <w:p>
      <w:pPr>
        <w:sectPr>
          <w:pgSz w:w="11900" w:h="16838" w:orient="portrait"/>
          <w:cols w:equalWidth="0" w:num="2">
            <w:col w:w="2100" w:space="720"/>
            <w:col w:w="8380"/>
          </w:cols>
          <w:pgMar w:left="320" w:top="634" w:right="379" w:bottom="1440" w:gutter="0" w:footer="0" w:header="0"/>
          <w:type w:val="continuous"/>
        </w:sectPr>
      </w:pPr>
    </w:p>
    <w:p>
      <w:pPr>
        <w:spacing w:after="0" w:line="33" w:lineRule="exact"/>
        <w:rPr>
          <w:sz w:val="20"/>
          <w:szCs w:val="20"/>
          <w:color w:val="auto"/>
        </w:rPr>
      </w:pPr>
    </w:p>
    <w:p>
      <w:pPr>
        <w:ind w:left="1000" w:hanging="991"/>
        <w:spacing w:after="0"/>
        <w:tabs>
          <w:tab w:leader="none" w:pos="10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Job position</w:t>
      </w:r>
    </w:p>
    <w:p>
      <w:pPr>
        <w:spacing w:after="0" w:line="148"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1.1 After taking into consideration his qualifications, skills and expertise, the Company hires the Employee in the position of Chief Executive Officer - EFT Americas &amp; EMEA, and Executive Vice President for EWI, which is a position of supervision, management and of confidential capacity, pursuant to article 2(a) of the International Labour Convention (Hours of Work, 1919), which has been ratified by L. 2269/1920.</w:t>
      </w:r>
    </w:p>
    <w:p>
      <w:pPr>
        <w:spacing w:after="0" w:line="61"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1.2. The job duties of the Executive include those set out in the Schedule A to this Agreement, and, also, any other additional or alternative commensurate duties, which will be notified by the Company from time to time.</w:t>
      </w:r>
    </w:p>
    <w:p>
      <w:pPr>
        <w:spacing w:after="0" w:line="40"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18"/>
          <w:szCs w:val="18"/>
          <w:color w:val="auto"/>
        </w:rPr>
        <w:t>The granting to the Executive by the Company and/or EWI of any title and/or right to represent the Company is always effected exclusively and only for the service of the Company's and/or EWI’s business needs. The above shall apply in all cases without the need for express repetition of the above reservation in each special case of grant. Similarly, it is explicitly agreed that the granting to the Executive by any Group Company of any title and/or right to represent the Group Company may be revoked at any time, without it being deemed as demotion or unilateral harmful change of the employment terms of the Executive, under this Agreement.</w:t>
      </w:r>
    </w:p>
    <w:p>
      <w:pPr>
        <w:spacing w:after="0" w:line="87"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1.3. Transfer/Secondment: Having knowledge of the business, locations and other conditions in the Group, the Executive explicitly agrees with the present Agreement that he may be transferred or seconded to another Group entity, on the same terms and conditions set out herein and subject to any local employment laws, on reasonable notice of not less than three (3) months.</w:t>
      </w: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34" w:right="379" w:bottom="1440" w:gutter="0" w:footer="0" w:header="0"/>
          <w:type w:val="continuous"/>
        </w:sectPr>
      </w:pPr>
    </w:p>
    <w:bookmarkStart w:id="48" w:name="page49"/>
    <w:bookmarkEnd w:id="48"/>
    <w:p>
      <w:pPr>
        <w:ind w:left="1000" w:hanging="991"/>
        <w:spacing w:after="0"/>
        <w:tabs>
          <w:tab w:leader="none" w:pos="10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Contract/Commencement Date</w:t>
      </w:r>
    </w:p>
    <w:p>
      <w:pPr>
        <w:spacing w:after="0" w:line="14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2.1. This Agreement is agreed for indefinite term, is entirely and exclusively governed by the relevant provisions of legislation as in force and it enters into force on the Commencement Date.</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2.2. The Company recognizes the Executive’s prior service with the Group from 5 October 2005 until 28 March 2025 in connection with all employment rights that are linked with the time of service (i.e., for the calculation of severance, annual leave, etc).</w:t>
      </w:r>
    </w:p>
    <w:p>
      <w:pPr>
        <w:spacing w:after="0" w:line="50" w:lineRule="exact"/>
        <w:rPr>
          <w:sz w:val="20"/>
          <w:szCs w:val="20"/>
          <w:color w:val="auto"/>
        </w:rPr>
      </w:pPr>
    </w:p>
    <w:p>
      <w:pPr>
        <w:ind w:left="1000" w:hanging="991"/>
        <w:spacing w:after="0"/>
        <w:tabs>
          <w:tab w:leader="none" w:pos="10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Working hours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3.1. The hours of work of the Executive are not fixed but are such normal working hours of the Company and such additional hours as may be necessary to enable him properly to discharge his duties.</w:t>
      </w:r>
    </w:p>
    <w:p>
      <w:pPr>
        <w:spacing w:after="0" w:line="5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 xml:space="preserve">3.2. Given his role as set forth in article 1.1 above, which is a position of supervision, management and of confidential capacity, the Executive is exempt from the application of the legal provisions for working time limits, pursuant to article 2(a) of the International Labour Convention (Hours of Work, 1919), which has been ratified by L. 2269/1920. The Executive is also exempt from the application of the legal provisions for work outside the normal place of work. The Executive will be registered as a “managerial employee” (in Greek, </w:t>
      </w:r>
      <w:r>
        <w:rPr>
          <w:rFonts w:ascii="Times New Roman" w:cs="Times New Roman" w:eastAsia="Times New Roman" w:hAnsi="Times New Roman"/>
          <w:sz w:val="18"/>
          <w:szCs w:val="18"/>
          <w:i w:val="1"/>
          <w:iCs w:val="1"/>
          <w:color w:val="auto"/>
        </w:rPr>
        <w:t>διευθύνων υπάλληλος</w:t>
      </w:r>
      <w:r>
        <w:rPr>
          <w:rFonts w:ascii="Times New Roman" w:cs="Times New Roman" w:eastAsia="Times New Roman" w:hAnsi="Times New Roman"/>
          <w:sz w:val="18"/>
          <w:szCs w:val="18"/>
          <w:color w:val="auto"/>
        </w:rPr>
        <w:t>) in the ERGANI electronic system.</w:t>
      </w:r>
    </w:p>
    <w:p>
      <w:pPr>
        <w:spacing w:after="0" w:line="79" w:lineRule="exact"/>
        <w:rPr>
          <w:sz w:val="20"/>
          <w:szCs w:val="20"/>
          <w:color w:val="auto"/>
        </w:rPr>
      </w:pPr>
    </w:p>
    <w:p>
      <w:pPr>
        <w:ind w:left="1000" w:hanging="991"/>
        <w:spacing w:after="0"/>
        <w:tabs>
          <w:tab w:leader="none" w:pos="10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Salary and other benefits</w:t>
      </w:r>
    </w:p>
    <w:p>
      <w:pPr>
        <w:spacing w:after="0" w:line="14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4.1. The gross annual salary payable to the Executive is the equivalent of USD 525,000 (five hundred and twenty- five thousand United States dollars) and shall be payable to the Executive on the basis of fourteen (14) gross monthly salaries (i.e. 12 monthly salaries, the Christmas bonus (that is equal to one monthly salary), the Easter bonus and annual leave allowance (which are equal to half monthly salary amounts each). The aforementioned gross annual salary shall actually be payable to the Executive in Euros and the amount to be paid to the Executive for each month in question shall represent the United States dollar amount per month but converted in to Euro using the European Central Bank’s average foreign currency exchange rate between the currency pair in the thirty (30) day period ending on the working day immediately before the date the monthly salary payment is to be processed by the Company.</w:t>
      </w:r>
    </w:p>
    <w:p>
      <w:pPr>
        <w:spacing w:after="0" w:line="7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4.2. The above salary, subject to any legal deductions, will be payable ex post, net of any legal withholdings for taxes and social insurance contributions, to the Executive's bank account on the 30</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18"/>
          <w:szCs w:val="18"/>
          <w:color w:val="auto"/>
        </w:rPr>
        <w:t xml:space="preserve"> day of each calendar month.</w:t>
      </w:r>
    </w:p>
    <w:p>
      <w:pPr>
        <w:spacing w:after="0" w:line="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The Christmas and Easter bonus and the annual leave allowance will be payable as provided for by Greek employment legislation.</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4.4. The total payable gross monthly salary as referenced above and, in particular, the amount that exceeds from time to time the Executive's statutory salary, includes and is offset with the following amounts (indicatively), under the condition that such set-off is not explicitly prohibited by virtue of a legislative provision or a collective labour agreement:</w:t>
      </w:r>
    </w:p>
    <w:p>
      <w:pPr>
        <w:spacing w:after="0" w:line="3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57" w:right="459" w:bottom="1440" w:gutter="0" w:footer="0" w:header="0"/>
        </w:sectPr>
      </w:pPr>
    </w:p>
    <w:bookmarkStart w:id="49" w:name="page50"/>
    <w:bookmarkEnd w:id="49"/>
    <w:p>
      <w:pPr>
        <w:jc w:val="both"/>
        <w:ind w:left="980" w:right="680" w:hanging="930"/>
        <w:spacing w:after="0" w:line="258"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salary amounts, i.e. base salary, allowances of any kind (excluding Christmas and Easter bonuses and annual leave allowance) and additional benefits or increases of monetary value, as well as any future increases that are rendered mandatory by legislative labour provisions (laws, presidential decrees, ministerial decisions) or applicable collective agreements (Collective Labour Agreements or Arbitral Awards).</w:t>
      </w:r>
    </w:p>
    <w:p>
      <w:pPr>
        <w:jc w:val="both"/>
        <w:ind w:left="980" w:right="680" w:hanging="930"/>
        <w:spacing w:after="0" w:line="258"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Executive’s exemption from the application of the legislation for working time limits, in any case are offset and included any salary increase or compensation for work exceeding the legal working hours, including but not limited to compensation for overwork (hypergasia), work on the sixth day of the week in case of five-day employment (Saturday), work on Sunday or bank holiday, work at night, work outside of the normal place of work; as well as payment for any additional work; and the compensation for an alternative rest day.</w:t>
      </w:r>
    </w:p>
    <w:p>
      <w:pPr>
        <w:spacing w:after="0" w:line="10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4.5. The fixed salary may be reviewed from time to time by the Remuneration Committee and/or the applicable board of directors. Increases are not automatic but will be at the absolute discretion of the</w:t>
      </w:r>
    </w:p>
    <w:p>
      <w:pPr>
        <w:spacing w:after="0" w:line="203"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Remuneration Committee and/or the applicable board of directors. An increase in any year is neither a guarantee nor an indication that an increase will be granted in any subsequent year.</w:t>
      </w:r>
    </w:p>
    <w:p>
      <w:pPr>
        <w:spacing w:after="0" w:line="40" w:lineRule="exact"/>
        <w:rPr>
          <w:sz w:val="20"/>
          <w:szCs w:val="20"/>
          <w:color w:val="auto"/>
        </w:rPr>
      </w:pPr>
    </w:p>
    <w:p>
      <w:pPr>
        <w:jc w:val="both"/>
        <w:ind w:right="100"/>
        <w:spacing w:after="0" w:line="247" w:lineRule="auto"/>
        <w:rPr>
          <w:sz w:val="20"/>
          <w:szCs w:val="20"/>
          <w:color w:val="auto"/>
        </w:rPr>
      </w:pPr>
      <w:r>
        <w:rPr>
          <w:rFonts w:ascii="Times New Roman" w:cs="Times New Roman" w:eastAsia="Times New Roman" w:hAnsi="Times New Roman"/>
          <w:sz w:val="18"/>
          <w:szCs w:val="18"/>
          <w:color w:val="auto"/>
        </w:rPr>
        <w:t>4.6. It is expressly agreed that any benefits, in kind or in cash, payable to the Executive, apart from the above agreed salary, are granted by the Company at its discretion (ex gratia). They always constitute discretionary benefits, irrespective of the long duration of their payment, and the Company may amend, modify, reduce or abolish them in total at any time, at its free and absolute discretion. The discretionary benefits, including benefits granted for operational reasons do not form part of the Executive “regular salary” (in Greek, τακτικές αποδοχές) and they are not taken into consideration for any other salary-related payments, including (indicatively) for the calculation of severance in the event of termination and the calculations of any allowances (e.g. Christmas bonus, Easter bonus, Annual Leave Allowance).</w:t>
      </w:r>
    </w:p>
    <w:p>
      <w:pPr>
        <w:spacing w:after="0" w:line="72"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4.7. Notwithstanding anything to the contrary contained in the articles of association of the Company or of any other Group Company of which the Executive is a member of the board of directors, the fixed salary payable under the present Article will be inclusive of any other fees or remuneration of any description which the Executive might be entitled to receive from such appointment(s) if and where such exist and the Executive shall either waive his right to any such remuneration or account to the Company for such remuneration immediately upon receipt.</w:t>
      </w:r>
    </w:p>
    <w:p>
      <w:pPr>
        <w:spacing w:after="0" w:line="69"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4.8. The Executive shall be eligible for a discretionary bonus under the Company's and/or Group’s executive bonus plan from time to time, subject to meeting performance or other targets set by the Remuneration Committee and/or the applicable board of directors in its discretion from time to time. The bonus scheme does not form part of the Executive's terms and conditions of employment, and receipt of a bonus in any year is no guarantee or indication that a bonus will be paid in any subsequent year. Without prejudice to the discretionary nature of this bonus, to be eligible for payment of a bonus, at the date any bonus may be due to be paid:</w:t>
      </w:r>
    </w:p>
    <w:p>
      <w:pPr>
        <w:spacing w:after="0" w:line="204" w:lineRule="exact"/>
        <w:rPr>
          <w:sz w:val="20"/>
          <w:szCs w:val="20"/>
          <w:color w:val="auto"/>
        </w:rPr>
      </w:pPr>
    </w:p>
    <w:p>
      <w:pPr>
        <w:ind w:left="980" w:hanging="930"/>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must be employed by the Company;</w:t>
      </w:r>
    </w:p>
    <w:p>
      <w:pPr>
        <w:spacing w:after="0" w:line="63" w:lineRule="exact"/>
        <w:rPr>
          <w:rFonts w:ascii="Times New Roman" w:cs="Times New Roman" w:eastAsia="Times New Roman" w:hAnsi="Times New Roman"/>
          <w:sz w:val="18"/>
          <w:szCs w:val="18"/>
          <w:color w:val="auto"/>
        </w:rPr>
      </w:pPr>
    </w:p>
    <w:p>
      <w:pPr>
        <w:ind w:left="980" w:hanging="930"/>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Executive shall have given notice to terminate this Agreement;</w:t>
      </w:r>
    </w:p>
    <w:p>
      <w:pPr>
        <w:spacing w:after="0" w:line="63" w:lineRule="exact"/>
        <w:rPr>
          <w:rFonts w:ascii="Times New Roman" w:cs="Times New Roman" w:eastAsia="Times New Roman" w:hAnsi="Times New Roman"/>
          <w:sz w:val="18"/>
          <w:szCs w:val="18"/>
          <w:color w:val="auto"/>
        </w:rPr>
      </w:pPr>
    </w:p>
    <w:p>
      <w:pPr>
        <w:ind w:left="980" w:hanging="930"/>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must not be subject to any formal disciplinary, or performance management, action; and</w:t>
      </w:r>
    </w:p>
    <w:p>
      <w:pPr>
        <w:spacing w:after="0" w:line="63"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must not be subject to a disciplinary investigation or on suspension, although if, after completion of the disciplinary process or</w:t>
      </w:r>
    </w:p>
    <w:p>
      <w:pPr>
        <w:spacing w:after="0" w:line="27" w:lineRule="exact"/>
        <w:rPr>
          <w:rFonts w:ascii="Times New Roman" w:cs="Times New Roman" w:eastAsia="Times New Roman" w:hAnsi="Times New Roman"/>
          <w:sz w:val="18"/>
          <w:szCs w:val="18"/>
          <w:color w:val="auto"/>
        </w:rPr>
      </w:pPr>
    </w:p>
    <w:p>
      <w:pPr>
        <w:ind w:left="980" w:hanging="930"/>
        <w:spacing w:after="0" w:line="260"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of suspension, the Company has not imposed a disciplinary sanction on the Executive, the Company will re-consider its discretion at such time.</w:t>
      </w: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50" w:name="page51"/>
    <w:bookmarkEnd w:id="50"/>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4.9. The Company shall repay to the Executive all reasonable travelling, hotel and other expenses properly incurred by him in or about the performance of his duties, subject to: (i) the Executive having delivered to the Company such form(s) and vouchers or other evidence of actual payment of such expenses as the Company may from time to time require and (ii) and to compliance with any expenses policy in force, from time to time.</w:t>
      </w:r>
    </w:p>
    <w:p>
      <w:pPr>
        <w:spacing w:after="0" w:line="61"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4.10. Any remuneration payable to the Executive under the terms of this Agreement, including without limitation any increase in remuneration pursuant to clause 4.5 above, will at all times be subject to any legal requirements, regulatory requirements and any remuneration policy of the Company or any Group Company from time to time applicable. The Executive agrees that where the Company determines that his remuneration is performance-related, he will refer to any remuneration policy of the Company or any Group Company from time to time for further details of the performance assessment process and the importance of non-financial assessment factors in such process.</w:t>
      </w:r>
    </w:p>
    <w:p>
      <w:pPr>
        <w:spacing w:after="0" w:line="6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7"/>
          <w:szCs w:val="17"/>
          <w:color w:val="auto"/>
        </w:rPr>
        <w:t>Other discretionary benefits will be provided to the Executive as per the terms of Schedule B to this Agreement.</w:t>
      </w:r>
    </w:p>
    <w:p>
      <w:pPr>
        <w:spacing w:after="0" w:line="100" w:lineRule="exact"/>
        <w:rPr>
          <w:sz w:val="20"/>
          <w:szCs w:val="20"/>
          <w:color w:val="auto"/>
        </w:rPr>
      </w:pPr>
    </w:p>
    <w:p>
      <w:pPr>
        <w:ind w:left="1000" w:hanging="991"/>
        <w:spacing w:after="0"/>
        <w:tabs>
          <w:tab w:leader="none" w:pos="10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Place of work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The Executive's place of work is today the Company's premises in Kallithea Attikis.</w:t>
      </w:r>
    </w:p>
    <w:p>
      <w:pPr>
        <w:spacing w:after="0" w:line="252"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5.2. It is explicitly agreed upon that the business needs are such that the Executive will be obliged to not only provide his employment at the Company's registered office, but also to carry out his duties at other locations according to the instructions of Employer and to immediately travel to provide his employment at any place where the Company operates in Greece or abroad.</w:t>
      </w:r>
    </w:p>
    <w:p>
      <w:pPr>
        <w:spacing w:after="0" w:line="206" w:lineRule="exact"/>
        <w:rPr>
          <w:sz w:val="20"/>
          <w:szCs w:val="20"/>
          <w:color w:val="auto"/>
        </w:rPr>
      </w:pPr>
    </w:p>
    <w:p>
      <w:pPr>
        <w:ind w:left="980" w:hanging="930"/>
        <w:spacing w:after="0"/>
        <w:tabs>
          <w:tab w:leader="none" w:pos="9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Executive obligations</w:t>
      </w:r>
    </w:p>
    <w:p>
      <w:pPr>
        <w:spacing w:after="0" w:line="189" w:lineRule="exact"/>
        <w:rPr>
          <w:sz w:val="20"/>
          <w:szCs w:val="20"/>
          <w:color w:val="auto"/>
        </w:rPr>
      </w:pPr>
    </w:p>
    <w:p>
      <w:pPr>
        <w:ind w:left="980" w:hanging="930"/>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shall diligently perform all duties and exercise all powers as are lawfully and properly assigned to him, from time to time, by the Company, whether such duties or powers relate to the Company or any Group Company.</w:t>
      </w:r>
    </w:p>
    <w:p>
      <w:pPr>
        <w:spacing w:after="0" w:line="121" w:lineRule="exact"/>
        <w:rPr>
          <w:rFonts w:ascii="Times New Roman" w:cs="Times New Roman" w:eastAsia="Times New Roman" w:hAnsi="Times New Roman"/>
          <w:sz w:val="18"/>
          <w:szCs w:val="18"/>
          <w:color w:val="auto"/>
        </w:rPr>
      </w:pPr>
    </w:p>
    <w:p>
      <w:pPr>
        <w:ind w:left="980" w:right="20" w:hanging="930"/>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is obliged to comply with all directions lawfully and properly given to him by the Company or any Group Company and their respective authorized representatives.</w:t>
      </w:r>
    </w:p>
    <w:p>
      <w:pPr>
        <w:spacing w:after="0" w:line="121" w:lineRule="exact"/>
        <w:rPr>
          <w:rFonts w:ascii="Times New Roman" w:cs="Times New Roman" w:eastAsia="Times New Roman" w:hAnsi="Times New Roman"/>
          <w:sz w:val="18"/>
          <w:szCs w:val="18"/>
          <w:color w:val="auto"/>
        </w:rPr>
      </w:pPr>
    </w:p>
    <w:p>
      <w:pPr>
        <w:jc w:val="both"/>
        <w:ind w:left="980" w:right="20" w:hanging="930"/>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is obliged to act within the framework of (a) the Internal Regulation, and any internal regulations, company policies including those of the wider Group which are communicated by the Company to the Executive from time-to-time and (b) the applicable legislation at any time.</w:t>
      </w:r>
    </w:p>
    <w:p>
      <w:pPr>
        <w:spacing w:after="0" w:line="135" w:lineRule="exact"/>
        <w:rPr>
          <w:rFonts w:ascii="Times New Roman" w:cs="Times New Roman" w:eastAsia="Times New Roman" w:hAnsi="Times New Roman"/>
          <w:sz w:val="18"/>
          <w:szCs w:val="18"/>
          <w:color w:val="auto"/>
        </w:rPr>
      </w:pPr>
    </w:p>
    <w:p>
      <w:pPr>
        <w:ind w:left="980" w:hanging="930"/>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is obliged to treat any action, transaction and client relationship of the Company or any other Group Company that he may become aware of by any means as strictly confidential.</w:t>
      </w:r>
    </w:p>
    <w:p>
      <w:pPr>
        <w:spacing w:after="0" w:line="121" w:lineRule="exact"/>
        <w:rPr>
          <w:rFonts w:ascii="Times New Roman" w:cs="Times New Roman" w:eastAsia="Times New Roman" w:hAnsi="Times New Roman"/>
          <w:sz w:val="18"/>
          <w:szCs w:val="18"/>
          <w:color w:val="auto"/>
        </w:rPr>
      </w:pPr>
    </w:p>
    <w:p>
      <w:pPr>
        <w:jc w:val="both"/>
        <w:ind w:left="980" w:hanging="930"/>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is obliged not to accept from a client, supplier or other business partner of the Company or Group Company any discount, remuneration or gift in cash, in kind, in exchange for the services provided by him on behalf of the Company or Group Company or simply due to his capacity as an Executive.</w:t>
      </w:r>
    </w:p>
    <w:p>
      <w:pPr>
        <w:spacing w:after="0" w:line="135" w:lineRule="exact"/>
        <w:rPr>
          <w:rFonts w:ascii="Times New Roman" w:cs="Times New Roman" w:eastAsia="Times New Roman" w:hAnsi="Times New Roman"/>
          <w:sz w:val="18"/>
          <w:szCs w:val="18"/>
          <w:color w:val="auto"/>
        </w:rPr>
      </w:pPr>
    </w:p>
    <w:p>
      <w:pPr>
        <w:ind w:left="980" w:hanging="930"/>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has increased duty of loyalty to the Company and Group Companies due to the exceptionally confidential nature of his duties.</w:t>
      </w:r>
    </w:p>
    <w:p>
      <w:pPr>
        <w:spacing w:after="0" w:line="184" w:lineRule="exact"/>
        <w:rPr>
          <w:rFonts w:ascii="Times New Roman" w:cs="Times New Roman" w:eastAsia="Times New Roman" w:hAnsi="Times New Roman"/>
          <w:sz w:val="18"/>
          <w:szCs w:val="18"/>
          <w:color w:val="auto"/>
        </w:rPr>
      </w:pPr>
    </w:p>
    <w:p>
      <w:pPr>
        <w:jc w:val="both"/>
        <w:ind w:left="980" w:hanging="930"/>
        <w:spacing w:after="0" w:line="254"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relationship of the Executive with the Company is of full time and exclusive employment. Any other employment of the Executive in the private or public sector or in commercial undertakings is not allowed but for: (i) the prior written consent of the Company in response to the Executive’s relevant written request and (ii) such written request being submitted pursuant to the notification and/or consent provisions of the EWI Code of Business Conduct &amp; Ethics, which consent may be withheld by the Company and/or EWI pursuant to the applicable legislation, on the basis of objective reasons, such as for the protection of the health and safety of employees, the protection of business confidentiality, the engagement of the employee with a competing business, or the avoidance of conflicts of interests. It is also forbidden to the Executive to use his capacity as an Executive in events, conferences, and collaborations of any nature, unless he has been granted prior written consent of the Company and/or EWI to that effect.</w:t>
      </w: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51" w:name="page52"/>
    <w:bookmarkEnd w:id="51"/>
    <w:p>
      <w:pPr>
        <w:ind w:left="1000" w:hanging="991"/>
        <w:spacing w:after="0"/>
        <w:tabs>
          <w:tab w:leader="none" w:pos="10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 of intellectual property rights</w:t>
      </w:r>
    </w:p>
    <w:p>
      <w:pPr>
        <w:spacing w:after="0" w:line="148"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7.1. It is explicitly agreed upon that any creation of intellectual or industrial property, such as indicatively protected works, invention, discovery, improvement, method etc. that the Executive may create throughout the duration of his Employment, either alone or in collaboration with others, in the context of performing his duties or beyond his Employment belongs as per its property rights to the Company, to whom the Executive hereby assigns any property rights of his own over such creations, which, in any event, the Company maintains for itself all rights over.</w:t>
      </w:r>
    </w:p>
    <w:p>
      <w:pPr>
        <w:spacing w:after="0" w:line="79" w:lineRule="exact"/>
        <w:rPr>
          <w:sz w:val="20"/>
          <w:szCs w:val="20"/>
          <w:color w:val="auto"/>
        </w:rPr>
      </w:pPr>
    </w:p>
    <w:p>
      <w:pPr>
        <w:ind w:left="1000" w:hanging="991"/>
        <w:spacing w:after="0"/>
        <w:tabs>
          <w:tab w:leader="none" w:pos="10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Leave</w:t>
      </w:r>
    </w:p>
    <w:p>
      <w:pPr>
        <w:spacing w:after="0" w:line="1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8.1. Notwithstanding the Executive’s exemption from the application of the legislation for working time limits, the Executive is entitled to paid annual leave in accordance with the provisions of the applicable Greek laws (currently, articles 210-216 of P.D. 80/2022 and other regulations, as in force).</w:t>
      </w:r>
    </w:p>
    <w:p>
      <w:pPr>
        <w:spacing w:after="0" w:line="27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8.2. The Executive shall be entitled to 26 working days per annum, exclusive of Greek Public Holidays. For the first and second calendar year the annual leave will be pro-rated.</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8.3. The holiday year runs from 1 January each year to the following 31 December. As provided for by Greek employment law, the annual leave must be taken by the 31 March of the following calendar year at the latest. The Executive shall arrange taking all his annual leave entitlement as provided for by law. He is not permitted to carry over any untaken annual leave after the 31 March of the following calendar year or after any other date that may be provided for by Greek employment laws.</w:t>
      </w:r>
    </w:p>
    <w:p>
      <w:pPr>
        <w:spacing w:after="0" w:line="79" w:lineRule="exact"/>
        <w:rPr>
          <w:sz w:val="20"/>
          <w:szCs w:val="20"/>
          <w:color w:val="auto"/>
        </w:rPr>
      </w:pPr>
    </w:p>
    <w:p>
      <w:pPr>
        <w:ind w:left="1000" w:hanging="991"/>
        <w:spacing w:after="0"/>
        <w:tabs>
          <w:tab w:leader="none" w:pos="10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14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The present Agreement may be terminated by either contracting party, at any time, pursuant to the provisions of the applicable legislation.</w:t>
      </w:r>
    </w:p>
    <w:p>
      <w:pPr>
        <w:spacing w:after="0" w:line="104"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8"/>
          <w:szCs w:val="18"/>
          <w:color w:val="auto"/>
        </w:rPr>
        <w:t>9.2. This Agreement may be terminated by the Company, with or without notice, as provided for by the applicable Greek employment laws (currently, articles 321-331 of P.D. 80/2022 and other regulations, as in force). In the event of termination of the present Agreement by the Company, the Executive will be entitled to statutory severance, as provided for by the applicable legislation. The statutory severance is equivalent to twelve</w:t>
      </w:r>
    </w:p>
    <w:p>
      <w:pPr>
        <w:spacing w:after="0" w:line="2" w:lineRule="exact"/>
        <w:rPr>
          <w:sz w:val="20"/>
          <w:szCs w:val="20"/>
          <w:color w:val="auto"/>
        </w:rPr>
      </w:pPr>
    </w:p>
    <w:p>
      <w:pPr>
        <w:jc w:val="both"/>
        <w:ind w:firstLine="9"/>
        <w:spacing w:after="0" w:line="242" w:lineRule="auto"/>
        <w:tabs>
          <w:tab w:leader="none" w:pos="35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monthly salaries (the “</w:t>
      </w:r>
      <w:r>
        <w:rPr>
          <w:rFonts w:ascii="Times New Roman" w:cs="Times New Roman" w:eastAsia="Times New Roman" w:hAnsi="Times New Roman"/>
          <w:sz w:val="18"/>
          <w:szCs w:val="18"/>
          <w:b w:val="1"/>
          <w:bCs w:val="1"/>
          <w:color w:val="auto"/>
        </w:rPr>
        <w:t>Statutory Severance”</w:t>
      </w:r>
      <w:r>
        <w:rPr>
          <w:rFonts w:ascii="Times New Roman" w:cs="Times New Roman" w:eastAsia="Times New Roman" w:hAnsi="Times New Roman"/>
          <w:sz w:val="18"/>
          <w:szCs w:val="18"/>
          <w:color w:val="auto"/>
        </w:rPr>
        <w:t>) as per the currently applicable legislation. It is explicitly agreed between the Parties that the severance will be calculated on the basis of the Executive’s actual gross monthly salary (meaning base salary x14/12), excluding any discretionary benefits or benefits granted for operational reasons) at the last month of employment, without application of the upper salary threshold provided for by Greek employment (article 327 par. 1 of P.D. 80/2022).</w:t>
      </w:r>
    </w:p>
    <w:p>
      <w:pPr>
        <w:spacing w:after="0" w:line="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9.3. On the condition that the Executive is not terminated for Cause, in addition to the Statutory Severance prescribed under clause 9.2 above, the Executive shall as prescribed in this clause 9.3 be entitled to an additional “ratchet” payment (“</w:t>
      </w:r>
      <w:r>
        <w:rPr>
          <w:rFonts w:ascii="Times New Roman" w:cs="Times New Roman" w:eastAsia="Times New Roman" w:hAnsi="Times New Roman"/>
          <w:sz w:val="18"/>
          <w:szCs w:val="18"/>
          <w:b w:val="1"/>
          <w:bCs w:val="1"/>
          <w:color w:val="auto"/>
        </w:rPr>
        <w:t>Contractual Severance“</w:t>
      </w:r>
      <w:r>
        <w:rPr>
          <w:rFonts w:ascii="Times New Roman" w:cs="Times New Roman" w:eastAsia="Times New Roman" w:hAnsi="Times New Roman"/>
          <w:sz w:val="18"/>
          <w:szCs w:val="18"/>
          <w:color w:val="auto"/>
        </w:rPr>
        <w:t>). Such Contractual Severance will be calculated as follows so that when the Company terminates the Agreement:</w:t>
      </w:r>
    </w:p>
    <w:p>
      <w:pPr>
        <w:spacing w:after="0" w:line="78" w:lineRule="exact"/>
        <w:rPr>
          <w:sz w:val="20"/>
          <w:szCs w:val="20"/>
          <w:color w:val="auto"/>
        </w:rPr>
      </w:pPr>
    </w:p>
    <w:p>
      <w:pPr>
        <w:jc w:val="both"/>
        <w:ind w:left="640" w:hanging="636"/>
        <w:spacing w:after="0" w:line="252" w:lineRule="auto"/>
        <w:tabs>
          <w:tab w:leader="none" w:pos="620" w:val="left"/>
        </w:tabs>
        <w:rPr>
          <w:sz w:val="20"/>
          <w:szCs w:val="20"/>
          <w:color w:val="auto"/>
        </w:rPr>
      </w:pPr>
      <w:r>
        <w:rPr>
          <w:rFonts w:ascii="Times New Roman" w:cs="Times New Roman" w:eastAsia="Times New Roman" w:hAnsi="Times New Roman"/>
          <w:sz w:val="18"/>
          <w:szCs w:val="18"/>
          <w:color w:val="auto"/>
        </w:rPr>
        <w:t>9.3.1</w:t>
      </w:r>
      <w:r>
        <w:rPr>
          <w:sz w:val="20"/>
          <w:szCs w:val="20"/>
          <w:color w:val="auto"/>
        </w:rPr>
        <w:tab/>
      </w:r>
      <w:r>
        <w:rPr>
          <w:rFonts w:ascii="Times New Roman" w:cs="Times New Roman" w:eastAsia="Times New Roman" w:hAnsi="Times New Roman"/>
          <w:sz w:val="18"/>
          <w:szCs w:val="18"/>
          <w:b w:val="1"/>
          <w:bCs w:val="1"/>
          <w:color w:val="auto"/>
        </w:rPr>
        <w:t xml:space="preserve">without notice: </w:t>
      </w:r>
      <w:r>
        <w:rPr>
          <w:rFonts w:ascii="Times New Roman" w:cs="Times New Roman" w:eastAsia="Times New Roman" w:hAnsi="Times New Roman"/>
          <w:sz w:val="18"/>
          <w:szCs w:val="18"/>
          <w:color w:val="auto"/>
        </w:rPr>
        <w:t>the Contractual Severance shall equate to an amount equivalent to twelve gross monthly salary payments, therefore taking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total Severance due to the Executive, comprising both the Statutory Severance and Contractual Severance “ratchet”) to the equivalent of twenty-four (24) gross monthly salaries; or</w:t>
      </w:r>
    </w:p>
    <w:p>
      <w:pPr>
        <w:spacing w:after="0" w:line="77" w:lineRule="exact"/>
        <w:rPr>
          <w:sz w:val="20"/>
          <w:szCs w:val="20"/>
          <w:color w:val="auto"/>
        </w:rPr>
      </w:pPr>
    </w:p>
    <w:p>
      <w:pPr>
        <w:jc w:val="both"/>
        <w:ind w:left="640" w:hanging="636"/>
        <w:spacing w:after="0" w:line="252" w:lineRule="auto"/>
        <w:tabs>
          <w:tab w:leader="none" w:pos="620" w:val="left"/>
        </w:tabs>
        <w:rPr>
          <w:sz w:val="20"/>
          <w:szCs w:val="20"/>
          <w:color w:val="auto"/>
        </w:rPr>
      </w:pPr>
      <w:r>
        <w:rPr>
          <w:rFonts w:ascii="Times New Roman" w:cs="Times New Roman" w:eastAsia="Times New Roman" w:hAnsi="Times New Roman"/>
          <w:sz w:val="18"/>
          <w:szCs w:val="18"/>
          <w:color w:val="auto"/>
        </w:rPr>
        <w:t>9.3.2</w:t>
      </w:r>
      <w:r>
        <w:rPr>
          <w:sz w:val="20"/>
          <w:szCs w:val="20"/>
          <w:color w:val="auto"/>
        </w:rPr>
        <w:tab/>
      </w:r>
      <w:r>
        <w:rPr>
          <w:rFonts w:ascii="Times New Roman" w:cs="Times New Roman" w:eastAsia="Times New Roman" w:hAnsi="Times New Roman"/>
          <w:sz w:val="18"/>
          <w:szCs w:val="18"/>
          <w:b w:val="1"/>
          <w:bCs w:val="1"/>
          <w:color w:val="auto"/>
        </w:rPr>
        <w:t xml:space="preserve">with 4-month notice: </w:t>
      </w:r>
      <w:r>
        <w:rPr>
          <w:rFonts w:ascii="Times New Roman" w:cs="Times New Roman" w:eastAsia="Times New Roman" w:hAnsi="Times New Roman"/>
          <w:sz w:val="18"/>
          <w:szCs w:val="18"/>
          <w:color w:val="auto"/>
        </w:rPr>
        <w:t>the Contractual Severance shall equate to an amount equivalent to the sum of twenty-four (24) gross monthly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salaries less: (i) the number of gross monthly salaries paid to the Executive for the notice period under which the Executive actually works and (ii) the Statutory Severance amount due to the Executive as provided for by Greek law.</w:t>
      </w:r>
    </w:p>
    <w:p>
      <w:pPr>
        <w:spacing w:after="0" w:line="81" w:lineRule="exact"/>
        <w:rPr>
          <w:sz w:val="20"/>
          <w:szCs w:val="20"/>
          <w:color w:val="auto"/>
        </w:rPr>
      </w:pPr>
    </w:p>
    <w:p>
      <w:pPr>
        <w:ind w:right="3060"/>
        <w:spacing w:after="0" w:line="313" w:lineRule="auto"/>
        <w:rPr>
          <w:sz w:val="20"/>
          <w:szCs w:val="20"/>
          <w:color w:val="auto"/>
        </w:rPr>
      </w:pPr>
      <w:r>
        <w:rPr>
          <w:rFonts w:ascii="Times New Roman" w:cs="Times New Roman" w:eastAsia="Times New Roman" w:hAnsi="Times New Roman"/>
          <w:sz w:val="18"/>
          <w:szCs w:val="18"/>
          <w:color w:val="auto"/>
        </w:rPr>
        <w:t>For the avoidance of doubt, for the purposes of the calculating the gross monthly salary element of the “ratchet” the same principles as set out in clause 9.2 above shall be applied by the contracting parties.</w:t>
      </w:r>
    </w:p>
    <w:p>
      <w:pPr>
        <w:spacing w:after="0" w:line="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9.4 In the event of a Change of Control this Employment Agreement shall remain in force “as-is” on an indefinite basis provided, however, that if the Executive is subsequently terminated or the Executive terminates this Agreement for Good Reason, within a period of three (3) years of the deemed date of Change of Control, with or without notice but provided such termination by the Company is not for Cause, then in addition to the payment of the Statutory Severance and Contractual Severance as provided for under clause 9.3 above, the Executive will be entitled to a further amount, payable within five (5) days of the Termination Date, representing the full amount of the gross monthly base salary that would have been payable during the remaining part of the third year of the period specified in this clause 9.4 on the proviso that this additional payment shall be discounted at a rate of 7.5% per annum.</w:t>
      </w:r>
    </w:p>
    <w:p>
      <w:pPr>
        <w:spacing w:after="0" w:line="2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57"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9.5  Awards upon termination of this Agreement:</w:t>
      </w:r>
    </w:p>
    <w:p>
      <w:pPr>
        <w:spacing w:after="0" w:line="144" w:lineRule="exact"/>
        <w:rPr>
          <w:sz w:val="20"/>
          <w:szCs w:val="20"/>
          <w:color w:val="auto"/>
        </w:rPr>
      </w:pPr>
    </w:p>
    <w:p>
      <w:pPr>
        <w:jc w:val="both"/>
        <w:ind w:firstLine="9"/>
        <w:spacing w:after="0" w:line="258" w:lineRule="auto"/>
        <w:tabs>
          <w:tab w:leader="none" w:pos="28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circumstances where a termination without Cause and not in connection with a Change of Control takes place, the Executive’s Awards will be treated as follows from the deemed Termination Date and the Executive will: (A) keep all vested restricted stock units; (B) have ninety (90) days to exercise his vested non-qualifying stock options; and/or (C) any restricted stock or non-qualifying stock option awards that are unvested, but would</w:t>
      </w:r>
    </w:p>
    <w:p>
      <w:pPr>
        <w:spacing w:after="0" w:line="2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otherwise have vested within the two (2) year period beginning on the Termination Date, will continue to vest at their natural vesting date. Any Awards that vest beyond those two (2) years will be forfeited.</w:t>
      </w:r>
    </w:p>
    <w:p>
      <w:pPr>
        <w:spacing w:after="0" w:line="68" w:lineRule="exact"/>
        <w:rPr>
          <w:sz w:val="20"/>
          <w:szCs w:val="20"/>
          <w:color w:val="auto"/>
        </w:rPr>
      </w:pPr>
    </w:p>
    <w:p>
      <w:pPr>
        <w:ind w:firstLine="9"/>
        <w:spacing w:after="0" w:line="266" w:lineRule="auto"/>
        <w:tabs>
          <w:tab w:leader="none" w:pos="33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termination for Cause, the Executive will keep all vested restricted stock and non-qualifying options provided such are held and handled in accordance with the rules of any applicable programme from time-to- time and separately all unvested Awards will be forfeited.</w:t>
      </w:r>
    </w:p>
    <w:p>
      <w:pPr>
        <w:spacing w:after="0" w:line="54" w:lineRule="exact"/>
        <w:rPr>
          <w:rFonts w:ascii="Times New Roman" w:cs="Times New Roman" w:eastAsia="Times New Roman" w:hAnsi="Times New Roman"/>
          <w:sz w:val="18"/>
          <w:szCs w:val="18"/>
          <w:color w:val="auto"/>
        </w:rPr>
      </w:pPr>
    </w:p>
    <w:p>
      <w:pPr>
        <w:jc w:val="both"/>
        <w:ind w:right="20" w:firstLine="9"/>
        <w:spacing w:after="0" w:line="258" w:lineRule="auto"/>
        <w:tabs>
          <w:tab w:leader="none" w:pos="31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Change of Control all unvested Awards outstanding and held by the Executive at the deemed date of the Change of Control will become immediately vested and for the Executive to handle accordingly within the ordinary course and in accordance with the underlying equity incentive plan terms and conditions.</w:t>
      </w:r>
    </w:p>
    <w:p>
      <w:pPr>
        <w:spacing w:after="0" w:line="61" w:lineRule="exact"/>
        <w:rPr>
          <w:rFonts w:ascii="Times New Roman" w:cs="Times New Roman" w:eastAsia="Times New Roman" w:hAnsi="Times New Roman"/>
          <w:sz w:val="18"/>
          <w:szCs w:val="18"/>
          <w:color w:val="auto"/>
        </w:rPr>
      </w:pPr>
    </w:p>
    <w:p>
      <w:pPr>
        <w:jc w:val="both"/>
        <w:ind w:firstLine="9"/>
        <w:spacing w:after="0" w:line="250" w:lineRule="auto"/>
        <w:tabs>
          <w:tab w:leader="none" w:pos="3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termination of employment due to disability, any unvested Awards that would have otherwise vested within 12 months after the Termination Date will continue to vest as if Executive had remained an employee through the end of such 12-month period. All other unvested Awards will be handled pursuant to the underlying equity incentive plan terms and conditions. In connection with the termination of employment due to the death of Executive, all unvested Awards will be handled pursuant to the underlying equity incentive plan terms and conditions.</w:t>
      </w:r>
    </w:p>
    <w:p>
      <w:pPr>
        <w:spacing w:after="0" w:line="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9.6 On termination of the Executive’s employment for whatever reason, the Executive is obliged to immediately deliver to the Company all Documents, IT hardware, computer records, computer data, passwords, credit cards and any other property relating to the business of or belonging to the Company or any other Group Company which is in his possession or under his control. The Executive is not entitled to retain copies or reproductions of any Documents or computer records relating to the business of or belonging to the Company or any other Group Company.</w:t>
      </w:r>
    </w:p>
    <w:p>
      <w:pPr>
        <w:spacing w:after="0" w:line="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9.7. In the event of termination of the present Agreement by the Executive (resignation) other than for Good Reason, the Executive is obliged to provide to the Company a 2-month (calendar days) prior written notice of termination, as provided for by the applicable labour legislation (currently, article 337 of P.D. 80/2022 and other regulations, as in force). Otherwise, he will be entitled to compensation amounting to the two (2) gross monthly salaries. For the avoidance of doubt, for the purpose of calculating the gross monthly salary element of such compensation the same principles as set out in clause 9.2 above shall be applied by the contracting parties.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9.8</w:t>
            </w:r>
          </w:p>
        </w:tc>
        <w:tc>
          <w:tcPr>
            <w:tcW w:w="10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During the term of this Agreement, in the event of death or permanent disability the Executive, the heirs of the Executive shall be entitled to</w:t>
            </w:r>
          </w:p>
        </w:tc>
      </w:tr>
      <w:tr>
        <w:trPr>
          <w:trHeight w:val="234"/>
        </w:trPr>
        <w:tc>
          <w:tcPr>
            <w:tcW w:w="1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receive the Statutory Severance.</w:t>
            </w:r>
          </w:p>
        </w:tc>
      </w:tr>
      <w:tr>
        <w:trPr>
          <w:trHeight w:val="31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9.9</w:t>
            </w:r>
          </w:p>
        </w:tc>
        <w:tc>
          <w:tcPr>
            <w:tcW w:w="10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If the Board of EWI has determined in good faith that the Executive has failed to comply with the requirements of the provisions referenced</w:t>
            </w:r>
          </w:p>
        </w:tc>
      </w:tr>
    </w:tbl>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in Section 10 hereof at any time following any termination, then Employer and/or EWI shall have no further obligation to pay any amounts or provide any benefits under this Agreement unless otherwise required under applicable law.</w:t>
      </w:r>
    </w:p>
    <w:p>
      <w:pPr>
        <w:spacing w:after="0" w:line="2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61" w:right="459" w:bottom="1440" w:gutter="0" w:footer="0" w:header="0"/>
        </w:sectPr>
      </w:pPr>
    </w:p>
    <w:bookmarkStart w:id="53" w:name="page54"/>
    <w:bookmarkEnd w:id="53"/>
    <w:p>
      <w:pPr>
        <w:ind w:left="960" w:hanging="951"/>
        <w:spacing w:after="0"/>
        <w:tabs>
          <w:tab w:leader="none" w:pos="9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Restrictive Covenants - during employment with the Company</w:t>
      </w:r>
    </w:p>
    <w:p>
      <w:pPr>
        <w:spacing w:after="0" w:line="148"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18"/>
          <w:szCs w:val="18"/>
          <w:color w:val="auto"/>
        </w:rPr>
        <w:t>10.1 The Executive shall not during his Employment carry on or be concerned, engaged or interested in any capacity in any trade, profession or business other than that of the Company or any Group Company and shall not engage in any other activity or hold any public office (unless required by law) which the Company reasonably considers may impair his ability to perform his duties under this Agreement except with the written permission of the board of directors or as prescribed in the Code of Business Conduct &amp; Ethics.</w:t>
      </w:r>
    </w:p>
    <w:p>
      <w:pPr>
        <w:spacing w:after="0" w:line="8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The Executive may:</w:t>
      </w:r>
    </w:p>
    <w:p>
      <w:pPr>
        <w:spacing w:after="0" w:line="144" w:lineRule="exact"/>
        <w:rPr>
          <w:sz w:val="20"/>
          <w:szCs w:val="20"/>
          <w:color w:val="auto"/>
        </w:rPr>
      </w:pPr>
    </w:p>
    <w:p>
      <w:pPr>
        <w:ind w:left="980" w:hanging="971"/>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 permitted interest; and/or</w:t>
      </w:r>
    </w:p>
    <w:p>
      <w:pPr>
        <w:spacing w:after="0" w:line="157" w:lineRule="exact"/>
        <w:rPr>
          <w:rFonts w:ascii="Times New Roman" w:cs="Times New Roman" w:eastAsia="Times New Roman" w:hAnsi="Times New Roman"/>
          <w:sz w:val="18"/>
          <w:szCs w:val="18"/>
          <w:color w:val="auto"/>
        </w:rPr>
      </w:pPr>
    </w:p>
    <w:p>
      <w:pPr>
        <w:ind w:left="980" w:hanging="971"/>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on or be concerned, engaged or interested in any other trade, profession or business or hold a public office if he shall have:</w:t>
      </w:r>
    </w:p>
    <w:p>
      <w:pPr>
        <w:spacing w:after="0" w:line="238" w:lineRule="exact"/>
        <w:rPr>
          <w:rFonts w:ascii="Times New Roman" w:cs="Times New Roman" w:eastAsia="Times New Roman" w:hAnsi="Times New Roman"/>
          <w:sz w:val="18"/>
          <w:szCs w:val="18"/>
          <w:color w:val="auto"/>
        </w:rPr>
      </w:pPr>
    </w:p>
    <w:p>
      <w:pPr>
        <w:ind w:left="1820" w:right="20" w:hanging="817"/>
        <w:spacing w:after="0" w:line="282" w:lineRule="auto"/>
        <w:tabs>
          <w:tab w:leader="none" w:pos="18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on the basis of the utmost good faith, full particulars of its nature and of the likely demands it will make on his time and abilities;</w:t>
      </w:r>
    </w:p>
    <w:p>
      <w:pPr>
        <w:spacing w:after="0" w:line="107" w:lineRule="exact"/>
        <w:rPr>
          <w:rFonts w:ascii="Times New Roman" w:cs="Times New Roman" w:eastAsia="Times New Roman" w:hAnsi="Times New Roman"/>
          <w:sz w:val="18"/>
          <w:szCs w:val="18"/>
          <w:color w:val="auto"/>
        </w:rPr>
      </w:pPr>
    </w:p>
    <w:p>
      <w:pPr>
        <w:jc w:val="both"/>
        <w:ind w:left="1820" w:right="20" w:hanging="866"/>
        <w:spacing w:after="0" w:line="261" w:lineRule="auto"/>
        <w:tabs>
          <w:tab w:leader="none" w:pos="18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the prior written consent of the board of directors or as prescribed in the Code of Business Conduct &amp; Ethics, which consent may be given subject to such terms or conditions as it may decide (each of which shall be considered to be a term of this Agreement) and such consent may be withdrawn if reasonably considered to be in the interests of the Company or any Group Company to do so; and</w:t>
      </w:r>
    </w:p>
    <w:p>
      <w:pPr>
        <w:spacing w:after="0" w:line="125" w:lineRule="exact"/>
        <w:rPr>
          <w:rFonts w:ascii="Times New Roman" w:cs="Times New Roman" w:eastAsia="Times New Roman" w:hAnsi="Times New Roman"/>
          <w:sz w:val="18"/>
          <w:szCs w:val="18"/>
          <w:color w:val="auto"/>
        </w:rPr>
      </w:pPr>
    </w:p>
    <w:p>
      <w:pPr>
        <w:ind w:left="1820" w:right="20" w:hanging="915"/>
        <w:spacing w:after="0" w:line="282" w:lineRule="auto"/>
        <w:tabs>
          <w:tab w:leader="none" w:pos="18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the Company at any time, provide full details of such hours as he may spend on its business to enable the Company to comply with the requirements of the Greek employment laws.</w:t>
      </w:r>
    </w:p>
    <w:p>
      <w:pPr>
        <w:spacing w:after="0" w:line="81"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10.3 The Executive shall not during his Employment (save in a purely social capacity or with the prior written consent of the board of directors or as prescribed in the Code of Business Conduct &amp; Ethics), directly or indirectly, make any contact, whether formal or informal, written or oral, with any of the Company's or any Group Company's past, current or prospective suppliers, customers, agents or clients with whom the Executive has had business dealings (directly or indirectly) for any purpose (including but not limited to an intention to set up a competing business or to seek employment) other than for the legitimate business interests of the Company or any Group Company.</w:t>
      </w:r>
    </w:p>
    <w:p>
      <w:pPr>
        <w:spacing w:after="0" w:line="6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The Executive shall not during the Employment directly or indirectly, either on his own behalf or on behalf of any person, firm or company:</w:t>
      </w:r>
    </w:p>
    <w:p>
      <w:pPr>
        <w:spacing w:after="0" w:line="239" w:lineRule="exact"/>
        <w:rPr>
          <w:sz w:val="20"/>
          <w:szCs w:val="20"/>
          <w:color w:val="auto"/>
        </w:rPr>
      </w:pPr>
    </w:p>
    <w:p>
      <w:pPr>
        <w:jc w:val="both"/>
        <w:ind w:left="980" w:hanging="930"/>
        <w:spacing w:after="0" w:line="266"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or endeavour to entice away from the Company or any Group Company an employee, or discourage from being employed by the Company or any Group Company any person who, to the knowledge of the Executive, is an employee or a prospective employee of the Company or any Group Company; or</w:t>
      </w:r>
    </w:p>
    <w:p>
      <w:pPr>
        <w:ind w:left="980" w:hanging="930"/>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 or procure another person to employ any such person.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 restrictions set out in this clause 10 are without prejudice to any other express or implied contractual or fiduciary duties owed to the</w:t>
            </w:r>
          </w:p>
        </w:tc>
      </w:tr>
      <w:tr>
        <w:trPr>
          <w:trHeight w:val="234"/>
        </w:trPr>
        <w:tc>
          <w:tcPr>
            <w:tcW w:w="1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or any Group Company.</w:t>
            </w: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10460" w:type="dxa"/>
            <w:vAlign w:val="bottom"/>
          </w:tcPr>
          <w:p>
            <w:pPr>
              <w:jc w:val="right"/>
              <w:ind w:right="4310"/>
              <w:spacing w:after="0"/>
              <w:rPr>
                <w:sz w:val="20"/>
                <w:szCs w:val="20"/>
                <w:color w:val="auto"/>
              </w:rPr>
            </w:pPr>
            <w:r>
              <w:rPr>
                <w:rFonts w:ascii="Times New Roman" w:cs="Times New Roman" w:eastAsia="Times New Roman" w:hAnsi="Times New Roman"/>
                <w:sz w:val="18"/>
                <w:szCs w:val="18"/>
                <w:b w:val="1"/>
                <w:bCs w:val="1"/>
                <w:color w:val="auto"/>
              </w:rPr>
              <w:t>Restrictive Covenants - post termination of employment with the Company</w:t>
            </w:r>
          </w:p>
        </w:tc>
      </w:tr>
      <w:tr>
        <w:trPr>
          <w:trHeight w:val="339"/>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10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 consideration in part of the “ratchet” payment referred to in clause 9.3 above, the Executive acknowledges that he is willing to enter into</w:t>
            </w:r>
          </w:p>
        </w:tc>
      </w:tr>
    </w:tbl>
    <w:p>
      <w:pPr>
        <w:jc w:val="both"/>
        <w:ind w:right="100"/>
        <w:spacing w:after="0" w:line="246" w:lineRule="auto"/>
        <w:rPr>
          <w:sz w:val="20"/>
          <w:szCs w:val="20"/>
          <w:color w:val="auto"/>
        </w:rPr>
      </w:pPr>
      <w:r>
        <w:rPr>
          <w:rFonts w:ascii="Times New Roman" w:cs="Times New Roman" w:eastAsia="Times New Roman" w:hAnsi="Times New Roman"/>
          <w:sz w:val="18"/>
          <w:szCs w:val="18"/>
          <w:color w:val="auto"/>
        </w:rPr>
        <w:t>the covenants set out in this clause 11 with the Company (for itself and as agent for each Group Company) in order to provide the Company and any Group Companies with what he considers to be reasonable protection for its or their Confidential Information, or its or their client connections, or the stability of its or their workforce, or otherwise for its or their goodwill, or any aspect of that goodwill.</w:t>
      </w: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54" w:name="page55"/>
    <w:bookmarkEnd w:id="54"/>
    <w:p>
      <w:pPr>
        <w:jc w:val="both"/>
        <w:ind w:right="100"/>
        <w:spacing w:after="0" w:line="246" w:lineRule="auto"/>
        <w:rPr>
          <w:sz w:val="20"/>
          <w:szCs w:val="20"/>
          <w:color w:val="auto"/>
        </w:rPr>
      </w:pPr>
      <w:r>
        <w:rPr>
          <w:rFonts w:ascii="Times New Roman" w:cs="Times New Roman" w:eastAsia="Times New Roman" w:hAnsi="Times New Roman"/>
          <w:sz w:val="18"/>
          <w:szCs w:val="18"/>
          <w:color w:val="auto"/>
        </w:rPr>
        <w:t>11.2 The Executive shall not, in any Capacity, save in respect of a Permitted Interest or with the prior written consent of the board of directors or as prescribed in the Code of Business Conduct &amp; Ethics (which shall not be unreasonably withheld), for a period of 24 months from the Termination Date, within the Restricted Area, carry on or be concerned or engaged or interested in any part of any trade or business which competes with any part of any trade or business carried on by the Company or any Group Company in which the Executive shall have been actively engaged or involved at any time during the Period. Nothing in this clause 11.2 shall prevent the Executive from holding a Permitted Interest.</w:t>
      </w:r>
    </w:p>
    <w:p>
      <w:pPr>
        <w:spacing w:after="0" w:line="87"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18"/>
          <w:szCs w:val="18"/>
          <w:color w:val="auto"/>
        </w:rPr>
        <w:t>11.3 The Executive shall not in any Capacity for a period of 24 months from the Termination Date in competition with the Company or any Group Company and in relation to the business activities of the Company or any Group Company in which the Executive has been actively engaged or involved at any time during the Period:</w:t>
      </w:r>
    </w:p>
    <w:p>
      <w:pPr>
        <w:spacing w:after="0" w:line="82" w:lineRule="exact"/>
        <w:rPr>
          <w:sz w:val="20"/>
          <w:szCs w:val="20"/>
          <w:color w:val="auto"/>
        </w:rPr>
      </w:pPr>
    </w:p>
    <w:p>
      <w:pPr>
        <w:ind w:left="660" w:right="120" w:hanging="651"/>
        <w:spacing w:after="0" w:line="266" w:lineRule="auto"/>
        <w:tabs>
          <w:tab w:leader="none" w:pos="93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approach or offer products or services to or entice away from the Company or any Group Company any person, firm or company who was either:</w:t>
      </w:r>
    </w:p>
    <w:p>
      <w:pPr>
        <w:spacing w:after="0" w:line="189" w:lineRule="exact"/>
        <w:rPr>
          <w:rFonts w:ascii="Times New Roman" w:cs="Times New Roman" w:eastAsia="Times New Roman" w:hAnsi="Times New Roman"/>
          <w:sz w:val="18"/>
          <w:szCs w:val="18"/>
          <w:color w:val="auto"/>
        </w:rPr>
      </w:pPr>
    </w:p>
    <w:p>
      <w:pPr>
        <w:ind w:left="920" w:right="20" w:hanging="808"/>
        <w:spacing w:after="0" w:line="266" w:lineRule="auto"/>
        <w:tabs>
          <w:tab w:leader="none" w:pos="9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client or customer of the Company or any Group Company at any time during the Period with whom the Executive has been actively engaged or involved by virtue of his duties under this Agreement at any time during the Period; or</w:t>
      </w:r>
    </w:p>
    <w:p>
      <w:pPr>
        <w:ind w:left="920" w:hanging="857"/>
        <w:spacing w:after="0" w:line="282" w:lineRule="auto"/>
        <w:tabs>
          <w:tab w:leader="none" w:pos="9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client or customer of the Company or any Group Company at any time during the Period with whom the Executive has been actively engaged or involved by virtue of his duties under this Agreement at any time during the Period; or</w:t>
      </w:r>
    </w:p>
    <w:p>
      <w:pPr>
        <w:spacing w:after="0" w:line="80" w:lineRule="exact"/>
        <w:rPr>
          <w:rFonts w:ascii="Times New Roman" w:cs="Times New Roman" w:eastAsia="Times New Roman" w:hAnsi="Times New Roman"/>
          <w:sz w:val="18"/>
          <w:szCs w:val="18"/>
          <w:color w:val="auto"/>
        </w:rPr>
      </w:pPr>
    </w:p>
    <w:p>
      <w:pPr>
        <w:ind w:left="980" w:hanging="971"/>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with or accept custom from any person, firm or company who was either:</w:t>
      </w:r>
    </w:p>
    <w:p>
      <w:pPr>
        <w:spacing w:after="0" w:line="2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 client or customer of the Company or any Group Company at any time during the Period with whom the Executive has been actively</w:t>
      </w:r>
    </w:p>
    <w:p>
      <w:pPr>
        <w:ind w:left="920" w:hanging="870"/>
        <w:spacing w:after="0" w:line="180" w:lineRule="auto"/>
        <w:tabs>
          <w:tab w:leader="none" w:pos="920" w:val="left"/>
        </w:tabs>
        <w:numPr>
          <w:ilvl w:val="0"/>
          <w:numId w:val="34"/>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6"/>
          <w:szCs w:val="16"/>
          <w:color w:val="auto"/>
        </w:rPr>
        <w:t>engaged or involved by virtue of his duties under this Agreement at any time during the Period; or</w:t>
      </w:r>
    </w:p>
    <w:p>
      <w:pPr>
        <w:spacing w:after="0" w:line="178" w:lineRule="exact"/>
        <w:rPr>
          <w:rFonts w:ascii="Times New Roman" w:cs="Times New Roman" w:eastAsia="Times New Roman" w:hAnsi="Times New Roman"/>
          <w:sz w:val="31"/>
          <w:szCs w:val="31"/>
          <w:color w:val="auto"/>
          <w:vertAlign w:val="superscript"/>
        </w:rPr>
      </w:pPr>
    </w:p>
    <w:p>
      <w:pPr>
        <w:jc w:val="both"/>
        <w:ind w:left="920" w:right="20"/>
        <w:spacing w:after="0" w:line="249" w:lineRule="auto"/>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8"/>
          <w:szCs w:val="18"/>
          <w:color w:val="auto"/>
        </w:rPr>
        <w:t>a prospective client or customer of the Company or any Group Company with whom or which as at the Termination Date there are negotiations ongoing with a view to him or it becoming a customer or client of the Company or any other Group Company and where the</w:t>
      </w:r>
    </w:p>
    <w:p>
      <w:pPr>
        <w:ind w:left="920" w:right="20" w:hanging="870"/>
        <w:spacing w:after="0" w:line="180" w:lineRule="auto"/>
        <w:tabs>
          <w:tab w:leader="none" w:pos="920" w:val="left"/>
        </w:tabs>
        <w:numPr>
          <w:ilvl w:val="0"/>
          <w:numId w:val="34"/>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17"/>
          <w:szCs w:val="17"/>
          <w:color w:val="auto"/>
        </w:rPr>
        <w:t>Executive has been actively engaged or involved in such negotiations in the performance of his duties under this Agreement at any time during the Period.</w:t>
      </w:r>
    </w:p>
    <w:p>
      <w:pPr>
        <w:spacing w:after="0" w:line="25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color w:val="auto"/>
        </w:rPr>
        <w:t>The Executive shall not for a period of 24 months from the Termination Date in any Capacity, directly or indirectly:</w:t>
      </w:r>
    </w:p>
    <w:p>
      <w:pPr>
        <w:spacing w:after="0" w:line="59" w:lineRule="exact"/>
        <w:rPr>
          <w:sz w:val="20"/>
          <w:szCs w:val="20"/>
          <w:color w:val="auto"/>
        </w:rPr>
      </w:pPr>
    </w:p>
    <w:p>
      <w:pPr>
        <w:ind w:left="920" w:hanging="870"/>
        <w:spacing w:after="0"/>
        <w:tabs>
          <w:tab w:leader="none" w:pos="920" w:val="left"/>
        </w:tabs>
        <w:numPr>
          <w:ilvl w:val="0"/>
          <w:numId w:val="35"/>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approach or solicit or otherwise endeavour to entice away from the Company or any Group Company; or</w:t>
      </w:r>
    </w:p>
    <w:p>
      <w:pPr>
        <w:spacing w:after="0" w:line="157" w:lineRule="exact"/>
        <w:rPr>
          <w:rFonts w:ascii="Times New Roman" w:cs="Times New Roman" w:eastAsia="Times New Roman" w:hAnsi="Times New Roman"/>
          <w:sz w:val="36"/>
          <w:szCs w:val="36"/>
          <w:color w:val="auto"/>
          <w:vertAlign w:val="subscript"/>
        </w:rPr>
      </w:pPr>
    </w:p>
    <w:p>
      <w:pPr>
        <w:ind w:left="920"/>
        <w:spacing w:after="0"/>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employ or offer employment to or procure the employment of any Key Employee, whether or not such person would commit any breach of his</w:t>
      </w:r>
    </w:p>
    <w:p>
      <w:pPr>
        <w:spacing w:after="0" w:line="27" w:lineRule="exact"/>
        <w:rPr>
          <w:rFonts w:ascii="Times New Roman" w:cs="Times New Roman" w:eastAsia="Times New Roman" w:hAnsi="Times New Roman"/>
          <w:sz w:val="36"/>
          <w:szCs w:val="36"/>
          <w:color w:val="auto"/>
          <w:vertAlign w:val="subscript"/>
        </w:rPr>
      </w:pPr>
    </w:p>
    <w:p>
      <w:pPr>
        <w:ind w:left="920" w:hanging="870"/>
        <w:spacing w:after="0" w:line="180" w:lineRule="auto"/>
        <w:tabs>
          <w:tab w:leader="none" w:pos="920" w:val="left"/>
        </w:tabs>
        <w:numPr>
          <w:ilvl w:val="0"/>
          <w:numId w:val="3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auto"/>
        </w:rPr>
        <w:t>contract of employment by reason of so leaving the service of the Company or any Group Company or otherwise.</w:t>
      </w:r>
    </w:p>
    <w:p>
      <w:pPr>
        <w:spacing w:after="0" w:line="25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7"/>
          <w:szCs w:val="17"/>
          <w:color w:val="auto"/>
        </w:rPr>
        <w:t>The Executive shall not, at any time after the Termination Date, in any Capacity:</w:t>
      </w:r>
    </w:p>
    <w:p>
      <w:pPr>
        <w:spacing w:after="0" w:line="266" w:lineRule="exact"/>
        <w:rPr>
          <w:sz w:val="20"/>
          <w:szCs w:val="20"/>
          <w:color w:val="auto"/>
        </w:rPr>
      </w:pPr>
    </w:p>
    <w:p>
      <w:pPr>
        <w:jc w:val="both"/>
        <w:ind w:left="920" w:right="20" w:hanging="870"/>
        <w:spacing w:after="0" w:line="258" w:lineRule="auto"/>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as otherwise expressly directed in writing by the Company, represent himself as being in any way connected with or interested in the business of the Company or any Group Company (except as a former employee for the purpose of communicating with prospective employers or complying with any applicable statutory requirements) or use any name which is identical or similar to or likely to be confused with the name of the Company or any Group Company or any product or service produced or provided by the Company or any Group Company or which might suggest a connection with the Company or any Group Company; or</w:t>
      </w:r>
    </w:p>
    <w:p>
      <w:pPr>
        <w:spacing w:after="0" w:line="142" w:lineRule="exact"/>
        <w:rPr>
          <w:rFonts w:ascii="Times New Roman" w:cs="Times New Roman" w:eastAsia="Times New Roman" w:hAnsi="Times New Roman"/>
          <w:sz w:val="18"/>
          <w:szCs w:val="18"/>
          <w:color w:val="auto"/>
        </w:rPr>
      </w:pPr>
    </w:p>
    <w:p>
      <w:pPr>
        <w:ind w:left="920" w:hanging="870"/>
        <w:spacing w:after="0"/>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untrue or misleading oral or written statement concerning the business and affairs of the Company or any Group Company.</w:t>
      </w:r>
    </w:p>
    <w:p>
      <w:pPr>
        <w:spacing w:after="0" w:line="360"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18"/>
          <w:szCs w:val="18"/>
          <w:color w:val="auto"/>
        </w:rPr>
        <w:t>11.6 The Executive agrees that each of the restrictions in clauses 11.2, 11.3, 11.4 and 11.5 is separate and distinct, is to be construed separately from the other restrictions, and is reasonable as regards its duration, extent and application for the protection of the legitimate business interests of the Company and any Group Company. The Executive also acknowledges that he has had the opportunity to obtain independent legal advice in relation to the terms of this clause 11. However, if any such restriction shall be found to be void or unenforceable but would be valid or enforceable if some part or parts of it were deleted, the Executive agrees that such restriction shall apply with such deletions as may be necessary to make it valid and effective.</w:t>
      </w: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55" w:name="page56"/>
    <w:bookmarkEnd w:id="55"/>
    <w:p>
      <w:pPr>
        <w:ind w:left="960" w:hanging="951"/>
        <w:spacing w:after="0"/>
        <w:tabs>
          <w:tab w:leader="none" w:pos="9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Collective regulation</w:t>
      </w:r>
    </w:p>
    <w:p>
      <w:pPr>
        <w:spacing w:after="0" w:line="27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Executive's statutory salary, today, is the legally determined statutory salary. The non-salary terms and conditions of the present Agreement are determined by the National General Collective Labour Agreement (NGCLA).</w:t>
      </w:r>
    </w:p>
    <w:p>
      <w:pPr>
        <w:spacing w:after="0" w:line="50" w:lineRule="exact"/>
        <w:rPr>
          <w:sz w:val="20"/>
          <w:szCs w:val="20"/>
          <w:color w:val="auto"/>
        </w:rPr>
      </w:pPr>
    </w:p>
    <w:p>
      <w:pPr>
        <w:ind w:left="960" w:hanging="951"/>
        <w:spacing w:after="0"/>
        <w:tabs>
          <w:tab w:leader="none" w:pos="9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of the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present Agreement is amended only in writing, excluding any other means of proof.</w:t>
      </w:r>
    </w:p>
    <w:p>
      <w:pPr>
        <w:spacing w:after="0" w:line="140" w:lineRule="exact"/>
        <w:rPr>
          <w:sz w:val="20"/>
          <w:szCs w:val="20"/>
          <w:color w:val="auto"/>
        </w:rPr>
      </w:pPr>
    </w:p>
    <w:p>
      <w:pPr>
        <w:ind w:left="960" w:hanging="951"/>
        <w:spacing w:after="0"/>
        <w:tabs>
          <w:tab w:leader="none" w:pos="9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Jurisdiction of the Courts of Athens</w:t>
      </w:r>
    </w:p>
    <w:p>
      <w:pPr>
        <w:spacing w:after="0" w:line="14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It is explicitly agreed upon that any dispute that may arise from the present agreement will be resolved by the Courts of Athens, which will be exclusively locally competent.</w:t>
      </w:r>
    </w:p>
    <w:p>
      <w:pPr>
        <w:spacing w:after="0" w:line="36" w:lineRule="exact"/>
        <w:rPr>
          <w:sz w:val="20"/>
          <w:szCs w:val="20"/>
          <w:color w:val="auto"/>
        </w:rPr>
      </w:pPr>
    </w:p>
    <w:p>
      <w:pPr>
        <w:ind w:left="960" w:hanging="951"/>
        <w:spacing w:after="0"/>
        <w:tabs>
          <w:tab w:leader="none" w:pos="9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Final provisions</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15.1. With the present Agreement the Executive is informed about all the essential employment terms and conditions as provided for by the applicable legislation (articles 70 et al P.D. 80/2022).</w:t>
      </w:r>
    </w:p>
    <w:p>
      <w:pPr>
        <w:spacing w:after="0" w:line="5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The present Agreement may be executed by:</w:t>
      </w:r>
    </w:p>
    <w:p>
      <w:pPr>
        <w:spacing w:after="0" w:line="158" w:lineRule="exact"/>
        <w:rPr>
          <w:sz w:val="20"/>
          <w:szCs w:val="20"/>
          <w:color w:val="auto"/>
        </w:rPr>
      </w:pPr>
    </w:p>
    <w:p>
      <w:pPr>
        <w:ind w:left="1040" w:hanging="1031"/>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handwritten signature;</w:t>
      </w:r>
    </w:p>
    <w:p>
      <w:pPr>
        <w:spacing w:after="0" w:line="144" w:lineRule="exact"/>
        <w:rPr>
          <w:rFonts w:ascii="Times New Roman" w:cs="Times New Roman" w:eastAsia="Times New Roman" w:hAnsi="Times New Roman"/>
          <w:sz w:val="18"/>
          <w:szCs w:val="18"/>
          <w:color w:val="auto"/>
        </w:rPr>
      </w:pPr>
    </w:p>
    <w:p>
      <w:pPr>
        <w:ind w:left="980" w:hanging="971"/>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qualified electronic signature;</w:t>
      </w:r>
    </w:p>
    <w:p>
      <w:pPr>
        <w:spacing w:after="0" w:line="157" w:lineRule="exact"/>
        <w:rPr>
          <w:rFonts w:ascii="Times New Roman" w:cs="Times New Roman" w:eastAsia="Times New Roman" w:hAnsi="Times New Roman"/>
          <w:sz w:val="18"/>
          <w:szCs w:val="18"/>
          <w:color w:val="auto"/>
        </w:rPr>
      </w:pPr>
    </w:p>
    <w:p>
      <w:pPr>
        <w:ind w:left="1000" w:hanging="991"/>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certification through the Single Digital Portal (Gov.gr).</w:t>
      </w:r>
    </w:p>
    <w:p>
      <w:pPr>
        <w:spacing w:after="0" w:line="14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15.3. The present Agreement was drafted and executed in English and each contracting party received one copy. Should the Parties require, for any reason whatsoever, a courtesy version of this Agreement in Greek language they will prepare one accordingly.</w:t>
      </w:r>
    </w:p>
    <w:p>
      <w:pPr>
        <w:spacing w:after="0" w:line="6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THE PARTIES</w:t>
      </w:r>
    </w:p>
    <w:p>
      <w:pPr>
        <w:spacing w:after="0" w:line="225" w:lineRule="exact"/>
        <w:rPr>
          <w:sz w:val="20"/>
          <w:szCs w:val="20"/>
          <w:color w:val="auto"/>
        </w:rPr>
      </w:pPr>
    </w:p>
    <w:p>
      <w:pPr>
        <w:ind w:left="2080"/>
        <w:spacing w:after="0"/>
        <w:tabs>
          <w:tab w:leader="none" w:pos="7680" w:val="left"/>
        </w:tabs>
        <w:rPr>
          <w:sz w:val="20"/>
          <w:szCs w:val="20"/>
          <w:color w:val="auto"/>
        </w:rPr>
      </w:pPr>
      <w:r>
        <w:rPr>
          <w:rFonts w:ascii="Times New Roman" w:cs="Times New Roman" w:eastAsia="Times New Roman" w:hAnsi="Times New Roman"/>
          <w:sz w:val="18"/>
          <w:szCs w:val="18"/>
          <w:b w:val="1"/>
          <w:bCs w:val="1"/>
          <w:color w:val="auto"/>
        </w:rPr>
        <w:t>THE EXECUTIVE</w:t>
      </w:r>
      <w:r>
        <w:rPr>
          <w:sz w:val="20"/>
          <w:szCs w:val="20"/>
          <w:color w:val="auto"/>
        </w:rPr>
        <w:tab/>
      </w:r>
      <w:r>
        <w:rPr>
          <w:rFonts w:ascii="Times New Roman" w:cs="Times New Roman" w:eastAsia="Times New Roman" w:hAnsi="Times New Roman"/>
          <w:sz w:val="17"/>
          <w:szCs w:val="17"/>
          <w:b w:val="1"/>
          <w:bCs w:val="1"/>
          <w:color w:val="auto"/>
        </w:rPr>
        <w:t>THE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242570</wp:posOffset>
            </wp:positionV>
            <wp:extent cx="1731645" cy="4883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31645" cy="48831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311150</wp:posOffset>
            </wp:positionV>
            <wp:extent cx="2074545" cy="4114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07454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18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0"/>
        </w:trPr>
        <w:tc>
          <w:tcPr>
            <w:tcW w:w="5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Nikolaos Fountas</w:t>
            </w:r>
          </w:p>
        </w:tc>
        <w:tc>
          <w:tcPr>
            <w:tcW w:w="618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Daniel J Marland Associate General Counsel</w:t>
            </w:r>
          </w:p>
        </w:tc>
        <w:tc>
          <w:tcPr>
            <w:tcW w:w="0" w:type="dxa"/>
            <w:vAlign w:val="bottom"/>
          </w:tcPr>
          <w:p>
            <w:pPr>
              <w:spacing w:after="0"/>
              <w:rPr>
                <w:sz w:val="1"/>
                <w:szCs w:val="1"/>
                <w:color w:val="auto"/>
              </w:rPr>
            </w:pPr>
          </w:p>
        </w:tc>
      </w:tr>
      <w:tr>
        <w:trPr>
          <w:trHeight w:val="81"/>
        </w:trPr>
        <w:tc>
          <w:tcPr>
            <w:tcW w:w="5060" w:type="dxa"/>
            <w:vAlign w:val="bottom"/>
            <w:vMerge w:val="continue"/>
          </w:tcPr>
          <w:p>
            <w:pPr>
              <w:spacing w:after="0"/>
              <w:rPr>
                <w:sz w:val="7"/>
                <w:szCs w:val="7"/>
                <w:color w:val="auto"/>
              </w:rPr>
            </w:pPr>
          </w:p>
        </w:tc>
        <w:tc>
          <w:tcPr>
            <w:tcW w:w="6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5060" w:type="dxa"/>
            <w:vAlign w:val="bottom"/>
          </w:tcPr>
          <w:p>
            <w:pPr>
              <w:spacing w:after="0"/>
              <w:rPr>
                <w:sz w:val="24"/>
                <w:szCs w:val="24"/>
                <w:color w:val="auto"/>
              </w:rPr>
            </w:pPr>
          </w:p>
        </w:tc>
        <w:tc>
          <w:tcPr>
            <w:tcW w:w="618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15"/>
        </w:trPr>
        <w:tc>
          <w:tcPr>
            <w:tcW w:w="5060" w:type="dxa"/>
            <w:vAlign w:val="bottom"/>
            <w:tcBorders>
              <w:bottom w:val="single" w:sz="8" w:color="auto"/>
            </w:tcBorders>
          </w:tcPr>
          <w:p>
            <w:pPr>
              <w:spacing w:after="0"/>
              <w:rPr>
                <w:sz w:val="10"/>
                <w:szCs w:val="10"/>
                <w:color w:val="auto"/>
              </w:rPr>
            </w:pPr>
          </w:p>
        </w:tc>
        <w:tc>
          <w:tcPr>
            <w:tcW w:w="6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6" w:name="page57"/>
    <w:bookmarkEnd w:id="5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Job Duties of Chief Executive Officer – EFT Americas &amp; EMEA, and Executive Vice President for EWI</w:t>
      </w:r>
    </w:p>
    <w:p>
      <w:pPr>
        <w:spacing w:after="0" w:line="2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see separate document</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57" w:name="page58"/>
    <w:bookmarkEnd w:id="57"/>
    <w:p>
      <w:pPr>
        <w:ind w:left="5000"/>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Discretionary benefits</w:t>
      </w:r>
    </w:p>
    <w:p>
      <w:pPr>
        <w:spacing w:after="0" w:line="148" w:lineRule="exact"/>
        <w:rPr>
          <w:sz w:val="20"/>
          <w:szCs w:val="20"/>
          <w:color w:val="auto"/>
        </w:rPr>
      </w:pPr>
    </w:p>
    <w:p>
      <w:pPr>
        <w:ind w:left="240" w:hanging="231"/>
        <w:spacing w:after="0"/>
        <w:tabs>
          <w:tab w:leader="none" w:pos="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shall be entitled to use of a company car in accordance with rules established by the Company from time to time.</w:t>
      </w:r>
    </w:p>
    <w:p>
      <w:pPr>
        <w:spacing w:after="0" w:line="117" w:lineRule="exact"/>
        <w:rPr>
          <w:rFonts w:ascii="Times New Roman" w:cs="Times New Roman" w:eastAsia="Times New Roman" w:hAnsi="Times New Roman"/>
          <w:sz w:val="18"/>
          <w:szCs w:val="18"/>
          <w:color w:val="auto"/>
        </w:rPr>
      </w:pPr>
    </w:p>
    <w:p>
      <w:pPr>
        <w:ind w:firstLine="9"/>
        <w:spacing w:after="0" w:line="282" w:lineRule="auto"/>
        <w:tabs>
          <w:tab w:leader="none" w:pos="22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shall be eligible to participate in any schemes and/or programmes operated by the Company for management or executive level employees.</w:t>
      </w:r>
    </w:p>
    <w:p>
      <w:pPr>
        <w:spacing w:after="0" w:line="2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590" w:right="1099" w:bottom="1440" w:gutter="0" w:footer="0" w:header="0"/>
        </w:sectPr>
      </w:pPr>
    </w:p>
    <w:bookmarkStart w:id="58" w:name="page59"/>
    <w:bookmarkEnd w:id="58"/>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Euronet Worldwide, Inc.</w:t>
      </w:r>
    </w:p>
    <w:p>
      <w:pPr>
        <w:spacing w:after="0" w:line="252" w:lineRule="exact"/>
        <w:rPr>
          <w:sz w:val="20"/>
          <w:szCs w:val="20"/>
          <w:color w:val="auto"/>
        </w:rPr>
      </w:pPr>
    </w:p>
    <w:p>
      <w:pPr>
        <w:ind w:left="40"/>
        <w:spacing w:after="0"/>
        <w:tabs>
          <w:tab w:leader="none" w:pos="2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34290</wp:posOffset>
            </wp:positionV>
            <wp:extent cx="3437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57" w:lineRule="exact"/>
        <w:rPr>
          <w:sz w:val="20"/>
          <w:szCs w:val="20"/>
          <w:color w:val="auto"/>
        </w:rPr>
      </w:pPr>
    </w:p>
    <w:p>
      <w:pPr>
        <w:jc w:val="center"/>
        <w:ind w:right="3300"/>
        <w:spacing w:after="0"/>
        <w:rPr>
          <w:sz w:val="20"/>
          <w:szCs w:val="20"/>
          <w:color w:val="auto"/>
        </w:rPr>
      </w:pPr>
      <w:r>
        <w:rPr>
          <w:rFonts w:ascii="Times New Roman" w:cs="Times New Roman" w:eastAsia="Times New Roman" w:hAnsi="Times New Roman"/>
          <w:sz w:val="18"/>
          <w:szCs w:val="18"/>
          <w:color w:val="auto"/>
        </w:rPr>
        <w:t>Michael J. Brown</w:t>
      </w:r>
    </w:p>
    <w:p>
      <w:pPr>
        <w:spacing w:after="0" w:line="63" w:lineRule="exact"/>
        <w:rPr>
          <w:sz w:val="20"/>
          <w:szCs w:val="20"/>
          <w:color w:val="auto"/>
        </w:rPr>
      </w:pPr>
    </w:p>
    <w:p>
      <w:pPr>
        <w:jc w:val="center"/>
        <w:ind w:right="3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2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34290</wp:posOffset>
            </wp:positionV>
            <wp:extent cx="3437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57" w:lineRule="exact"/>
        <w:rPr>
          <w:sz w:val="20"/>
          <w:szCs w:val="20"/>
          <w:color w:val="auto"/>
        </w:rPr>
      </w:pPr>
    </w:p>
    <w:p>
      <w:pPr>
        <w:jc w:val="center"/>
        <w:ind w:right="3300"/>
        <w:spacing w:after="0"/>
        <w:rPr>
          <w:sz w:val="20"/>
          <w:szCs w:val="20"/>
          <w:color w:val="auto"/>
        </w:rPr>
      </w:pPr>
      <w:r>
        <w:rPr>
          <w:rFonts w:ascii="Times New Roman" w:cs="Times New Roman" w:eastAsia="Times New Roman" w:hAnsi="Times New Roman"/>
          <w:sz w:val="18"/>
          <w:szCs w:val="18"/>
          <w:color w:val="auto"/>
        </w:rPr>
        <w:t>Rick L. Weller</w:t>
      </w:r>
    </w:p>
    <w:p>
      <w:pPr>
        <w:spacing w:after="0" w:line="63" w:lineRule="exact"/>
        <w:rPr>
          <w:sz w:val="20"/>
          <w:szCs w:val="20"/>
          <w:color w:val="auto"/>
        </w:rPr>
      </w:pPr>
    </w:p>
    <w:p>
      <w:pPr>
        <w:jc w:val="center"/>
        <w:ind w:right="3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20" w:top="549" w:right="129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Euronet Worldwide, Inc. (the “Company”) for the period ended March 31, 2025 as filed with the Securities and Exchange Commission on the date hereof (the “Report”), the undersigned hereby certifies, pursuant to 18 U.S.C. Section 1350, as adopted pursuant to Section 906 of the Sarbanes-Oxley Act of 2002, that:</w:t>
      </w:r>
    </w:p>
    <w:p>
      <w:pPr>
        <w:spacing w:after="0" w:line="176" w:lineRule="exact"/>
        <w:rPr>
          <w:sz w:val="20"/>
          <w:szCs w:val="20"/>
          <w:color w:val="auto"/>
        </w:rPr>
      </w:pPr>
    </w:p>
    <w:p>
      <w:pPr>
        <w:ind w:left="480" w:hanging="202"/>
        <w:spacing w:after="0"/>
        <w:tabs>
          <w:tab w:leader="none" w:pos="4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480" w:hanging="202"/>
        <w:spacing w:after="0"/>
        <w:tabs>
          <w:tab w:leader="none" w:pos="4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8"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661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Rick L. Weller</w:t>
      </w:r>
    </w:p>
    <w:p>
      <w:pPr>
        <w:spacing w:after="0" w:line="6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2025</w:t>
      </w:r>
    </w:p>
    <w:p>
      <w:pPr>
        <w:sectPr>
          <w:pgSz w:w="11900" w:h="16838" w:orient="portrait"/>
          <w:cols w:equalWidth="0" w:num="1">
            <w:col w:w="11240"/>
          </w:cols>
          <w:pgMar w:left="320" w:top="11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Euronet Worldwide, Inc. (the “Company”) for the period ended March 31, 2025 as filed with the Securities and Exchange Commission on the date hereof (the “Report”), the undersigned hereby certifies, pursuant to 18 U.S.C. Section 1350, as adopted pursuant to Section 906 of the Sarbanes-Oxley Act of 2002, that:</w:t>
      </w:r>
    </w:p>
    <w:p>
      <w:pPr>
        <w:spacing w:after="0" w:line="176" w:lineRule="exact"/>
        <w:rPr>
          <w:sz w:val="20"/>
          <w:szCs w:val="20"/>
          <w:color w:val="auto"/>
        </w:rPr>
      </w:pPr>
    </w:p>
    <w:p>
      <w:pPr>
        <w:ind w:left="480" w:hanging="202"/>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480" w:hanging="202"/>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66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Michael J. Brown</w:t>
      </w:r>
    </w:p>
    <w:p>
      <w:pPr>
        <w:spacing w:after="0" w:line="6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2025</w:t>
      </w:r>
    </w:p>
    <w:p>
      <w:pPr>
        <w:sectPr>
          <w:pgSz w:w="11900" w:h="16838" w:orient="portrait"/>
          <w:cols w:equalWidth="0" w:num="1">
            <w:col w:w="11240"/>
          </w:cols>
          <w:pgMar w:left="320" w:top="117"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Brown, certify that:</w:t>
      </w:r>
    </w:p>
    <w:p>
      <w:pPr>
        <w:spacing w:after="0" w:line="225" w:lineRule="exact"/>
        <w:rPr>
          <w:sz w:val="20"/>
          <w:szCs w:val="20"/>
          <w:color w:val="auto"/>
        </w:rPr>
      </w:pPr>
    </w:p>
    <w:p>
      <w:pPr>
        <w:ind w:left="200" w:hanging="192"/>
        <w:spacing w:after="0"/>
        <w:tabs>
          <w:tab w:leader="none" w:pos="2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Euronet Worldwide,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1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1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2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5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420" w:hanging="7"/>
        <w:spacing w:after="0" w:line="282" w:lineRule="auto"/>
        <w:tabs>
          <w:tab w:leader="none" w:pos="60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1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firstLine="8"/>
        <w:spacing w:after="0" w:line="282" w:lineRule="auto"/>
        <w:tabs>
          <w:tab w:leader="none" w:pos="2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420" w:hanging="7"/>
        <w:spacing w:after="0" w:line="282" w:lineRule="auto"/>
        <w:tabs>
          <w:tab w:leader="none" w:pos="62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420" w:hanging="7"/>
        <w:spacing w:after="0" w:line="282" w:lineRule="auto"/>
        <w:tabs>
          <w:tab w:leader="none" w:pos="63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2025</w:t>
      </w:r>
    </w:p>
    <w:p>
      <w:pPr>
        <w:spacing w:after="0" w:line="200" w:lineRule="exact"/>
        <w:rPr>
          <w:sz w:val="20"/>
          <w:szCs w:val="20"/>
          <w:color w:val="auto"/>
        </w:rPr>
      </w:pPr>
    </w:p>
    <w:p>
      <w:pPr>
        <w:spacing w:after="0" w:line="268"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661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Michael J. Brown</w:t>
      </w:r>
    </w:p>
    <w:p>
      <w:pPr>
        <w:spacing w:after="0" w:line="6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17"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Rick L. Weller, certify that:</w:t>
      </w:r>
    </w:p>
    <w:p>
      <w:pPr>
        <w:spacing w:after="0" w:line="166" w:lineRule="exact"/>
        <w:rPr>
          <w:sz w:val="20"/>
          <w:szCs w:val="20"/>
          <w:color w:val="auto"/>
        </w:rPr>
      </w:pPr>
    </w:p>
    <w:p>
      <w:pPr>
        <w:ind w:left="200" w:hanging="192"/>
        <w:spacing w:after="0"/>
        <w:tabs>
          <w:tab w:leader="none" w:pos="2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Euronet Worldwide, Inc.;</w:t>
      </w:r>
    </w:p>
    <w:p>
      <w:pPr>
        <w:spacing w:after="0" w:line="198"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firstLine="8"/>
        <w:spacing w:after="0" w:line="266" w:lineRule="auto"/>
        <w:tabs>
          <w:tab w:leader="none" w:pos="1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1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5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420" w:hanging="7"/>
        <w:spacing w:after="0" w:line="282" w:lineRule="auto"/>
        <w:tabs>
          <w:tab w:leader="none" w:pos="60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1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firstLine="8"/>
        <w:spacing w:after="0" w:line="282" w:lineRule="auto"/>
        <w:tabs>
          <w:tab w:leader="none" w:pos="2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420" w:hanging="7"/>
        <w:spacing w:after="0" w:line="282" w:lineRule="auto"/>
        <w:tabs>
          <w:tab w:leader="none" w:pos="62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420" w:hanging="7"/>
        <w:spacing w:after="0" w:line="282" w:lineRule="auto"/>
        <w:tabs>
          <w:tab w:leader="none" w:pos="63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2025</w:t>
      </w:r>
    </w:p>
    <w:p>
      <w:pPr>
        <w:spacing w:after="0" w:line="200" w:lineRule="exact"/>
        <w:rPr>
          <w:sz w:val="20"/>
          <w:szCs w:val="20"/>
          <w:color w:val="auto"/>
        </w:rPr>
      </w:pPr>
    </w:p>
    <w:p>
      <w:pPr>
        <w:spacing w:after="0" w:line="255"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661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Rick L. Weller</w:t>
      </w:r>
    </w:p>
    <w:p>
      <w:pPr>
        <w:spacing w:after="0" w:line="6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lowerLetter"/>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decimal"/>
      <w:start w:val="2"/>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lowerLetter"/>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2"/>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lowerLetter"/>
      <w:start w:val="1"/>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1."/>
      <w:numFmt w:val="decimal"/>
      <w:start w:val="2"/>
    </w:lvl>
  </w:abstractNum>
  <w:abstractNum w:abstractNumId="16">
    <w:nsid w:val="737B8DDC"/>
    <w:multiLevelType w:val="hybridMultilevel"/>
    <w:lvl w:ilvl="0">
      <w:lvlJc w:val="left"/>
      <w:lvlText w:val="%1."/>
      <w:numFmt w:val="decimal"/>
      <w:start w:val="3"/>
    </w:lvl>
  </w:abstractNum>
  <w:abstractNum w:abstractNumId="17">
    <w:nsid w:val="6CEAF087"/>
    <w:multiLevelType w:val="hybridMultilevel"/>
    <w:lvl w:ilvl="0">
      <w:lvlJc w:val="left"/>
      <w:lvlText w:val="%1."/>
      <w:numFmt w:val="decimal"/>
      <w:start w:val="4"/>
    </w:lvl>
  </w:abstractNum>
  <w:abstractNum w:abstractNumId="18">
    <w:nsid w:val="22221A70"/>
    <w:multiLevelType w:val="hybridMultilevel"/>
    <w:lvl w:ilvl="0">
      <w:lvlJc w:val="left"/>
      <w:lvlText w:val="(%1)"/>
      <w:numFmt w:val="lowerLetter"/>
      <w:start w:val="1"/>
    </w:lvl>
  </w:abstractNum>
  <w:abstractNum w:abstractNumId="19">
    <w:nsid w:val="4516DDE9"/>
    <w:multiLevelType w:val="hybridMultilevel"/>
    <w:lvl w:ilvl="0">
      <w:lvlJc w:val="left"/>
      <w:lvlText w:val="(%1)"/>
      <w:numFmt w:val="lowerLetter"/>
      <w:start w:val="1"/>
    </w:lvl>
  </w:abstractNum>
  <w:abstractNum w:abstractNumId="20">
    <w:nsid w:val="3006C83E"/>
    <w:multiLevelType w:val="hybridMultilevel"/>
    <w:lvl w:ilvl="0">
      <w:lvlJc w:val="left"/>
      <w:lvlText w:val="%1."/>
      <w:numFmt w:val="decimal"/>
      <w:start w:val="5"/>
    </w:lvl>
  </w:abstractNum>
  <w:abstractNum w:abstractNumId="21">
    <w:nsid w:val="614FD4A1"/>
    <w:multiLevelType w:val="hybridMultilevel"/>
    <w:lvl w:ilvl="0">
      <w:lvlJc w:val="left"/>
      <w:lvlText w:val="%1."/>
      <w:numFmt w:val="decimal"/>
      <w:start w:val="6"/>
    </w:lvl>
  </w:abstractNum>
  <w:abstractNum w:abstractNumId="22">
    <w:nsid w:val="419AC241"/>
    <w:multiLevelType w:val="hybridMultilevel"/>
    <w:lvl w:ilvl="0">
      <w:lvlJc w:val="left"/>
      <w:lvlText w:val="(%1)"/>
      <w:numFmt w:val="lowerLetter"/>
      <w:start w:val="1"/>
    </w:lvl>
  </w:abstractNum>
  <w:abstractNum w:abstractNumId="23">
    <w:nsid w:val="5577F8E1"/>
    <w:multiLevelType w:val="hybridMultilevel"/>
    <w:lvl w:ilvl="0">
      <w:lvlJc w:val="left"/>
      <w:lvlText w:val="%1."/>
      <w:numFmt w:val="decimal"/>
      <w:start w:val="7"/>
    </w:lvl>
  </w:abstractNum>
  <w:abstractNum w:abstractNumId="24">
    <w:nsid w:val="440BADFC"/>
    <w:multiLevelType w:val="hybridMultilevel"/>
    <w:lvl w:ilvl="0">
      <w:lvlJc w:val="left"/>
      <w:lvlText w:val="%1."/>
      <w:numFmt w:val="decimal"/>
      <w:start w:val="8"/>
    </w:lvl>
  </w:abstractNum>
  <w:abstractNum w:abstractNumId="25">
    <w:nsid w:val="5072367"/>
    <w:multiLevelType w:val="hybridMultilevel"/>
    <w:lvl w:ilvl="0">
      <w:lvlJc w:val="left"/>
      <w:lvlText w:val="%1."/>
      <w:numFmt w:val="decimal"/>
      <w:start w:val="9"/>
    </w:lvl>
  </w:abstractNum>
  <w:abstractNum w:abstractNumId="26">
    <w:nsid w:val="3804823E"/>
    <w:multiLevelType w:val="hybridMultilevel"/>
    <w:lvl w:ilvl="0">
      <w:lvlJc w:val="left"/>
      <w:lvlText w:val="(%1)"/>
      <w:numFmt w:val="decimal"/>
      <w:start w:val="12"/>
    </w:lvl>
  </w:abstractNum>
  <w:abstractNum w:abstractNumId="27">
    <w:nsid w:val="77465F01"/>
    <w:multiLevelType w:val="hybridMultilevel"/>
    <w:lvl w:ilvl="0">
      <w:lvlJc w:val="left"/>
      <w:lvlText w:val="(%1)"/>
      <w:numFmt w:val="lowerRoman"/>
      <w:start w:val="1"/>
    </w:lvl>
  </w:abstractNum>
  <w:abstractNum w:abstractNumId="28">
    <w:nsid w:val="7724C67E"/>
    <w:multiLevelType w:val="hybridMultilevel"/>
    <w:lvl w:ilvl="0">
      <w:lvlJc w:val="left"/>
      <w:lvlText w:val="(%1)"/>
      <w:numFmt w:val="lowerRoman"/>
      <w:start w:val="2"/>
    </w:lvl>
  </w:abstractNum>
  <w:abstractNum w:abstractNumId="29">
    <w:nsid w:val="5C482A97"/>
    <w:multiLevelType w:val="hybridMultilevel"/>
    <w:lvl w:ilvl="0">
      <w:lvlJc w:val="left"/>
      <w:lvlText w:val="%1."/>
      <w:numFmt w:val="decimal"/>
      <w:start w:val="10"/>
    </w:lvl>
  </w:abstractNum>
  <w:abstractNum w:abstractNumId="30">
    <w:nsid w:val="2463B9EA"/>
    <w:multiLevelType w:val="hybridMultilevel"/>
    <w:lvl w:ilvl="0">
      <w:lvlJc w:val="left"/>
      <w:lvlText w:val="(%1)"/>
      <w:numFmt w:val="lowerLetter"/>
      <w:start w:val="1"/>
    </w:lvl>
    <w:lvl w:ilvl="1">
      <w:lvlJc w:val="left"/>
      <w:lvlText w:val="(%2)"/>
      <w:numFmt w:val="lowerRoman"/>
      <w:start w:val="1"/>
    </w:lvl>
  </w:abstractNum>
  <w:abstractNum w:abstractNumId="31">
    <w:nsid w:val="5E884ADC"/>
    <w:multiLevelType w:val="hybridMultilevel"/>
    <w:lvl w:ilvl="0">
      <w:lvlJc w:val="left"/>
      <w:lvlText w:val="(%1)"/>
      <w:numFmt w:val="lowerLetter"/>
      <w:start w:val="1"/>
    </w:lvl>
  </w:abstractNum>
  <w:abstractNum w:abstractNumId="32">
    <w:nsid w:val="51EAD36B"/>
    <w:multiLevelType w:val="hybridMultilevel"/>
    <w:lvl w:ilvl="0">
      <w:lvlJc w:val="left"/>
      <w:lvlText w:val="(%1)"/>
      <w:numFmt w:val="lowerLetter"/>
      <w:start w:val="1"/>
    </w:lvl>
    <w:lvl w:ilvl="1">
      <w:lvlJc w:val="left"/>
      <w:lvlText w:val="(%2)"/>
      <w:numFmt w:val="lowerRoman"/>
      <w:start w:val="1"/>
    </w:lvl>
  </w:abstractNum>
  <w:abstractNum w:abstractNumId="33">
    <w:nsid w:val="2D517796"/>
    <w:multiLevelType w:val="hybridMultilevel"/>
    <w:lvl w:ilvl="0">
      <w:lvlJc w:val="left"/>
      <w:lvlText w:val="(%1)"/>
      <w:numFmt w:val="lowerRoman"/>
      <w:start w:val="1"/>
    </w:lvl>
  </w:abstractNum>
  <w:abstractNum w:abstractNumId="34">
    <w:nsid w:val="580BD78F"/>
    <w:multiLevelType w:val="hybridMultilevel"/>
    <w:lvl w:ilvl="0">
      <w:lvlJc w:val="left"/>
      <w:lvlText w:val="(%1)"/>
      <w:numFmt w:val="lowerLetter"/>
      <w:start w:val="1"/>
    </w:lvl>
  </w:abstractNum>
  <w:abstractNum w:abstractNumId="35">
    <w:nsid w:val="153EA438"/>
    <w:multiLevelType w:val="hybridMultilevel"/>
    <w:lvl w:ilvl="0">
      <w:lvlJc w:val="left"/>
      <w:lvlText w:val="(%1)"/>
      <w:numFmt w:val="lowerLetter"/>
      <w:start w:val="1"/>
    </w:lvl>
  </w:abstractNum>
  <w:abstractNum w:abstractNumId="36">
    <w:nsid w:val="3855585C"/>
    <w:multiLevelType w:val="hybridMultilevel"/>
    <w:lvl w:ilvl="0">
      <w:lvlJc w:val="left"/>
      <w:lvlText w:val="%1."/>
      <w:numFmt w:val="decimal"/>
      <w:start w:val="12"/>
    </w:lvl>
  </w:abstractNum>
  <w:abstractNum w:abstractNumId="37">
    <w:nsid w:val="70A64E2A"/>
    <w:multiLevelType w:val="hybridMultilevel"/>
    <w:lvl w:ilvl="0">
      <w:lvlJc w:val="left"/>
      <w:lvlText w:val="%1."/>
      <w:numFmt w:val="decimal"/>
      <w:start w:val="13"/>
    </w:lvl>
  </w:abstractNum>
  <w:abstractNum w:abstractNumId="38">
    <w:nsid w:val="6A2342EC"/>
    <w:multiLevelType w:val="hybridMultilevel"/>
    <w:lvl w:ilvl="0">
      <w:lvlJc w:val="left"/>
      <w:lvlText w:val="%1."/>
      <w:numFmt w:val="decimal"/>
      <w:start w:val="14"/>
    </w:lvl>
  </w:abstractNum>
  <w:abstractNum w:abstractNumId="39">
    <w:nsid w:val="2A487CB0"/>
    <w:multiLevelType w:val="hybridMultilevel"/>
    <w:lvl w:ilvl="0">
      <w:lvlJc w:val="left"/>
      <w:lvlText w:val="%1."/>
      <w:numFmt w:val="decimal"/>
      <w:start w:val="15"/>
    </w:lvl>
  </w:abstractNum>
  <w:abstractNum w:abstractNumId="40">
    <w:nsid w:val="1D4ED43B"/>
    <w:multiLevelType w:val="hybridMultilevel"/>
    <w:lvl w:ilvl="0">
      <w:lvlJc w:val="left"/>
      <w:lvlText w:val="(%1)"/>
      <w:numFmt w:val="lowerRoman"/>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1)"/>
      <w:numFmt w:val="decimal"/>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2025-05-07T05:37:33Z</dcterms:created>
  <dcterms:modified xsi:type="dcterms:W3CDTF">2025-05-07T05:37:33Z</dcterms:modified>
</cp:coreProperties>
</file>