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397510</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60" w:hanging="51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4280" w:right="1360" w:hanging="3912"/>
        <w:spacing w:after="0" w:line="510" w:lineRule="auto"/>
        <w:tabs>
          <w:tab w:leader="none" w:pos="839"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001-31648</w:t>
      </w: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3"/>
              </w:rPr>
              <w:t>Identification No.)</w:t>
            </w:r>
          </w:p>
        </w:tc>
      </w:tr>
      <w:tr>
        <w:trPr>
          <w:trHeight w:val="54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No o</w:t>
      </w:r>
    </w:p>
    <w:p>
      <w:pPr>
        <w:spacing w:after="0" w:line="117"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76" w:lineRule="exact"/>
        <w:rPr>
          <w:sz w:val="24"/>
          <w:szCs w:val="24"/>
          <w:color w:val="auto"/>
        </w:rPr>
      </w:pPr>
    </w:p>
    <w:p>
      <w:pPr>
        <w:ind w:left="2740" w:right="640" w:hanging="4134"/>
        <w:spacing w:after="0" w:line="251" w:lineRule="exact"/>
        <w:tabs>
          <w:tab w:leader="none" w:pos="2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rFonts w:ascii="Arial" w:cs="Arial" w:eastAsia="Arial" w:hAnsi="Arial"/>
          <w:sz w:val="18"/>
          <w:szCs w:val="18"/>
          <w:color w:val="auto"/>
        </w:rPr>
        <w:t xml:space="preserve"> Non-accelerated filer o Smaller reporting company </w:t>
      </w:r>
      <w:r>
        <w:rPr>
          <w:rFonts w:ascii="Arial" w:cs="Arial" w:eastAsia="Arial" w:hAnsi="Arial"/>
          <w:sz w:val="16"/>
          <w:szCs w:val="16"/>
          <w:color w:val="auto"/>
        </w:rPr>
        <w:t>o</w:t>
      </w:r>
      <w:r>
        <w:rPr>
          <w:rFonts w:ascii="Arial" w:cs="Arial" w:eastAsia="Arial" w:hAnsi="Arial"/>
          <w:sz w:val="18"/>
          <w:szCs w:val="18"/>
          <w:color w:val="auto"/>
        </w:rPr>
        <w:t xml:space="preserve"> (Do not check if a smaller reporting company)</w:t>
      </w:r>
    </w:p>
    <w:p>
      <w:pPr>
        <w:spacing w:after="0" w:line="2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July 31, 2013 was 50,053,033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255270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169545</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77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2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1220" w:type="dxa"/>
            <w:vAlign w:val="bottom"/>
            <w:gridSpan w:val="13"/>
          </w:tcPr>
          <w:p>
            <w:pPr>
              <w:ind w:left="4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I—FINANCIAL INFORMATION</w:t>
              </w:r>
            </w:hyperlink>
          </w:p>
        </w:tc>
        <w:tc>
          <w:tcPr>
            <w:tcW w:w="180" w:type="dxa"/>
            <w:vAlign w:val="bottom"/>
            <w:gridSpan w:val="2"/>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6"/>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w:t>
              </w:r>
            </w:hyperlink>
          </w:p>
        </w:tc>
        <w:tc>
          <w:tcPr>
            <w:tcW w:w="802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580" w:type="dxa"/>
            <w:vAlign w:val="bottom"/>
            <w:tcBorders>
              <w:bottom w:val="single" w:sz="8" w:color="auto"/>
            </w:tcBorders>
            <w:gridSpan w:val="10"/>
          </w:tcPr>
          <w:p>
            <w:pPr>
              <w:spacing w:after="0"/>
              <w:rPr>
                <w:rFonts w:ascii="Arial" w:cs="Arial" w:eastAsia="Arial" w:hAnsi="Arial"/>
                <w:sz w:val="18"/>
                <w:szCs w:val="18"/>
                <w:color w:val="auto"/>
                <w:w w:val="97"/>
              </w:rPr>
            </w:pPr>
            <w:hyperlink w:anchor="page16">
              <w:r>
                <w:rPr>
                  <w:rFonts w:ascii="Arial" w:cs="Arial" w:eastAsia="Arial" w:hAnsi="Arial"/>
                  <w:sz w:val="18"/>
                  <w:szCs w:val="18"/>
                  <w:color w:val="auto"/>
                  <w:w w:val="97"/>
                </w:rPr>
                <w:t>ITEM 2. MANAGEMENT’S DISCUSSION AND ANALYSIS OF FINANCIAL CONDITION AND RESULTS OF OPERATIONS</w:t>
              </w:r>
            </w:hyperlink>
          </w:p>
        </w:tc>
        <w:tc>
          <w:tcPr>
            <w:tcW w:w="146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16">
              <w:r>
                <w:rPr>
                  <w:rFonts w:ascii="Arial" w:cs="Arial" w:eastAsia="Arial" w:hAnsi="Arial"/>
                  <w:sz w:val="18"/>
                  <w:szCs w:val="18"/>
                  <w:color w:val="auto"/>
                  <w:w w:val="79"/>
                </w:rPr>
                <w:t>17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0" w:type="dxa"/>
            <w:vAlign w:val="bottom"/>
            <w:tcBorders>
              <w:bottom w:val="single" w:sz="8" w:color="auto"/>
            </w:tcBorders>
            <w:gridSpan w:val="9"/>
          </w:tcPr>
          <w:p>
            <w:pPr>
              <w:spacing w:after="0"/>
              <w:rPr>
                <w:rFonts w:ascii="Arial" w:cs="Arial" w:eastAsia="Arial" w:hAnsi="Arial"/>
                <w:sz w:val="18"/>
                <w:szCs w:val="18"/>
                <w:color w:val="auto"/>
                <w:w w:val="97"/>
              </w:rPr>
            </w:pPr>
            <w:hyperlink w:anchor="page34">
              <w:r>
                <w:rPr>
                  <w:rFonts w:ascii="Arial" w:cs="Arial" w:eastAsia="Arial" w:hAnsi="Arial"/>
                  <w:sz w:val="18"/>
                  <w:szCs w:val="18"/>
                  <w:color w:val="auto"/>
                  <w:w w:val="97"/>
                </w:rPr>
                <w:t>ITEM 3. QUANTITATIVE AND QUALITATIVE DISCLOSURES ABOUT MARKET RISK</w:t>
              </w:r>
            </w:hyperlink>
          </w:p>
        </w:tc>
        <w:tc>
          <w:tcPr>
            <w:tcW w:w="4240" w:type="dxa"/>
            <w:vAlign w:val="bottom"/>
            <w:gridSpan w:val="2"/>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4">
              <w:r>
                <w:rPr>
                  <w:rFonts w:ascii="Arial" w:cs="Arial" w:eastAsia="Arial" w:hAnsi="Arial"/>
                  <w:sz w:val="18"/>
                  <w:szCs w:val="18"/>
                  <w:color w:val="auto"/>
                  <w:w w:val="79"/>
                </w:rPr>
                <w:t>33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60" w:type="dxa"/>
            <w:vAlign w:val="bottom"/>
            <w:tcBorders>
              <w:bottom w:val="single" w:sz="8" w:color="auto"/>
            </w:tcBorders>
            <w:gridSpan w:val="7"/>
          </w:tcPr>
          <w:p>
            <w:pPr>
              <w:spacing w:after="0"/>
              <w:rPr>
                <w:rFonts w:ascii="Arial" w:cs="Arial" w:eastAsia="Arial" w:hAnsi="Arial"/>
                <w:sz w:val="18"/>
                <w:szCs w:val="18"/>
                <w:color w:val="auto"/>
                <w:w w:val="94"/>
              </w:rPr>
            </w:pPr>
            <w:hyperlink w:anchor="page34">
              <w:r>
                <w:rPr>
                  <w:rFonts w:ascii="Arial" w:cs="Arial" w:eastAsia="Arial" w:hAnsi="Arial"/>
                  <w:sz w:val="18"/>
                  <w:szCs w:val="18"/>
                  <w:color w:val="auto"/>
                  <w:w w:val="94"/>
                </w:rPr>
                <w:t>ITEM 4. CONTROLS AND PROCEDURES</w:t>
              </w:r>
            </w:hyperlink>
          </w:p>
        </w:tc>
        <w:tc>
          <w:tcPr>
            <w:tcW w:w="7780" w:type="dxa"/>
            <w:vAlign w:val="bottom"/>
            <w:gridSpan w:val="4"/>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4">
              <w:r>
                <w:rPr>
                  <w:rFonts w:ascii="Arial" w:cs="Arial" w:eastAsia="Arial" w:hAnsi="Arial"/>
                  <w:sz w:val="18"/>
                  <w:szCs w:val="18"/>
                  <w:color w:val="auto"/>
                  <w:w w:val="79"/>
                </w:rPr>
                <w:t>34</w:t>
              </w:r>
            </w:hyperlink>
          </w:p>
        </w:tc>
        <w:tc>
          <w:tcPr>
            <w:tcW w:w="0" w:type="dxa"/>
            <w:vAlign w:val="bottom"/>
          </w:tcPr>
          <w:p>
            <w:pPr>
              <w:spacing w:after="0"/>
              <w:rPr>
                <w:sz w:val="1"/>
                <w:szCs w:val="1"/>
                <w:color w:val="auto"/>
              </w:rPr>
            </w:pPr>
          </w:p>
        </w:tc>
      </w:tr>
      <w:tr>
        <w:trPr>
          <w:trHeight w:val="250"/>
        </w:trPr>
        <w:tc>
          <w:tcPr>
            <w:tcW w:w="11220" w:type="dxa"/>
            <w:vAlign w:val="bottom"/>
            <w:gridSpan w:val="13"/>
          </w:tcPr>
          <w:p>
            <w:pPr>
              <w:ind w:left="4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II—OTHER INFORMATION</w:t>
              </w:r>
            </w:hyperlink>
          </w:p>
        </w:tc>
        <w:tc>
          <w:tcPr>
            <w:tcW w:w="180" w:type="dxa"/>
            <w:vAlign w:val="bottom"/>
            <w:gridSpan w:val="2"/>
          </w:tcPr>
          <w:p>
            <w:pPr>
              <w:jc w:val="right"/>
              <w:spacing w:after="0"/>
              <w:rPr>
                <w:rFonts w:ascii="Arial" w:cs="Arial" w:eastAsia="Arial" w:hAnsi="Arial"/>
                <w:sz w:val="18"/>
                <w:szCs w:val="18"/>
                <w:color w:val="auto"/>
                <w:w w:val="79"/>
              </w:rPr>
            </w:pPr>
            <w:hyperlink w:anchor="page35">
              <w:r>
                <w:rPr>
                  <w:rFonts w:ascii="Arial" w:cs="Arial" w:eastAsia="Arial" w:hAnsi="Arial"/>
                  <w:sz w:val="18"/>
                  <w:szCs w:val="18"/>
                  <w:color w:val="auto"/>
                  <w:w w:val="79"/>
                </w:rPr>
                <w:t>34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4"/>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1. LEGAL PROCEEDINGS</w:t>
              </w:r>
            </w:hyperlink>
          </w:p>
        </w:tc>
        <w:tc>
          <w:tcPr>
            <w:tcW w:w="8320" w:type="dxa"/>
            <w:vAlign w:val="bottom"/>
            <w:gridSpan w:val="7"/>
          </w:tcPr>
          <w:p>
            <w:pPr>
              <w:spacing w:after="0"/>
              <w:rPr>
                <w:sz w:val="21"/>
                <w:szCs w:val="21"/>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35">
              <w:r>
                <w:rPr>
                  <w:rFonts w:ascii="Arial" w:cs="Arial" w:eastAsia="Arial" w:hAnsi="Arial"/>
                  <w:sz w:val="18"/>
                  <w:szCs w:val="18"/>
                  <w:color w:val="auto"/>
                  <w:w w:val="79"/>
                </w:rPr>
                <w:t>34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40" w:type="dxa"/>
            <w:vAlign w:val="bottom"/>
            <w:tcBorders>
              <w:top w:val="single" w:sz="8" w:color="auto"/>
              <w:bottom w:val="single" w:sz="8" w:color="auto"/>
            </w:tcBorders>
            <w:gridSpan w:val="2"/>
          </w:tcPr>
          <w:p>
            <w:pPr>
              <w:spacing w:after="0"/>
              <w:rPr>
                <w:rFonts w:ascii="Arial" w:cs="Arial" w:eastAsia="Arial" w:hAnsi="Arial"/>
                <w:sz w:val="18"/>
                <w:szCs w:val="18"/>
                <w:color w:val="auto"/>
                <w:w w:val="94"/>
              </w:rPr>
            </w:pPr>
            <w:hyperlink w:anchor="page35">
              <w:r>
                <w:rPr>
                  <w:rFonts w:ascii="Arial" w:cs="Arial" w:eastAsia="Arial" w:hAnsi="Arial"/>
                  <w:sz w:val="18"/>
                  <w:szCs w:val="18"/>
                  <w:color w:val="auto"/>
                  <w:w w:val="94"/>
                </w:rPr>
                <w:t>ITEM 1A. RISK FACTORS</w:t>
              </w:r>
            </w:hyperlink>
          </w:p>
        </w:tc>
        <w:tc>
          <w:tcPr>
            <w:tcW w:w="480" w:type="dxa"/>
            <w:vAlign w:val="bottom"/>
            <w:tcBorders>
              <w:top w:val="single" w:sz="8" w:color="auto"/>
            </w:tcBorders>
          </w:tcPr>
          <w:p>
            <w:pPr>
              <w:spacing w:after="0"/>
              <w:rPr>
                <w:sz w:val="21"/>
                <w:szCs w:val="21"/>
                <w:color w:val="auto"/>
              </w:rPr>
            </w:pPr>
          </w:p>
        </w:tc>
        <w:tc>
          <w:tcPr>
            <w:tcW w:w="8520" w:type="dxa"/>
            <w:vAlign w:val="bottom"/>
            <w:gridSpan w:val="8"/>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rFonts w:ascii="Arial" w:cs="Arial" w:eastAsia="Arial" w:hAnsi="Arial"/>
                <w:sz w:val="18"/>
                <w:szCs w:val="18"/>
                <w:color w:val="auto"/>
                <w:w w:val="79"/>
              </w:rPr>
            </w:pPr>
            <w:hyperlink w:anchor="page35">
              <w:r>
                <w:rPr>
                  <w:rFonts w:ascii="Arial" w:cs="Arial" w:eastAsia="Arial" w:hAnsi="Arial"/>
                  <w:sz w:val="18"/>
                  <w:szCs w:val="18"/>
                  <w:color w:val="auto"/>
                  <w:w w:val="79"/>
                </w:rPr>
                <w:t>35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40" w:type="dxa"/>
            <w:vAlign w:val="bottom"/>
            <w:gridSpan w:val="11"/>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80" w:type="dxa"/>
            <w:vAlign w:val="bottom"/>
            <w:gridSpan w:val="2"/>
            <w:vMerge w:val="restart"/>
          </w:tcPr>
          <w:p>
            <w:pPr>
              <w:jc w:val="right"/>
              <w:spacing w:after="0"/>
              <w:rPr>
                <w:rFonts w:ascii="Arial" w:cs="Arial" w:eastAsia="Arial" w:hAnsi="Arial"/>
                <w:sz w:val="18"/>
                <w:szCs w:val="18"/>
                <w:color w:val="auto"/>
                <w:w w:val="79"/>
              </w:rPr>
            </w:pPr>
            <w:hyperlink w:anchor="page36">
              <w:r>
                <w:rPr>
                  <w:rFonts w:ascii="Arial" w:cs="Arial" w:eastAsia="Arial" w:hAnsi="Arial"/>
                  <w:sz w:val="18"/>
                  <w:szCs w:val="18"/>
                  <w:color w:val="auto"/>
                  <w:w w:val="79"/>
                </w:rPr>
                <w:t>36</w:t>
              </w:r>
            </w:hyperlink>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Borders>
              <w:bottom w:val="single" w:sz="8" w:color="auto"/>
            </w:tcBorders>
          </w:tcPr>
          <w:p>
            <w:pPr>
              <w:spacing w:after="0"/>
              <w:rPr>
                <w:rFonts w:ascii="Arial" w:cs="Arial" w:eastAsia="Arial" w:hAnsi="Arial"/>
                <w:sz w:val="18"/>
                <w:szCs w:val="18"/>
                <w:color w:val="auto"/>
                <w:w w:val="97"/>
              </w:rPr>
            </w:pPr>
            <w:hyperlink w:anchor="page37">
              <w:r>
                <w:rPr>
                  <w:rFonts w:ascii="Arial" w:cs="Arial" w:eastAsia="Arial" w:hAnsi="Arial"/>
                  <w:sz w:val="18"/>
                  <w:szCs w:val="18"/>
                  <w:color w:val="auto"/>
                  <w:w w:val="97"/>
                </w:rPr>
                <w:t>ITEM 6. EXHIBITS</w:t>
              </w:r>
            </w:hyperlink>
          </w:p>
        </w:tc>
        <w:tc>
          <w:tcPr>
            <w:tcW w:w="9560" w:type="dxa"/>
            <w:vAlign w:val="bottom"/>
            <w:gridSpan w:val="10"/>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7">
              <w:r>
                <w:rPr>
                  <w:rFonts w:ascii="Arial" w:cs="Arial" w:eastAsia="Arial" w:hAnsi="Arial"/>
                  <w:sz w:val="18"/>
                  <w:szCs w:val="18"/>
                  <w:color w:val="auto"/>
                  <w:w w:val="79"/>
                </w:rPr>
                <w:t>37</w:t>
              </w:r>
            </w:hyperlink>
          </w:p>
        </w:tc>
        <w:tc>
          <w:tcPr>
            <w:tcW w:w="0" w:type="dxa"/>
            <w:vAlign w:val="bottom"/>
          </w:tcPr>
          <w:p>
            <w:pPr>
              <w:spacing w:after="0"/>
              <w:rPr>
                <w:sz w:val="1"/>
                <w:szCs w:val="1"/>
                <w:color w:val="auto"/>
              </w:rPr>
            </w:pPr>
          </w:p>
        </w:tc>
      </w:tr>
      <w:tr>
        <w:trPr>
          <w:trHeight w:val="507"/>
        </w:trPr>
        <w:tc>
          <w:tcPr>
            <w:tcW w:w="6900" w:type="dxa"/>
            <w:vAlign w:val="bottom"/>
            <w:gridSpan w:val="10"/>
          </w:tcPr>
          <w:p>
            <w:pPr>
              <w:jc w:val="right"/>
              <w:ind w:right="1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201,435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58,409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71,608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101,168</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4"/>
              </w:rPr>
              <w:t>Trade accounts receivable, net of allowances for doubtful accounts of $19,007 at June 30, 2013 and $21,512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2012</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325,516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370,836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68,132</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736,333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813,179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and equipment, net of accumulated depreciation of $218,797 at June 30, 2013 and $207,282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494,934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481,760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Acquired intangible assets, net of accumulated amortization of $149,211 at June 30, 2013 and $140,829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8"/>
              </w:rPr>
              <w:t>Other assets, net of accumulated amortization of $23,127 at June 30, 2013 and $24,247 at December 31, 2012</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53,699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57,733</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1,492,226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1,551,536</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9"/>
        </w:trPr>
        <w:tc>
          <w:tcPr>
            <w:tcW w:w="8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459,847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203,543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183,406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7,551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34,109</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696,706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280,727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286,703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22,031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14,967</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954,510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1,024,996</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 $0.02 par value. 90,000,000 shares authorized; 53,687,057 issued at June 30, 2013 and 52,976,558</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issued at December 31, 2012</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793,859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782,506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Treasury stock, at cost, 3,680,354 shares at June 30, 2013 and 3,653,958 shares at December 31, 2012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(67,327)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reserve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534,794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522,376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4,164</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537,716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526,540</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1,492,226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1,551,536</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3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8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341,543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302,377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599,999</w:t>
            </w:r>
          </w:p>
        </w:tc>
      </w:tr>
      <w:tr>
        <w:trPr>
          <w:trHeight w:val="176"/>
        </w:trPr>
        <w:tc>
          <w:tcPr>
            <w:tcW w:w="5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214,295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192,589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433,382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386,587</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89,075</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29,027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62,460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56,667</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31,974</w:t>
            </w:r>
          </w:p>
        </w:tc>
      </w:tr>
      <w:tr>
        <w:trPr>
          <w:trHeight w:val="237"/>
        </w:trPr>
        <w:tc>
          <w:tcPr>
            <w:tcW w:w="588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313,743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282,523</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630,229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564,303</w:t>
            </w:r>
          </w:p>
        </w:tc>
      </w:tr>
      <w:tr>
        <w:trPr>
          <w:trHeight w:val="27"/>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35,696</w:t>
            </w:r>
          </w:p>
        </w:tc>
      </w:tr>
      <w:tr>
        <w:trPr>
          <w:trHeight w:val="169"/>
        </w:trPr>
        <w:tc>
          <w:tcPr>
            <w:tcW w:w="58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2,616</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4,171</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(2,656)</w:t>
            </w:r>
          </w:p>
        </w:tc>
      </w:tr>
      <w:tr>
        <w:trPr>
          <w:trHeight w:val="27"/>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r>
      <w:tr>
        <w:trPr>
          <w:trHeight w:val="169"/>
        </w:trPr>
        <w:tc>
          <w:tcPr>
            <w:tcW w:w="58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29,378</w:t>
            </w:r>
          </w:p>
        </w:tc>
      </w:tr>
      <w:tr>
        <w:trPr>
          <w:trHeight w:val="176"/>
        </w:trPr>
        <w:tc>
          <w:tcPr>
            <w:tcW w:w="5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7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(10,554)</w:t>
            </w:r>
          </w:p>
        </w:tc>
      </w:tr>
      <w:tr>
        <w:trPr>
          <w:trHeight w:val="169"/>
        </w:trPr>
        <w:tc>
          <w:tcPr>
            <w:tcW w:w="58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18,824</w:t>
            </w:r>
          </w:p>
        </w:tc>
      </w:tr>
      <w:tr>
        <w:trPr>
          <w:trHeight w:val="229"/>
        </w:trPr>
        <w:tc>
          <w:tcPr>
            <w:tcW w:w="5880" w:type="dxa"/>
            <w:vAlign w:val="bottom"/>
          </w:tcPr>
          <w:p>
            <w:pPr>
              <w:ind w:left="380"/>
              <w:spacing w:after="0"/>
              <w:rPr>
                <w:sz w:val="20"/>
                <w:szCs w:val="20"/>
                <w:color w:val="auto"/>
              </w:rPr>
            </w:pPr>
            <w:r>
              <w:rPr>
                <w:rFonts w:ascii="Arial" w:cs="Arial" w:eastAsia="Arial" w:hAnsi="Arial"/>
                <w:sz w:val="18"/>
                <w:szCs w:val="18"/>
                <w:color w:val="auto"/>
              </w:rPr>
              <w:t>Less: Net (income) loss attributable to noncontrolling</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80" w:type="dxa"/>
            <w:vAlign w:val="bottom"/>
          </w:tcPr>
          <w:p>
            <w:pPr>
              <w:ind w:left="48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w:t>
            </w:r>
          </w:p>
        </w:tc>
      </w:tr>
      <w:tr>
        <w:trPr>
          <w:trHeight w:val="27"/>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5,747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30,117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18,919</w:t>
            </w: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7"/>
        </w:trPr>
        <w:tc>
          <w:tcPr>
            <w:tcW w:w="5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Euronet Worldwide, Inc.</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304"/>
        </w:trPr>
        <w:tc>
          <w:tcPr>
            <w:tcW w:w="5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0.37</w:t>
            </w:r>
          </w:p>
        </w:tc>
      </w:tr>
      <w:tr>
        <w:trPr>
          <w:trHeight w:val="251"/>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3"/>
        </w:trPr>
        <w:tc>
          <w:tcPr>
            <w:tcW w:w="5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5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49,889,640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50,765,005</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49,697,176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50,643,949</w:t>
            </w:r>
          </w:p>
        </w:tc>
      </w:tr>
      <w:tr>
        <w:trPr>
          <w:trHeight w:val="251"/>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51,517,640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51,671,501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51,122,810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51,483,148</w:t>
            </w: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18,824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r>
      <w:tr>
        <w:trPr>
          <w:trHeight w:val="237"/>
        </w:trPr>
        <w:tc>
          <w:tcPr>
            <w:tcW w:w="5900" w:type="dxa"/>
            <w:vAlign w:val="bottom"/>
          </w:tcPr>
          <w:p>
            <w:pPr>
              <w:ind w:left="38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(21,541)</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10,166</w:t>
            </w:r>
          </w:p>
        </w:tc>
      </w:tr>
      <w:tr>
        <w:trPr>
          <w:trHeight w:val="27"/>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7"/>
              </w:rPr>
              <w:t>Comprehensive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w:t>
            </w:r>
          </w:p>
        </w:tc>
      </w:tr>
      <w:tr>
        <w:trPr>
          <w:trHeight w:val="257"/>
        </w:trPr>
        <w:tc>
          <w:tcPr>
            <w:tcW w:w="5900" w:type="dxa"/>
            <w:vAlign w:val="bottom"/>
          </w:tcPr>
          <w:p>
            <w:pPr>
              <w:ind w:left="380"/>
              <w:spacing w:after="0"/>
              <w:rPr>
                <w:sz w:val="20"/>
                <w:szCs w:val="20"/>
                <w:color w:val="auto"/>
              </w:rPr>
            </w:pPr>
            <w:r>
              <w:rPr>
                <w:rFonts w:ascii="Arial" w:cs="Arial" w:eastAsia="Arial" w:hAnsi="Arial"/>
                <w:sz w:val="18"/>
                <w:szCs w:val="18"/>
                <w:color w:val="auto"/>
              </w:rPr>
              <w:t>Comprehensive income (loss) attributable to Euronet Worldwide,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7,130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(21,210)</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10,379</w:t>
            </w: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6,625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4,656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step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60,915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(66,475)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(29,606)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(40,241)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2,477</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60,997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1,900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1,009,853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179,658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(1,011,830)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(197,399)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(Decrease)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201,435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177,327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189,865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184,654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9"/>
        </w:trPr>
        <w:tc>
          <w:tcPr>
            <w:tcW w:w="8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5,968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14,311</w:t>
            </w:r>
          </w:p>
        </w:tc>
      </w:tr>
      <w:tr>
        <w:trPr>
          <w:trHeight w:val="162"/>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Equity issued in connection with acquisition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in connection with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tcPr>
          <w:p>
            <w:pPr>
              <w:ind w:left="298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13"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813"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Euronet Worldwide, Inc. and its subsidiaries (the “Company” or “Euronet”) is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card outsourcing, card issuing and merchant acquiring services; electronic distribution of prepaid mobile airtime and other electronic payment products and global consumer money transfer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June 30, 2013, and the results of its operations and cash flows for the three- and six-month periods ended June 30, 2013 and 2012. The unaudited consolidated financial statements should be read in conjunction with the audited consolidated financial statements of Euronet for the year ended December 31, 2012, including the notes thereto, set forth in the Company’s 2012 Annual Report on Form 10-K.</w:t>
      </w:r>
    </w:p>
    <w:p>
      <w:pPr>
        <w:spacing w:after="0" w:line="8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interim periods presented are not necessarily indicative of the results to be expected for the full year ending December 31, 2013.</w:t>
      </w:r>
    </w:p>
    <w:p>
      <w:pPr>
        <w:spacing w:after="0" w:line="143" w:lineRule="exact"/>
        <w:rPr>
          <w:sz w:val="20"/>
          <w:szCs w:val="20"/>
          <w:color w:val="auto"/>
        </w:rPr>
      </w:pPr>
    </w:p>
    <w:p>
      <w:pPr>
        <w:ind w:right="4780"/>
        <w:spacing w:after="0" w:line="362"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Recently Issued and Adopted Accounting Pronouncements</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February 2013, the Financial Accounting Standards Board ("FASB") issued amended guidance that requires an entity to present information about significant items reclassified out of accumulated other comprehensive income, referred to as AOCI, on the face of the statement where net income is presented or as a separate disclosure in the notes to the financial statements. Additionally, the guidance expands the disclosure requirements for presentation of changes in AOCI by component. The guidance is effective for the Company for interim and annual reporting periods beginning January 1, 2013, and its adoption did not have an impact on the Company's results of operations, cash flows or financial position.</w:t>
      </w: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125"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restricted stock and options to purchase the Company’s common stock.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92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919"/>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9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49,889,640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w w:val="93"/>
              </w:rPr>
              <w:t>50,765,005</w:t>
            </w:r>
          </w:p>
        </w:tc>
        <w:tc>
          <w:tcPr>
            <w:tcW w:w="2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49,697,176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w w:val="93"/>
              </w:rPr>
              <w:t>50,643,949</w:t>
            </w:r>
          </w:p>
        </w:tc>
      </w:tr>
      <w:tr>
        <w:trPr>
          <w:trHeight w:val="27"/>
        </w:trPr>
        <w:tc>
          <w:tcPr>
            <w:tcW w:w="5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Incremental shares from assumed conversion of stock options and restricted</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5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1,628,000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906,496</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1,425,634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839,199</w:t>
            </w:r>
          </w:p>
        </w:tc>
      </w:tr>
      <w:tr>
        <w:trPr>
          <w:trHeight w:val="257"/>
        </w:trPr>
        <w:tc>
          <w:tcPr>
            <w:tcW w:w="592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51,517,640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3"/>
              </w:rPr>
              <w:t>51,671,501</w:t>
            </w:r>
          </w:p>
        </w:tc>
        <w:tc>
          <w:tcPr>
            <w:tcW w:w="2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51,122,810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3"/>
              </w:rPr>
              <w:t>51,483,148</w:t>
            </w:r>
          </w:p>
        </w:tc>
      </w:tr>
      <w:tr>
        <w:trPr>
          <w:trHeight w:val="20"/>
        </w:trPr>
        <w:tc>
          <w:tcPr>
            <w:tcW w:w="5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table includes the impact of all stock options and restricted stock that are dilutive to Euronet’s weighted average common shares outstanding during the three- and six-month periods ended June 30, 2013 and 2012. The calculation of diluted earnings per share excludes stock options or shares of restricted stock that are anti-dilutive to the Company’s weighted average common shares outstanding of approximately 1,034,000 and 1,078,000 for the three- and six-month periods ended June 30, 2013, respectively, and approximately 3,496,000 and 3,662,000 for the three- and six-month periods ended June 30, 2012, respectively.</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has convertible debentures that, if converted, would have a potentially dilutive effect on the Company’s stock. As required by Accounting Standards Codification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As of June 30, 2013, the Company’s debentures outstanding are convertible into 88,587 shares of common stock only upon the occurrence of certain conditions. Under the if-converted method, the assumed conversion of the debentures was anti-dilutive for the three- and six-month periods ended June 30, 2013 and 2012 and, accordingly, associated shares have been excluded from diluted weighted average shares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Rights Agreement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26, 2013, the Company entered into a new Rights Agreement (the "Rights Agreement") with Computershare Trust Company, N.A., as Rights Agent. The Rights Agreement became effective at the close of business on April 3, 2013, immediately following the expiration of the prior rights agreement. In connection with its approval of the Rights Agreement, the Board of Directors also declared a dividend of one "Right" for each outstanding share of Euronet's common stock, payable on April 3, 2013 to stockholders of record at the close of business on April 3, 2013. As long as the Rights are attached to the common shares, the Company will issue one Right (subject to adjustment) with each new common share that is issued so that all such shares will have attached Rights. When exercisable, each Right will initially entitle the registered holder to purchase from the Company one one-hundredth of a share of Series A Junior Participating Preferred Stock at a price of $125 per one one-hundredth of a share, subject to adjustment. Upon occurrence of a trigger event under the Rights Agreement, each holder of a Right (excluding certain holders) thereafter would have the right to receive upon exercise a number of common shares having a market value of two times the then current price of the Right.</w:t>
      </w:r>
    </w:p>
    <w:p>
      <w:pPr>
        <w:spacing w:after="0" w:line="7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Rights are not exercisable until the earlier of (i) ten business days following a public announcement that (or a majority of the Board of Directors of the Company becoming aware that) a person or group of affiliated or associated persons or any person acting in concert therewith, has acquired, or obtained the right to acquire beneficial ownership of 20% or more of the Company's common shares (as defined in the Rights Agreement); or (ii) ten business days following the commencement or announcement of an intention to make a tender offer or exchange offer, the consummation of which would result in any person becoming an acquiring person (as defined in the Rights Agreement), unless the Board of Directors sets a later date in either event.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Rights Agreement is intended to encourage a potential acquiring person to negotiate directly with the Board of Directors, but may have certain anti-takeover effects. The Rights Agreement could significantly dilute the interests in the Company of an acquiring person. The Rights may therefore have the effect of delaying, deterring or preventing a change in control of the Company. The Rights have a de minimus fair value and expire on April 3,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June 30, 2013, accumulated other comprehensive loss consists entirely of foreign currency translation adjustments. The Company's reporting currency is the U.S. dollar. 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The resulting currency translation adjustments are recorded as a component of accumulated other comprehensive income (loss) as a separate component of consolidated stockholders' equity. The Company recorded a foreign currency translation loss of $10.9 million and $28.1 million for the three- and six-month periods ended June 30, 2013, respectively, and $27.3 million and $8.7 million for the three- and six-month periods ended June 30, 2012. For the three- and six-month periods ended June 30, 2013 and 2012, the Company recorded no reclassifications of foreign currency translation into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January 4, 2013, the Company acquired all of the common stock of an Australian company, Pure Commerce Pty Limited. (“Pure Commerce”), which offers industry leading currency conversion and multi-currency acquiring products to global, local and online merchant acquirers, banks and retailers. The purchase price consisted of cash of approximately $31.3 million, subject to customary purchase price adjustments, and $5.3 million of the Company's common stock. With respect to the stock portion of the purchase price and pursuant to the acquisition agreement, the Company issued at closing 224,425 shares of common stock to the shareholders of Pure Commerce. The common stock will be held in escrow through September 2014 to secure certain obligations of the sellers. Further, Euronet has agreed pursuant to an earnout provision to pay additional purchase consideration of up to 30 million Australian dollars, with half due in cash and the remaining half payable in Euronet common stock in March 2014, if certain earnout performance targets are met during an earnout period ending December 31, 2013. As of the acquisition date, the fair value of the earnout provision was $21.7 million. For the first half of 2013, the Company recorded a $2.8 million foreign currency exchange gain related to this contingent liability as a result of fluctuations in the value of the Australian dollar against the U.S. dollar. As of June 30, 2013, the fair value of the earnout provision was $18.9 million. The valuation of Pure Commerce's net assets acquired remains preliminary while management completes its valuation, particularly the valuation of acquired intangible assets. The net assets of Pure Commerce and its results from operations are included in the EFT Processing Segment's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the acquired net assets at the acquisition date: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6600" w:type="dxa"/>
            <w:vAlign w:val="bottom"/>
            <w:tcBorders>
              <w:bottom w:val="single" w:sz="8" w:color="auto"/>
            </w:tcBorders>
            <w:gridSpan w:val="2"/>
          </w:tcPr>
          <w:p>
            <w:pPr>
              <w:jc w:val="center"/>
              <w:ind w:left="4052"/>
              <w:spacing w:after="0"/>
              <w:rPr>
                <w:sz w:val="20"/>
                <w:szCs w:val="20"/>
                <w:color w:val="auto"/>
              </w:rPr>
            </w:pPr>
            <w:r>
              <w:rPr>
                <w:rFonts w:ascii="Arial" w:cs="Arial" w:eastAsia="Arial" w:hAnsi="Arial"/>
                <w:sz w:val="14"/>
                <w:szCs w:val="14"/>
                <w:b w:val="1"/>
                <w:bCs w:val="1"/>
                <w:color w:val="auto"/>
                <w:w w:val="94"/>
              </w:rPr>
              <w:t>Estimated Life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6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6600" w:type="dxa"/>
            <w:vAlign w:val="bottom"/>
            <w:gridSpan w:val="2"/>
          </w:tcPr>
          <w:p>
            <w:pPr>
              <w:jc w:val="center"/>
              <w:ind w:left="4052"/>
              <w:spacing w:after="0"/>
              <w:rPr>
                <w:sz w:val="20"/>
                <w:szCs w:val="20"/>
                <w:color w:val="auto"/>
              </w:rPr>
            </w:pPr>
            <w:r>
              <w:rPr>
                <w:rFonts w:ascii="Arial" w:cs="Arial" w:eastAsia="Arial" w:hAnsi="Arial"/>
                <w:sz w:val="18"/>
                <w:szCs w:val="18"/>
                <w:color w:val="auto"/>
                <w:w w:val="87"/>
              </w:rPr>
              <w:t>2-8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6600" w:type="dxa"/>
            <w:vAlign w:val="bottom"/>
            <w:tcBorders>
              <w:bottom w:val="single" w:sz="8" w:color="CCEEFF"/>
            </w:tcBorders>
            <w:gridSpan w:val="2"/>
            <w:shd w:val="clear" w:color="auto" w:fill="CCEEFF"/>
          </w:tcPr>
          <w:p>
            <w:pPr>
              <w:jc w:val="center"/>
              <w:ind w:left="4072"/>
              <w:spacing w:after="0"/>
              <w:rPr>
                <w:sz w:val="20"/>
                <w:szCs w:val="20"/>
                <w:color w:val="auto"/>
              </w:rPr>
            </w:pPr>
            <w:r>
              <w:rPr>
                <w:rFonts w:ascii="Arial" w:cs="Arial" w:eastAsia="Arial" w:hAnsi="Arial"/>
                <w:sz w:val="18"/>
                <w:szCs w:val="18"/>
                <w:color w:val="auto"/>
                <w:w w:val="88"/>
              </w:rPr>
              <w:t>4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6600" w:type="dxa"/>
            <w:vAlign w:val="bottom"/>
            <w:gridSpan w:val="2"/>
          </w:tcPr>
          <w:p>
            <w:pPr>
              <w:jc w:val="center"/>
              <w:ind w:left="4072"/>
              <w:spacing w:after="0"/>
              <w:rPr>
                <w:sz w:val="20"/>
                <w:szCs w:val="20"/>
                <w:color w:val="auto"/>
              </w:rPr>
            </w:pPr>
            <w:r>
              <w:rPr>
                <w:rFonts w:ascii="Arial" w:cs="Arial" w:eastAsia="Arial" w:hAnsi="Arial"/>
                <w:sz w:val="18"/>
                <w:szCs w:val="18"/>
                <w:color w:val="auto"/>
                <w:w w:val="86"/>
              </w:rPr>
              <w:t>10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6600" w:type="dxa"/>
            <w:vAlign w:val="bottom"/>
            <w:tcBorders>
              <w:bottom w:val="single" w:sz="8" w:color="CCEEFF"/>
            </w:tcBorders>
            <w:gridSpan w:val="2"/>
            <w:shd w:val="clear" w:color="auto" w:fill="CCEEFF"/>
          </w:tcPr>
          <w:p>
            <w:pPr>
              <w:jc w:val="center"/>
              <w:ind w:left="4072"/>
              <w:spacing w:after="0"/>
              <w:rPr>
                <w:sz w:val="20"/>
                <w:szCs w:val="20"/>
                <w:color w:val="auto"/>
              </w:rPr>
            </w:pPr>
            <w:r>
              <w:rPr>
                <w:rFonts w:ascii="Arial" w:cs="Arial" w:eastAsia="Arial" w:hAnsi="Arial"/>
                <w:sz w:val="18"/>
                <w:szCs w:val="18"/>
                <w:color w:val="auto"/>
                <w:w w:val="88"/>
              </w:rPr>
              <w:t>5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6600" w:type="dxa"/>
            <w:vAlign w:val="bottom"/>
            <w:gridSpan w:val="2"/>
          </w:tcPr>
          <w:p>
            <w:pPr>
              <w:jc w:val="center"/>
              <w:ind w:left="4072"/>
              <w:spacing w:after="0"/>
              <w:rPr>
                <w:sz w:val="20"/>
                <w:szCs w:val="20"/>
                <w:color w:val="auto"/>
              </w:rPr>
            </w:pPr>
            <w:r>
              <w:rPr>
                <w:rFonts w:ascii="Arial" w:cs="Arial" w:eastAsia="Arial" w:hAnsi="Arial"/>
                <w:sz w:val="18"/>
                <w:szCs w:val="18"/>
                <w:color w:val="auto"/>
                <w:w w:val="88"/>
              </w:rPr>
              <w:t>8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600" w:type="dxa"/>
            <w:vAlign w:val="bottom"/>
            <w:tcBorders>
              <w:bottom w:val="single" w:sz="8" w:color="CCEEFF"/>
            </w:tcBorders>
            <w:gridSpan w:val="2"/>
            <w:shd w:val="clear" w:color="auto" w:fill="CCEEFF"/>
          </w:tcPr>
          <w:p>
            <w:pPr>
              <w:jc w:val="center"/>
              <w:ind w:left="4052"/>
              <w:spacing w:after="0"/>
              <w:rPr>
                <w:sz w:val="20"/>
                <w:szCs w:val="20"/>
                <w:color w:val="auto"/>
              </w:rPr>
            </w:pPr>
            <w:r>
              <w:rPr>
                <w:rFonts w:ascii="Arial" w:cs="Arial" w:eastAsia="Arial" w:hAnsi="Arial"/>
                <w:sz w:val="18"/>
                <w:szCs w:val="18"/>
                <w:color w:val="auto"/>
                <w:w w:val="95"/>
              </w:rPr>
              <w:t>Indefinite</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24,503</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6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assets acquired</w:t>
            </w:r>
          </w:p>
        </w:tc>
        <w:tc>
          <w:tcPr>
            <w:tcW w:w="6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65,047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6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57"/>
        </w:trPr>
        <w:tc>
          <w:tcPr>
            <w:tcW w:w="39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6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58,260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220" w:type="dxa"/>
            <w:vAlign w:val="bottom"/>
            <w:vMerge w:val="restart"/>
          </w:tcPr>
          <w:p>
            <w:pPr>
              <w:jc w:val="right"/>
              <w:ind w:right="4312"/>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six-month period ended June 30, 2013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565,149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58,591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99,926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494,934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594,860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June 30, 2013, is expected to total $10.5 million for the remainder of 2013, $19.2 million for 2014, $14.0 million for 2015, $12.4 million for 2016, $10.7 million for 2017 and $7.3 million for 2018.</w:t>
      </w:r>
    </w:p>
    <w:p>
      <w:pPr>
        <w:spacing w:after="0" w:line="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2012 resulted in the Company recording a non-cash goodwill impairment charge of $23.5 million and an additional $5.2 million impairment charge relating to acquired intangible assets.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2012 analysis could change, which may result in the Company recording additional material non-cash impairment charges during the year in which these changes take place.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six-month period ended June 30, 2013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Revolving</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0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Credit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40" w:type="dxa"/>
            <w:vAlign w:val="bottom"/>
          </w:tcPr>
          <w:p>
            <w:pPr>
              <w:spacing w:after="0"/>
              <w:rPr>
                <w:sz w:val="12"/>
                <w:szCs w:val="12"/>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Term Loan</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Due 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301,240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repayments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Capital lease interest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Balance at June 30, 2013</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213,141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71,500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295,600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Long-term obligations at June 30,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213,141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284,761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convertible debentures had a principal amount outstanding of $3.6 million as of June 30, 2013 and December 31, 2012. Interest expense, including contractual interest and discount accretion, which was fully amortized through October 15, 2012, was $31 thousand and $63 thousand for the three- and six-month periods ended June 30, 2013, respectively, and $3.5 million and $6.9 million for the three- and six-month periods ended June 30, 2012, respectively. The effective interest rate was 3.5% for the three- and six-month periods ended June 30, 2013 and 8.4% for the three- and six-month periods ended June 30, 2012.</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As of June 30, 2013, the Company had foreign currency forward contracts outstanding with a notional value of $123.9 million, primarily in Australian dollars, euros and Mexican pesos, which were not designated as hedges and had a weighted average remaining maturity of three days. Although the Company enters into foreign currency contracts to offset foreign currency exposure related to the notional value of money transfer transactions collected in currencies other than the U.S. dollar and, on occasion, short-term loans payable in currencies other than the U.S. dollar, they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is mainly due to the relatively short duration of the contracts, typically one to 14 days, and the frequency with which the Company enters into them. Due to the short duration of the contracts and the Company’s credit profile, the Company is generally not required to post collateral with respect to its foreign currency forward contracts. The Company's derivative contracts are executed with counterparties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Gross Amount of Offset in the</w:t>
            </w:r>
          </w:p>
        </w:tc>
        <w:tc>
          <w:tcPr>
            <w:tcW w:w="2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Net Amount of Assets Presented in</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3"/>
              </w:rPr>
              <w:t>Gross Amount of Recognized Assets</w:t>
            </w:r>
          </w:p>
        </w:tc>
        <w:tc>
          <w:tcPr>
            <w:tcW w:w="100" w:type="dxa"/>
            <w:vAlign w:val="bottom"/>
            <w:vMerge w:val="restart"/>
          </w:tcPr>
          <w:p>
            <w:pPr>
              <w:spacing w:after="0"/>
              <w:rPr>
                <w:sz w:val="12"/>
                <w:szCs w:val="12"/>
                <w:color w:val="auto"/>
              </w:rPr>
            </w:pPr>
          </w:p>
        </w:tc>
        <w:tc>
          <w:tcPr>
            <w:tcW w:w="2480" w:type="dxa"/>
            <w:vAlign w:val="bottom"/>
            <w:gridSpan w:val="3"/>
            <w:vMerge w:val="continue"/>
          </w:tcPr>
          <w:p>
            <w:pPr>
              <w:spacing w:after="0"/>
              <w:rPr>
                <w:sz w:val="12"/>
                <w:szCs w:val="12"/>
                <w:color w:val="auto"/>
              </w:rPr>
            </w:pPr>
          </w:p>
        </w:tc>
        <w:tc>
          <w:tcPr>
            <w:tcW w:w="2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the Consolidated Balance Sheets</w:t>
            </w: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3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Consolidated Balance Sheets</w:t>
            </w: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24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1"/>
              </w:rPr>
              <w:t>Consolidated Balance</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June 30,</w:t>
            </w:r>
          </w:p>
        </w:tc>
        <w:tc>
          <w:tcPr>
            <w:tcW w:w="14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June 30,</w:t>
            </w:r>
          </w:p>
        </w:tc>
        <w:tc>
          <w:tcPr>
            <w:tcW w:w="13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June 30,</w:t>
            </w:r>
          </w:p>
        </w:tc>
        <w:tc>
          <w:tcPr>
            <w:tcW w:w="1280" w:type="dxa"/>
            <w:vAlign w:val="bottom"/>
          </w:tcPr>
          <w:p>
            <w:pPr>
              <w:jc w:val="center"/>
              <w:ind w:left="8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20"/>
                <w:szCs w:val="20"/>
                <w:color w:val="auto"/>
              </w:rPr>
            </w:pPr>
            <w:r>
              <w:rPr>
                <w:rFonts w:ascii="Arial" w:cs="Arial" w:eastAsia="Arial" w:hAnsi="Arial"/>
                <w:sz w:val="14"/>
                <w:szCs w:val="14"/>
                <w:color w:val="auto"/>
              </w:rPr>
              <w:t>(in thousands)</w:t>
            </w:r>
          </w:p>
        </w:tc>
        <w:tc>
          <w:tcPr>
            <w:tcW w:w="244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Sheet Location</w:t>
            </w: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13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12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1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12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12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Other Current Assets</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3"/>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326</w:t>
            </w: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top w:val="single" w:sz="8" w:color="auto"/>
            </w:tcBorders>
            <w:vMerge w:val="restart"/>
            <w:shd w:val="clear" w:color="auto" w:fill="CCEEFF"/>
          </w:tcPr>
          <w:p>
            <w:pPr>
              <w:spacing w:after="0"/>
              <w:rPr>
                <w:sz w:val="20"/>
                <w:szCs w:val="20"/>
                <w:color w:val="auto"/>
              </w:rPr>
            </w:pPr>
          </w:p>
        </w:tc>
        <w:tc>
          <w:tcPr>
            <w:tcW w:w="100" w:type="dxa"/>
            <w:vAlign w:val="bottom"/>
            <w:tcBorders>
              <w:top w:val="single" w:sz="8" w:color="CCEEFF"/>
            </w:tcBorders>
            <w:vMerge w:val="restart"/>
            <w:shd w:val="clear" w:color="auto" w:fill="CCEEFF"/>
          </w:tcPr>
          <w:p>
            <w:pPr>
              <w:spacing w:after="0"/>
              <w:rPr>
                <w:sz w:val="20"/>
                <w:szCs w:val="20"/>
                <w:color w:val="auto"/>
              </w:rPr>
            </w:pPr>
          </w:p>
        </w:tc>
        <w:tc>
          <w:tcPr>
            <w:tcW w:w="4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vMerge w:val="restart"/>
            <w:shd w:val="clear" w:color="auto" w:fill="CCEEFF"/>
          </w:tcPr>
          <w:p>
            <w:pPr>
              <w:jc w:val="right"/>
              <w:ind w:right="4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derivative contracts</w:t>
            </w: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gridSpan w:val="3"/>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3"/>
            <w:vMerge w:val="continue"/>
            <w:shd w:val="clear" w:color="auto" w:fill="CCEEFF"/>
          </w:tcPr>
          <w:p>
            <w:pPr>
              <w:spacing w:after="0"/>
              <w:rPr>
                <w:sz w:val="20"/>
                <w:szCs w:val="20"/>
                <w:color w:val="auto"/>
              </w:rPr>
            </w:pPr>
          </w:p>
        </w:tc>
        <w:tc>
          <w:tcPr>
            <w:tcW w:w="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gridSpan w:val="4"/>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8"/>
          </w:tcPr>
          <w:p>
            <w:pPr>
              <w:ind w:left="100"/>
              <w:spacing w:after="0"/>
              <w:rPr>
                <w:sz w:val="20"/>
                <w:szCs w:val="20"/>
                <w:color w:val="auto"/>
              </w:rPr>
            </w:pPr>
            <w:r>
              <w:rPr>
                <w:rFonts w:ascii="Arial" w:cs="Arial" w:eastAsia="Arial" w:hAnsi="Arial"/>
                <w:sz w:val="14"/>
                <w:szCs w:val="14"/>
                <w:b w:val="1"/>
                <w:bCs w:val="1"/>
                <w:color w:val="auto"/>
              </w:rPr>
              <w:t>Gross Amount of Recognized</w:t>
            </w:r>
          </w:p>
        </w:tc>
        <w:tc>
          <w:tcPr>
            <w:tcW w:w="200" w:type="dxa"/>
            <w:vAlign w:val="bottom"/>
          </w:tcPr>
          <w:p>
            <w:pPr>
              <w:spacing w:after="0"/>
              <w:rPr>
                <w:sz w:val="24"/>
                <w:szCs w:val="24"/>
                <w:color w:val="auto"/>
              </w:rPr>
            </w:pPr>
          </w:p>
        </w:tc>
        <w:tc>
          <w:tcPr>
            <w:tcW w:w="1920" w:type="dxa"/>
            <w:vAlign w:val="bottom"/>
            <w:gridSpan w:val="9"/>
          </w:tcPr>
          <w:p>
            <w:pPr>
              <w:ind w:left="80"/>
              <w:spacing w:after="0"/>
              <w:rPr>
                <w:sz w:val="20"/>
                <w:szCs w:val="20"/>
                <w:color w:val="auto"/>
              </w:rPr>
            </w:pPr>
            <w:r>
              <w:rPr>
                <w:rFonts w:ascii="Arial" w:cs="Arial" w:eastAsia="Arial" w:hAnsi="Arial"/>
                <w:sz w:val="14"/>
                <w:szCs w:val="14"/>
                <w:b w:val="1"/>
                <w:bCs w:val="1"/>
                <w:color w:val="auto"/>
                <w:w w:val="91"/>
              </w:rPr>
              <w:t>Gross Amount of Offset in the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jc w:val="right"/>
              <w:spacing w:after="0"/>
              <w:rPr>
                <w:sz w:val="20"/>
                <w:szCs w:val="20"/>
                <w:color w:val="auto"/>
              </w:rPr>
            </w:pPr>
            <w:r>
              <w:rPr>
                <w:rFonts w:ascii="Arial" w:cs="Arial" w:eastAsia="Arial" w:hAnsi="Arial"/>
                <w:sz w:val="14"/>
                <w:szCs w:val="14"/>
                <w:b w:val="1"/>
                <w:bCs w:val="1"/>
                <w:color w:val="auto"/>
                <w:w w:val="96"/>
              </w:rPr>
              <w:t>Net Amount of Liabilities Presented</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819"/>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w w:val="90"/>
              </w:rPr>
              <w:t>Consolidated Balance Sheets</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7"/>
          </w:tcPr>
          <w:p>
            <w:pPr>
              <w:jc w:val="right"/>
              <w:ind w:right="19"/>
              <w:spacing w:after="0"/>
              <w:rPr>
                <w:sz w:val="20"/>
                <w:szCs w:val="20"/>
                <w:color w:val="auto"/>
              </w:rPr>
            </w:pPr>
            <w:r>
              <w:rPr>
                <w:rFonts w:ascii="Arial" w:cs="Arial" w:eastAsia="Arial" w:hAnsi="Arial"/>
                <w:sz w:val="14"/>
                <w:szCs w:val="14"/>
                <w:b w:val="1"/>
                <w:bCs w:val="1"/>
                <w:color w:val="auto"/>
                <w:w w:val="95"/>
              </w:rPr>
              <w:t>in the Consolidated Balance Sheets</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Consolidated Balance</w:t>
            </w:r>
          </w:p>
        </w:tc>
        <w:tc>
          <w:tcPr>
            <w:tcW w:w="220" w:type="dxa"/>
            <w:vAlign w:val="bottom"/>
          </w:tcPr>
          <w:p>
            <w:pPr>
              <w:spacing w:after="0"/>
              <w:rPr>
                <w:sz w:val="13"/>
                <w:szCs w:val="13"/>
                <w:color w:val="auto"/>
              </w:rPr>
            </w:pPr>
          </w:p>
        </w:tc>
        <w:tc>
          <w:tcPr>
            <w:tcW w:w="1080" w:type="dxa"/>
            <w:vAlign w:val="bottom"/>
            <w:gridSpan w:val="5"/>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90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6"/>
          </w:tcPr>
          <w:p>
            <w:pPr>
              <w:ind w:left="14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0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02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Sheet Location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34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2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Other Current Assets</w:t>
            </w:r>
          </w:p>
        </w:tc>
        <w:tc>
          <w:tcPr>
            <w:tcW w:w="220" w:type="dxa"/>
            <w:vAlign w:val="bottom"/>
            <w:shd w:val="clear" w:color="auto" w:fill="CCEEFF"/>
          </w:tcPr>
          <w:p>
            <w:pPr>
              <w:spacing w:after="0"/>
              <w:rPr>
                <w:sz w:val="19"/>
                <w:szCs w:val="19"/>
                <w:color w:val="auto"/>
              </w:rPr>
            </w:pP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gridSpan w:val="4"/>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derivative contracts</w:t>
            </w: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3"/>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3"/>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4"/>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gridSpan w:val="11"/>
          </w:tcPr>
          <w:p>
            <w:pPr>
              <w:jc w:val="right"/>
              <w:ind w:right="879"/>
              <w:spacing w:after="0"/>
              <w:rPr>
                <w:sz w:val="20"/>
                <w:szCs w:val="20"/>
                <w:color w:val="auto"/>
              </w:rPr>
            </w:pPr>
            <w:r>
              <w:rPr>
                <w:rFonts w:ascii="Arial" w:cs="Arial" w:eastAsia="Arial" w:hAnsi="Arial"/>
                <w:sz w:val="14"/>
                <w:szCs w:val="14"/>
                <w:b w:val="1"/>
                <w:bCs w:val="1"/>
                <w:color w:val="auto"/>
                <w:w w:val="92"/>
              </w:rPr>
              <w:t>Amount of (Loss) Gain Recognized</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11"/>
          </w:tcPr>
          <w:p>
            <w:pPr>
              <w:jc w:val="right"/>
              <w:ind w:right="899"/>
              <w:spacing w:after="0"/>
              <w:rPr>
                <w:sz w:val="20"/>
                <w:szCs w:val="20"/>
                <w:color w:val="auto"/>
              </w:rPr>
            </w:pPr>
            <w:r>
              <w:rPr>
                <w:rFonts w:ascii="Arial" w:cs="Arial" w:eastAsia="Arial" w:hAnsi="Arial"/>
                <w:sz w:val="14"/>
                <w:szCs w:val="14"/>
                <w:b w:val="1"/>
                <w:bCs w:val="1"/>
                <w:color w:val="auto"/>
                <w:w w:val="94"/>
              </w:rPr>
              <w:t>in Income on Derivative Contracts</w:t>
            </w: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gridSpan w:val="9"/>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 (Loss) Gain Recognized</w:t>
            </w:r>
          </w:p>
        </w:tc>
        <w:tc>
          <w:tcPr>
            <w:tcW w:w="19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22"/>
                <w:szCs w:val="22"/>
                <w:color w:val="auto"/>
              </w:rPr>
            </w:pPr>
          </w:p>
        </w:tc>
        <w:tc>
          <w:tcPr>
            <w:tcW w:w="19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72"/>
        </w:trPr>
        <w:tc>
          <w:tcPr>
            <w:tcW w:w="1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9"/>
            <w:vMerge w:val="continue"/>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w w:val="83"/>
              </w:rPr>
              <w:t>2013</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in Income on Derivative Contracts</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80" w:type="dxa"/>
            <w:vAlign w:val="bottom"/>
            <w:gridSpan w:val="10"/>
            <w:shd w:val="clear" w:color="auto" w:fill="CCEEFF"/>
          </w:tcPr>
          <w:p>
            <w:pPr>
              <w:ind w:left="40"/>
              <w:spacing w:after="0"/>
              <w:rPr>
                <w:sz w:val="20"/>
                <w:szCs w:val="20"/>
                <w:color w:val="auto"/>
              </w:rPr>
            </w:pPr>
            <w:r>
              <w:rPr>
                <w:rFonts w:ascii="Arial" w:cs="Arial" w:eastAsia="Arial" w:hAnsi="Arial"/>
                <w:sz w:val="18"/>
                <w:szCs w:val="18"/>
                <w:color w:val="auto"/>
              </w:rPr>
              <w:t>Foreign currency exchange gain</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8"/>
              </w:rPr>
              <w:t>(loss), net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(887)</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1,295</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0"/>
              </w:rPr>
              <w:t>As of June 30, 2013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380" w:type="dxa"/>
            <w:vAlign w:val="bottom"/>
            <w:gridSpan w:val="2"/>
          </w:tcPr>
          <w:p>
            <w:pPr>
              <w:ind w:left="1360"/>
              <w:spacing w:after="0"/>
              <w:rPr>
                <w:sz w:val="20"/>
                <w:szCs w:val="20"/>
                <w:color w:val="auto"/>
              </w:rPr>
            </w:pPr>
            <w:r>
              <w:rPr>
                <w:rFonts w:ascii="Arial" w:cs="Arial" w:eastAsia="Arial" w:hAnsi="Arial"/>
                <w:sz w:val="14"/>
                <w:szCs w:val="14"/>
                <w:b w:val="1"/>
                <w:bCs w:val="1"/>
                <w:color w:val="auto"/>
              </w:rPr>
              <w:t>Balance Sheet Classification</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17"/>
              <w:spacing w:after="0"/>
              <w:rPr>
                <w:sz w:val="20"/>
                <w:szCs w:val="20"/>
                <w:color w:val="auto"/>
              </w:rPr>
            </w:pPr>
            <w:r>
              <w:rPr>
                <w:rFonts w:ascii="Arial" w:cs="Arial" w:eastAsia="Arial" w:hAnsi="Arial"/>
                <w:sz w:val="14"/>
                <w:szCs w:val="14"/>
                <w:b w:val="1"/>
                <w:bCs w:val="1"/>
                <w:color w:val="auto"/>
              </w:rPr>
              <w:t>Total</w:t>
            </w:r>
          </w:p>
        </w:tc>
      </w:tr>
      <w:tr>
        <w:trPr>
          <w:trHeight w:val="243"/>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338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243</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p>
        </w:tc>
        <w:tc>
          <w:tcPr>
            <w:tcW w:w="338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18,902</w:t>
            </w:r>
          </w:p>
        </w:tc>
      </w:tr>
      <w:tr>
        <w:trPr>
          <w:trHeight w:val="399"/>
        </w:trPr>
        <w:tc>
          <w:tcPr>
            <w:tcW w:w="39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As of December 31, 2012</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380" w:type="dxa"/>
            <w:vAlign w:val="bottom"/>
            <w:gridSpan w:val="2"/>
          </w:tcPr>
          <w:p>
            <w:pPr>
              <w:ind w:left="1360"/>
              <w:spacing w:after="0"/>
              <w:rPr>
                <w:sz w:val="20"/>
                <w:szCs w:val="20"/>
                <w:color w:val="auto"/>
              </w:rPr>
            </w:pPr>
            <w:r>
              <w:rPr>
                <w:rFonts w:ascii="Arial" w:cs="Arial" w:eastAsia="Arial" w:hAnsi="Arial"/>
                <w:sz w:val="14"/>
                <w:szCs w:val="14"/>
                <w:b w:val="1"/>
                <w:bCs w:val="1"/>
                <w:color w:val="auto"/>
              </w:rPr>
              <w:t>Balance Sheet Classification</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17"/>
              <w:spacing w:after="0"/>
              <w:rPr>
                <w:sz w:val="20"/>
                <w:szCs w:val="20"/>
                <w:color w:val="auto"/>
              </w:rPr>
            </w:pPr>
            <w:r>
              <w:rPr>
                <w:rFonts w:ascii="Arial" w:cs="Arial" w:eastAsia="Arial" w:hAnsi="Arial"/>
                <w:sz w:val="14"/>
                <w:szCs w:val="14"/>
                <w:b w:val="1"/>
                <w:bCs w:val="1"/>
                <w:color w:val="auto"/>
              </w:rPr>
              <w:t>Total</w:t>
            </w:r>
          </w:p>
        </w:tc>
      </w:tr>
      <w:tr>
        <w:trPr>
          <w:trHeight w:val="243"/>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33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r>
      <w:tr>
        <w:trPr>
          <w:trHeight w:val="27"/>
        </w:trPr>
        <w:tc>
          <w:tcPr>
            <w:tcW w:w="396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252525"/>
        </w:rPr>
        <w:t xml:space="preserve">The carrying amounts of cash and cash equivalents, trade accounts receivable, trade accounts payable and short-term debt obligations approximate fair values due to their short maturities. The carrying values of the Company’s term loan due 2016 and revolving credit agreements approximate fair values because interest is based on the London Inter-Bank Offered Rate ("LIBOR") that resets at various intervals of less than one year. The Company estimates the fair value of the convertible debentures, fixed rate debt, using quoted prices in inactive markets for identical liabilities (Level 2). As of June 30, 2013 and December 31, 2013, the fair value and carrying amount of the convertible debentures were </w:t>
      </w:r>
      <w:r>
        <w:rPr>
          <w:rFonts w:ascii="Arial" w:cs="Arial" w:eastAsia="Arial" w:hAnsi="Arial"/>
          <w:sz w:val="17"/>
          <w:szCs w:val="17"/>
          <w:color w:val="000000"/>
        </w:rPr>
        <w:t>$3.6 million</w:t>
      </w:r>
      <w:r>
        <w:rPr>
          <w:rFonts w:ascii="Arial" w:cs="Arial" w:eastAsia="Arial" w:hAnsi="Arial"/>
          <w:sz w:val="17"/>
          <w:szCs w:val="17"/>
          <w:color w:val="252525"/>
        </w:rPr>
        <w: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9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The contingent consideration liability relating to the Pure Commerce acquisition is recorded at fair value using a Monte Carlo simulation. </w:t>
      </w:r>
      <w:r>
        <w:rPr>
          <w:rFonts w:ascii="Arial" w:cs="Arial" w:eastAsia="Arial" w:hAnsi="Arial"/>
          <w:sz w:val="16"/>
          <w:szCs w:val="16"/>
          <w:color w:val="252525"/>
        </w:rPr>
        <w:t>The significant</w:t>
      </w:r>
      <w:r>
        <w:rPr>
          <w:rFonts w:ascii="Arial" w:cs="Arial" w:eastAsia="Arial" w:hAnsi="Arial"/>
          <w:sz w:val="16"/>
          <w:szCs w:val="16"/>
          <w:color w:val="auto"/>
        </w:rPr>
        <w:t xml:space="preserve"> </w:t>
      </w:r>
      <w:r>
        <w:rPr>
          <w:rFonts w:ascii="Arial" w:cs="Arial" w:eastAsia="Arial" w:hAnsi="Arial"/>
          <w:sz w:val="16"/>
          <w:szCs w:val="16"/>
          <w:color w:val="252525"/>
        </w:rPr>
        <w:t xml:space="preserve">unobservable inputs used in the fair value measurement of the contingent consideration payable are forecasted financial results, including estimates of future revenues, gross profit, and cash flows (Level 3). Contingent consideration is recorded in Accrued expenses and other liabilities in the consolidated balance sheets. During the three-month period ended June 30, 2013, the Company recorded a </w:t>
      </w:r>
      <w:r>
        <w:rPr>
          <w:rFonts w:ascii="Arial" w:cs="Arial" w:eastAsia="Arial" w:hAnsi="Arial"/>
          <w:sz w:val="16"/>
          <w:szCs w:val="16"/>
          <w:color w:val="000000"/>
        </w:rPr>
        <w:t>$2.8 million</w:t>
      </w:r>
      <w:r>
        <w:rPr>
          <w:rFonts w:ascii="Arial" w:cs="Arial" w:eastAsia="Arial" w:hAnsi="Arial"/>
          <w:sz w:val="16"/>
          <w:szCs w:val="16"/>
          <w:color w:val="252525"/>
        </w:rPr>
        <w:t xml:space="preserve"> foreign currency exchange gain related to this contingent liability as a result of fluctuations in the Australian dollar against the U.S. dollar. Gains or losses resulting from fluctuations in foreign currency exchange rates are recorded in Foreign currency exchange gains (losses), net in the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North America and South America.</w:t>
      </w:r>
    </w:p>
    <w:p>
      <w:pPr>
        <w:spacing w:after="0" w:line="62" w:lineRule="exact"/>
        <w:rPr>
          <w:rFonts w:ascii="Arial" w:cs="Arial" w:eastAsia="Arial" w:hAnsi="Arial"/>
          <w:sz w:val="18"/>
          <w:szCs w:val="18"/>
          <w:color w:val="auto"/>
        </w:rPr>
      </w:pPr>
    </w:p>
    <w:p>
      <w:pPr>
        <w:ind w:left="980" w:right="40" w:hanging="648"/>
        <w:spacing w:after="0" w:line="27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foreign currency exchange services and mobile top-up.</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to the three segments in its administrative division, “Corporate Services, Eliminations and Other.” These services are not directly identifiable with the Company’s reportable operating segments.The following tables present the segment results of the Company’s operations for the three- and six-month periods ended June 30, 2013 and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2013</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176,663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93,357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341,543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214,295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14,387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7,653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4,030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16,239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164,154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84,574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313,743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14,951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12,509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2012</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166,671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77,483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302,377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192,589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8,408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12,428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44,809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29,027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16,098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156,681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282,523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10,341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9,990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19,854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2013</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135,555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366,238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176,260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677,187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433,382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19,214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28,482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41,481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11,302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100,479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15,969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8,533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33,908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339,076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161,435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15,727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630,229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21,564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27,162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14,825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46,958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108,226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343,014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148,918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599,999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263,186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386,587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15,755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25,692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36,617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11,011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89,075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56,667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12,275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10,139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31,974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319,823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564,303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16,373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23,191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10,972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35,696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June 30, 2013, the Company had $92.9 million of stand-by letters of credit/bank guarantees issued on its behalf, of which $42.2 million are outstanding under the revolving credit facility. The remaining stand-by letters of credit/bank guarantees are collateralized by $4.8 million of cash deposits held by the respective issuing banks.</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2013, the Company had granted off balance sheet guarantees for cash in various ATM networks amounting to $16.0 million over the terms of the cash supply agreements and performance guarantees amounting to approximately $35.9 million over the terms of the agreements with the customers.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140" w:hanging="648"/>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June 30, 2013, the balance of ATM network cash for which the Company was responsible was approximately $360 million. The Company maintains insurance policies to mitigate this exposure;</w:t>
      </w:r>
    </w:p>
    <w:p>
      <w:pPr>
        <w:spacing w:after="0" w:line="78" w:lineRule="exact"/>
        <w:rPr>
          <w:rFonts w:ascii="Arial" w:cs="Arial" w:eastAsia="Arial" w:hAnsi="Arial"/>
          <w:sz w:val="18"/>
          <w:szCs w:val="18"/>
          <w:color w:val="auto"/>
        </w:rPr>
      </w:pPr>
    </w:p>
    <w:p>
      <w:pPr>
        <w:ind w:left="980" w:right="140" w:hanging="648"/>
        <w:spacing w:after="0" w:line="31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jc w:val="both"/>
        <w:ind w:left="980" w:right="400" w:hanging="648"/>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right="40" w:hanging="648"/>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2013 or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Company's effective income tax rates were 32.3% and 47.5% for the three-month periods ended June 30, 2013 and 2012, respectively, and 28.1% and 35.9% for the six-month periods ended June 30, 2013 and 2012, respectively. The effective tax rates were significantly influenced by the foreign currency exchange gain in the second quarter of 2013 and the foreign currency exchange loss in the second quarter and first half of 2012. Other non-operating income significantly increased the effective tax rate for the six-month period ending June 30, 2012. Excluding foreign currency exchange gains (losses) and other non-operating income (expense) from pre-tax income, as well as the related tax effects for these items, the Company's effective tax rates were 33.8% and 33.6% for the three-month periods ended June 30, 2013 and 2012, respectively, and 27.1% and 38.1% for the six-month periods ended June 30, 2013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effective tax rate, as adjusted, for the second quarter 2013 was lower than the applicable statutory tax rate of 35% primarily because of the Company's U.S. income tax positions. The Company's effective tax rate, as adjusted, for the first half of 2013 was lower than the applicable statutory tax rate of 35% primarily because of the Company's U.S. income tax positions and changes in the reserve for uncertain tax benefits. The Company does not have a history of significant taxable income in the U.S., therefore, the Company has recorded a valuation allowance against the prior tax net operating losses. Accordingly, in instances when the Company's U.S. legal entities generate pre-tax book income, no income tax expense is recognized to the extent there are net operating loss carryforwards to offset pre-tax book income.</w:t>
      </w:r>
    </w:p>
    <w:p>
      <w:pPr>
        <w:spacing w:after="0" w:line="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first half of 2013, the Company recorded a $2.2 million decrease in the reserve for uncertain tax benefits related to the closure of an income tax audit in Germany, resulting in a decrease in income tax expense. In connection with the acquisition of Pure Commerce in January 2013, the Company recorded a $2.0 million reserve for uncertain tax benefits in the opening balance sheet. There were no other material changes in the reserve for uncertain tax benefits during the first half of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Computer Security Breach</w:t>
      </w:r>
      <w:r>
        <w:rPr>
          <w:rFonts w:ascii="Arial" w:cs="Arial" w:eastAsia="Arial" w:hAnsi="Arial"/>
          <w:sz w:val="18"/>
          <w:szCs w:val="18"/>
          <w:color w:val="auto"/>
        </w:rPr>
        <w:t xml:space="preserve"> - A unit of the Company's European processing business was the subject of a criminal security breach in late 2011. The affected business represents less than 5% of the Company's revenues, profits and transactions. Euronet took immediate steps to remediate the breach and ensure its impact was contained.</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claims arising from such breach were asserted against the Company, and it is possible that additional claims may be asserted in the future. However, the Company maintains insurance to cover the financial exposure for response costs, losses by the card issuer and fines or penalties from incidents of this nature. To date, the aggregate amount of expenses incurred and losses asserted against the Company for which the Company ultimately bore liability have been within the limits of our insurance and the only cost to the Company has been its retention amount under its insurance. The Company does not currently expect the net financial impact of expenses or losses from the breach after insurance recovery, if any, to be material to the consolidated results of operations or financial condition of the Company.</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related to the breach through December 31, 2012 were $0.5 million, net of $1.9 million in amounts recovered from the Company's insurance carrier. For the first half of 2012, the Company incurred $0.5 million in expenses related to the breach, net of insurance recoveries of $1.7 million. No additional related expenses were incurred during the first half of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2012, the Company was served with a class action lawsuit filed by a former employee alleging wage and hour violations relating to meal and rest period requirements. The Company has reached an agreement in principle to settle this lawsuit for an immaterial amount and, together with the plaintiffs in the case, is following court procedures to finalize the settlement. The Company expects such procedures to take approximately three to six months to complete.</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Euronet Worldwide, Inc. and its subsidiaries (“Euronet,” the “Company,” “we,” "our"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electronic distribution of prepaid mobile airtime and other electronic payment products and global consumer money transfer services. As of June 30, 2013, we operate in the following three segments:</w:t>
      </w:r>
    </w:p>
    <w:p>
      <w:pPr>
        <w:spacing w:after="0" w:line="80" w:lineRule="exact"/>
        <w:rPr>
          <w:sz w:val="20"/>
          <w:szCs w:val="20"/>
          <w:color w:val="auto"/>
        </w:rPr>
      </w:pPr>
    </w:p>
    <w:p>
      <w:pPr>
        <w:ind w:left="980" w:right="20" w:hanging="648"/>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17,242 ATMs and approximately 67,000 POS terminals across Europe, the Middle East and Asia Pacific. We provide comprehensive electronic payment solutions consisting of ATM cash withdrawal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240" w:hanging="648"/>
        <w:spacing w:after="0" w:line="30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epay Segment, which provides distribution, processing and collection services for prepaid mobile airtime and other electronic payment products. We operate a network of approximately 689,000 POS terminals providing electronic processing of prepaid mobile airtime top-up services and other electronic payment products in Europe, the Middle East, Asia Pacific, North America and South America. We also provide vouchers and physical gift fulfillment services in Europe and gift card distribution and processing services in Brazil and Asia Pacific.</w:t>
      </w:r>
    </w:p>
    <w:p>
      <w:pPr>
        <w:spacing w:after="0" w:line="46" w:lineRule="exact"/>
        <w:rPr>
          <w:rFonts w:ascii="Arial" w:cs="Arial" w:eastAsia="Arial" w:hAnsi="Arial"/>
          <w:sz w:val="16"/>
          <w:szCs w:val="16"/>
          <w:color w:val="auto"/>
        </w:rPr>
      </w:pPr>
    </w:p>
    <w:p>
      <w:pPr>
        <w:ind w:left="980" w:right="20" w:hanging="648"/>
        <w:spacing w:after="0" w:line="297"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204,000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four processing centers in Europe, two in Asia Pacific, two in North America and one in the Middle East. We have 30 principal offices in Europe, six in North America, ten in Asia Pacific, three in the Middle East, two in South America, and one in Africa. Our executive offices are located in Leawood, Kansas, USA. With approximately 74% of our revenues denominated in currencies other than the U.S. dollar, any significant changes in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21% and 20% of our total consolidated revenues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and first half of 2013, respectively,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52% and 54% of our total consolidated revenues for the second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and first half of 2013, respectively, are derived from (i) commissions or processing fees received from mobile phone operators for the sale and distribution of prepaid mobile airtime and, (ii) commissions earned from the distribution of other electronic payment products, gift cards,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27% and 26% of our total consolidated revenues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second quarter and first half of 2013, respectively, are primarily derived from charging a transaction fee, as well as the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70"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currently focused on six primary areas:</w:t>
      </w:r>
    </w:p>
    <w:p>
      <w:pPr>
        <w:spacing w:after="0" w:line="117"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right="50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dynamic currency conversion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our money transfer and bill payment network;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18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overall pace of growth in the prepaid mobile phone market, including consumer shifts between prepaid and postpaid services;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50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offer our products and services or develop new products and services at competitive prices to drive increases in transactions;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125" w:right="4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six-month periods ended June 30, 2013 and 2012 are summarized in the tables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gridSpan w:val="9"/>
          </w:tcPr>
          <w:p>
            <w:pPr>
              <w:ind w:left="40"/>
              <w:spacing w:after="0"/>
              <w:rPr>
                <w:sz w:val="20"/>
                <w:szCs w:val="20"/>
                <w:color w:val="auto"/>
              </w:rPr>
            </w:pPr>
            <w:r>
              <w:rPr>
                <w:rFonts w:ascii="Arial" w:cs="Arial" w:eastAsia="Arial" w:hAnsi="Arial"/>
                <w:sz w:val="14"/>
                <w:szCs w:val="14"/>
                <w:b w:val="1"/>
                <w:bCs w:val="1"/>
                <w:color w:val="auto"/>
              </w:rPr>
              <w:t>Revenues for the Three Months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vMerge w:val="restart"/>
          </w:tcPr>
          <w:p>
            <w:pPr>
              <w:jc w:val="right"/>
              <w:ind w:right="314"/>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Revenues for the Six Months</w:t>
            </w:r>
          </w:p>
        </w:tc>
        <w:tc>
          <w:tcPr>
            <w:tcW w:w="220" w:type="dxa"/>
            <w:vAlign w:val="bottom"/>
          </w:tcPr>
          <w:p>
            <w:pPr>
              <w:spacing w:after="0"/>
              <w:rPr>
                <w:sz w:val="14"/>
                <w:szCs w:val="14"/>
                <w:color w:val="auto"/>
              </w:rPr>
            </w:pPr>
          </w:p>
        </w:tc>
        <w:tc>
          <w:tcPr>
            <w:tcW w:w="2040" w:type="dxa"/>
            <w:vAlign w:val="bottom"/>
            <w:gridSpan w:val="3"/>
            <w:vMerge w:val="restart"/>
          </w:tcPr>
          <w:p>
            <w:pPr>
              <w:jc w:val="right"/>
              <w:ind w:right="3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473"/>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b w:val="1"/>
                <w:bCs w:val="1"/>
                <w:color w:val="auto"/>
                <w:w w:val="93"/>
              </w:rPr>
              <w:t>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4"/>
          </w:tcPr>
          <w:p>
            <w:pPr>
              <w:jc w:val="right"/>
              <w:ind w:right="480"/>
              <w:spacing w:after="0" w:line="153" w:lineRule="exact"/>
              <w:rPr>
                <w:sz w:val="20"/>
                <w:szCs w:val="20"/>
                <w:color w:val="auto"/>
              </w:rPr>
            </w:pPr>
            <w:r>
              <w:rPr>
                <w:rFonts w:ascii="Arial" w:cs="Arial" w:eastAsia="Arial" w:hAnsi="Arial"/>
                <w:sz w:val="14"/>
                <w:szCs w:val="14"/>
                <w:b w:val="1"/>
                <w:bCs w:val="1"/>
                <w:color w:val="auto"/>
              </w:rPr>
              <w:t>Increase</w:t>
            </w:r>
          </w:p>
        </w:tc>
        <w:tc>
          <w:tcPr>
            <w:tcW w:w="112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Increase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72,221</w:t>
            </w:r>
          </w:p>
        </w:tc>
        <w:tc>
          <w:tcPr>
            <w:tcW w:w="3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58,309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13,912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27,329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epay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176,663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8"/>
              </w:rPr>
              <w:t>166,671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9,992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366,238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343,014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23,224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93,357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77,483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15,874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176,260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148,918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27,342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224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342,241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8"/>
              </w:rPr>
              <w:t>302,463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39,778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678,053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600,158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77,895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2240" w:type="dxa"/>
            <w:vAlign w:val="bottom"/>
            <w:gridSpan w:val="3"/>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341,543</w:t>
            </w:r>
          </w:p>
        </w:tc>
        <w:tc>
          <w:tcPr>
            <w:tcW w:w="120" w:type="dxa"/>
            <w:vAlign w:val="bottom"/>
            <w:gridSpan w:val="2"/>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302,377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39,166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677,187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599,999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77,188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color w:val="auto"/>
                <w:w w:val="96"/>
              </w:rPr>
              <w:t>______________________</w:t>
            </w: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1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gridSpan w:val="9"/>
          </w:tcPr>
          <w:p>
            <w:pPr>
              <w:ind w:left="60"/>
              <w:spacing w:after="0"/>
              <w:rPr>
                <w:sz w:val="20"/>
                <w:szCs w:val="20"/>
                <w:color w:val="auto"/>
              </w:rPr>
            </w:pPr>
            <w:r>
              <w:rPr>
                <w:rFonts w:ascii="Arial" w:cs="Arial" w:eastAsia="Arial" w:hAnsi="Arial"/>
                <w:sz w:val="14"/>
                <w:szCs w:val="14"/>
                <w:b w:val="1"/>
                <w:bCs w:val="1"/>
                <w:color w:val="auto"/>
                <w:w w:val="97"/>
              </w:rPr>
              <w:t>Operating Income (Expense) for</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94"/>
              </w:rPr>
              <w:t>Operating Income (Expense) for</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8"/>
          </w:tcPr>
          <w:p>
            <w:pPr>
              <w:spacing w:after="0" w:line="149" w:lineRule="exact"/>
              <w:rPr>
                <w:sz w:val="20"/>
                <w:szCs w:val="20"/>
                <w:color w:val="auto"/>
              </w:rPr>
            </w:pPr>
            <w:r>
              <w:rPr>
                <w:rFonts w:ascii="Arial" w:cs="Arial" w:eastAsia="Arial" w:hAnsi="Arial"/>
                <w:sz w:val="14"/>
                <w:szCs w:val="14"/>
                <w:b w:val="1"/>
                <w:bCs w:val="1"/>
                <w:color w:val="auto"/>
              </w:rPr>
              <w:t>the Three Months Ended June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7"/>
            <w:vMerge w:val="continue"/>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vMerge w:val="restart"/>
          </w:tcPr>
          <w:p>
            <w:pPr>
              <w:jc w:val="right"/>
              <w:ind w:right="3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the Six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4"/>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Increase</w:t>
            </w:r>
          </w:p>
        </w:tc>
        <w:tc>
          <w:tcPr>
            <w:tcW w:w="1120" w:type="dxa"/>
            <w:vAlign w:val="bottom"/>
            <w:gridSpan w:val="3"/>
          </w:tcPr>
          <w:p>
            <w:pPr>
              <w:jc w:val="right"/>
              <w:ind w:right="400"/>
              <w:spacing w:after="0" w:line="153" w:lineRule="exact"/>
              <w:rPr>
                <w:sz w:val="20"/>
                <w:szCs w:val="20"/>
                <w:color w:val="auto"/>
              </w:rPr>
            </w:pPr>
            <w:r>
              <w:rPr>
                <w:rFonts w:ascii="Arial" w:cs="Arial" w:eastAsia="Arial" w:hAnsi="Arial"/>
                <w:sz w:val="14"/>
                <w:szCs w:val="14"/>
                <w:b w:val="1"/>
                <w:bCs w:val="1"/>
                <w:color w:val="auto"/>
              </w:rPr>
              <w:t>Increase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gridSpan w:val="2"/>
          </w:tcPr>
          <w:p>
            <w:pPr>
              <w:spacing w:after="0"/>
              <w:rPr>
                <w:sz w:val="16"/>
                <w:szCs w:val="16"/>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epay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2,519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27,162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23,191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3,971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14,825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24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36,243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9,238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63,551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50,536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13,015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240" w:type="dxa"/>
            <w:vAlign w:val="bottom"/>
            <w:gridSpan w:val="3"/>
          </w:tcPr>
          <w:p>
            <w:pPr>
              <w:ind w:left="3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7,946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46,958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35,696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11,262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Compared to most of the currencies of the foreign countries in which we operate, the U.S. dollar was stronger than some and weaker than others during the second quarter and first half of 2013 than it was during the comparable 2012 periods. Because our revenues and local expenses are recorded in the functional currencies of our operating entities, amounts we earned for the second quarter and first half of 2013 reflected the impact of changes in currency values relative to the U.S. dollar. Considering the results by country and the associated functional currency, our consolidated operating income was not significantly influenced by the changes in foreign currency exchange rates when compared to the second quarter and first half of 2012. To provide further perspective on the impact of foreign currency exchange rates, the following table shows the changes in currency values relative to the U.S. dollar from the second quarter and first half of 2012 to the same periods of 2013 for the countries and regions in which we have our most significant operations: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12"/>
              <w:spacing w:after="0"/>
              <w:rPr>
                <w:sz w:val="20"/>
                <w:szCs w:val="20"/>
                <w:color w:val="auto"/>
              </w:rPr>
            </w:pPr>
            <w:r>
              <w:rPr>
                <w:rFonts w:ascii="Arial" w:cs="Arial" w:eastAsia="Arial" w:hAnsi="Arial"/>
                <w:sz w:val="14"/>
                <w:szCs w:val="14"/>
                <w:b w:val="1"/>
                <w:bCs w:val="1"/>
                <w:color w:val="auto"/>
                <w:w w:val="93"/>
              </w:rPr>
              <w:t>Average Translation Rate</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212"/>
              <w:spacing w:after="0"/>
              <w:rPr>
                <w:sz w:val="20"/>
                <w:szCs w:val="20"/>
                <w:color w:val="auto"/>
              </w:rPr>
            </w:pPr>
            <w:r>
              <w:rPr>
                <w:rFonts w:ascii="Arial" w:cs="Arial" w:eastAsia="Arial" w:hAnsi="Arial"/>
                <w:sz w:val="14"/>
                <w:szCs w:val="14"/>
                <w:b w:val="1"/>
                <w:bCs w:val="1"/>
                <w:color w:val="auto"/>
                <w:w w:val="93"/>
              </w:rPr>
              <w:t>Average Translation Rate</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 June 30,</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Six Months Ended June 30,</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480" w:type="dxa"/>
            <w:vAlign w:val="bottom"/>
            <w:gridSpan w:val="2"/>
          </w:tcPr>
          <w:p>
            <w:pPr>
              <w:ind w:left="380"/>
              <w:spacing w:after="0" w:line="139" w:lineRule="exact"/>
              <w:rPr>
                <w:sz w:val="20"/>
                <w:szCs w:val="20"/>
                <w:color w:val="auto"/>
              </w:rPr>
            </w:pPr>
            <w:r>
              <w:rPr>
                <w:rFonts w:ascii="Arial" w:cs="Arial" w:eastAsia="Arial" w:hAnsi="Arial"/>
                <w:sz w:val="14"/>
                <w:szCs w:val="14"/>
                <w:b w:val="1"/>
                <w:bCs w:val="1"/>
                <w:color w:val="auto"/>
              </w:rPr>
              <w:t>Increase</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280" w:type="dxa"/>
            <w:vAlign w:val="bottom"/>
          </w:tcPr>
          <w:p>
            <w:pPr>
              <w:jc w:val="right"/>
              <w:ind w:right="294"/>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(Decrease)Percent</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(Decrease)Percent</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Australian dollar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0.9897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1.0100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1.0141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1.0327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0.5110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0.5388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1.5826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1.5437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1.5772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1.2977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0.0044</w:t>
            </w:r>
          </w:p>
        </w:tc>
        <w:tc>
          <w:tcPr>
            <w:tcW w:w="100" w:type="dxa"/>
            <w:vAlign w:val="bottom"/>
          </w:tcPr>
          <w:p>
            <w:pPr>
              <w:spacing w:after="0"/>
              <w:rPr>
                <w:sz w:val="21"/>
                <w:szCs w:val="21"/>
                <w:color w:val="auto"/>
              </w:rPr>
            </w:pPr>
          </w:p>
        </w:tc>
        <w:tc>
          <w:tcPr>
            <w:tcW w:w="148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0.0044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0.0044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0.0185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0.0192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0.3113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0.3021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0.3148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0.3064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SIX-MONTH PERIODS ENDED JUNE 30, 2013 AND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2013 and 2012 for our EFT Processing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72,221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58,309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13,912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135,555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108,226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27,329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Direct operating costs</w:t>
            </w: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34,615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28,231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6,384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67,527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53,890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13,637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Selling, general and</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340"/>
              <w:spacing w:after="0"/>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9,933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57,270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47,968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113,991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91,853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14,951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4,610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26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June 30,</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17,709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1,737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918"/>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revenues for the second quarter and first half of 2013 increased when compared to the same periods of 2012, primarily due to an increase in the number of ATMs under management, an increase in transaction volume on brown label ATMs in India and growth in revenues earned from dynamic currency conversion ("DCC") and value added services, including DCC revenues earned on POS devices from our acquisition of Pure Commerce Pty Limited ("Pure Commerce") in January 2013.</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Average monthly revenues per ATM were $1,361 for the second quarter and $1,276 for the first half of 2013 compared to $1,160 for the second quarter and $1,129 for the first half of 2012. Revenues per transaction were $0.24 for both the second quarter and first half of 2013 compared to $0.20 for the second quarter and $0.19 for the first half of 2012. These increases were primarily the result of revenue growth from DCC and value added services, both of which earn higher revenues per transaction than other ATM services, as well as an overall shift in the percentage of transactions processed to geographic markets where we earn higher revenues per transaction, particularly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the cost of data center operations-related personnel, as well as the processing centers’ facility-related costs and other processing center-related expenses and commissions paid to retail merchants and card processors involved with POS DCC transactions. Direct operating costs increased in the second quarter and first half of 2013 compared to the same periods of 2012, primarily due to the increase in the number of ATMs under management, the increase in transaction volume on brown label ATMs in India and the acquisition of Pure Commerce.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profit, which is calculated as revenues less direct operating costs, was $37.6 million for the second quarter and $68.0 million for the first half of 2013 compared to $30.1 million for the second quarter and $54.3 million for the first half of 2012. Gross profit as a percentage of revenues (“gross margin”) was 52.1% for the second quarter and 50.2% for the first half of 2013 compared to 51.6% for the second quarter and 50.2% for the first half of 2012. The second quarter increase was primarily due to growth in revenues from DCC and value added services, including DCC earned on POS devices from our acquisition of Pure Commerce, both of which earn a higher gross profit than other services, the increase in ATMs under management and the increase in transaction volume on brown label ATMs in India.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increase in salaries and benefits for the second quarter and first half of 2013 compared to the same periods of 2012 was primarily due to adding employees to support the growth in ATMs under management and the increase in transaction volume on brown label ATMs in India, along with the impact of our acquisition of Pure Commerce. Also contributing to the the increase for the first half of 2013 compared to the same period of 2012 was an increase in bonus expense due to improved results. As a percentage of revenues, these costs decreased to 13.2% for the second quarter and 14.2% for the first half of</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2013 from 14.4% for the second quarter and 14.6% for the first half of 2012. This decrease was primarily due to the growth in revenues earned from DCC and value added services on our ATMs under management, which require minimal incremental support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selling, general and administrative expenses for the second quarter and first half of 2013 compared to the same periods of 2012 was primarily due to the impact of our acquisition of Pure Commerce and increased costs to support the growth in ATMs under management. As a percentage of revenues, these expenses decreased to 7.5% for the second quarter and 8.3% for the first half of 2013 from 8.6% for the second quarter and 9.2% for the first half of 2012, primarily due to the growth in revenues earned from DCC and value added services on our ATMs under management, which require minimal incremental support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Depreciation and amortization expense increased for the second quarter and first half of 2013 compared to the same periods of 2012, primarily due to the amortization of intangible assets related to the acquisition of Pure Commerce and the increase in ATMs under management. As a percentage of revenues, depreciation and amortization expense decreased slightly to 10.6% for the second quarter of 2013 from 10.8% for the same period of 2012, mainly due to the growth in revenues from DCC and value added services on our ATMs under management. For the first half of 2013, as a percentage of revenues, depreciation and amortization expense increased to 11.8% from 11.3% for the first half of 2012. This increase was primarily due to the impact of our acquisition of Pure Commerce.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Operating income increased for the second quarter and first half of 2013 compared to the same periods of 2012, primarily due to an increase in the number of ATMs under management and growth in revenues earned from DCC and value added services, and the increase in transaction volume on brown label ATMs in India. These increases were partly offset by the amortization of intangible assets related to the acquisition of Pure Commerce. Operating income per transaction was $0.05 for the second quarter and $0.04 for the first half of 2013 compared to $0.04 for the second quarter and $0.03 for the first half of 2012. Operating income as a percentage of revenues (“operating margin”) increased to 20.7% for the second quarter and 15.9% for the first half of 2013 from</w:t>
      </w:r>
    </w:p>
    <w:p>
      <w:pPr>
        <w:spacing w:after="0" w:line="2"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17.7% for the second quarter and 15.1% for the first half of 2012. Theses increases were primarily due to the increase in revenues earned from DCC and value added services on our ATMs under management, partly offset by the increases in amortization expense discussed above.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six-month periods ended June 30, 2013 and 2012 for our epay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4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(Decrease)Amount</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43"/>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176,663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166,671</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9,992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366,238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343,014</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23,224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Direct operating costs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135,402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127,993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7,409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282,059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263,186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18,873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1,959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2,790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Selling, general and</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3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2100" w:type="dxa"/>
            <w:vAlign w:val="bottom"/>
            <w:gridSpan w:val="2"/>
          </w:tcPr>
          <w:p>
            <w:pPr>
              <w:ind w:left="380"/>
              <w:spacing w:after="0"/>
              <w:rPr>
                <w:sz w:val="20"/>
                <w:szCs w:val="20"/>
                <w:color w:val="auto"/>
              </w:rPr>
            </w:pPr>
            <w:r>
              <w:rPr>
                <w:rFonts w:ascii="Arial" w:cs="Arial" w:eastAsia="Arial" w:hAnsi="Arial"/>
                <w:sz w:val="18"/>
                <w:szCs w:val="18"/>
                <w:color w:val="auto"/>
              </w:rPr>
              <w:t>Total operating</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38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164,154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156,681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7,473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339,076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319,823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19,253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2,519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3,971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ind w:left="180"/>
              <w:spacing w:after="0"/>
              <w:rPr>
                <w:sz w:val="20"/>
                <w:szCs w:val="20"/>
                <w:color w:val="auto"/>
              </w:rPr>
            </w:pPr>
            <w:r>
              <w:rPr>
                <w:rFonts w:ascii="Arial" w:cs="Arial" w:eastAsia="Arial" w:hAnsi="Arial"/>
                <w:sz w:val="18"/>
                <w:szCs w:val="18"/>
                <w:color w:val="auto"/>
                <w:w w:val="99"/>
              </w:rPr>
              <w:t>Transactions processed</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increase in revenues for the second quarter and first half of 2013 compared to the same periods of 2012 was primarily due to an increase in the number of prepaid mobile transactions processed in the U.S., increased demand for non-mobile products in Germany, an increase in voucher redemptions and physical gift fulfillments at our cadooz subsidiary, and the impact of our acquisition of ezi-pay Limited ("ezi-pay") in November 2012. These increases were partly offset by revenue declines in Australia and the U.K. as a result of certain mobile operators modifying their distribution strategies to drive consumer demand for top-up services to on-line or mobile device channels and competitive pressures.</w:t>
      </w:r>
    </w:p>
    <w:p>
      <w:pPr>
        <w:spacing w:after="0" w:line="6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certain markets, our revenue growth has slowed due to mobile operators modifying their distribution strategies to drive consumer demand for top-up services to on-line or mobile device channels, as well as overall economic conditions impacting customers' buying decisions. We expect most of our future revenue growth to be derived from: (i) additional electronic payment products sold over the base of POS terminals, (ii) valued added services, (iii) developing markets or markets in which there is organic growth in the electronic top-up sector overall, and (iv) acquisitions, if available and commercially appropriate.</w:t>
      </w:r>
    </w:p>
    <w:p>
      <w:pPr>
        <w:spacing w:after="0" w:line="4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Revenues per transaction were $0.63 for the second quarter and $0.65 for the first half of 2013 compared to $0.61 for the second quarter and $0.64 for the first half of 2012. The increase in revenues per transaction were mainly due to the impact of increased transaction volume at our cadooz subsidiary, where revenues are recorded at gross value, in contrast to our other electronic payment products which are recorded at net value. This increase was partly offset by a shift in the mix of transactions, particularly due to growth in India, where revenues per transaction are considerably lower than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Direct operating costs in the epay Segment include the commissions we pay to retail merchants for the distribution and sale of prepaid mobile airtime and other prepaid products, as well as expenses required to operate POS terminals, and the cost of vouchers sold and physical gifts fulfilled. The increase in direct operating costs for the second quarter and first half of 2013 compared to the same periods of 2012 was primarily due to the growth in transactions processed in the U.S. and Germany, increased voucher redemptions and physical gifts fulfilled at our cadooz subsidiary and the impact of our acquisition of ezi-pay. The increase for the second quarter of 2013 compared to the same period of 2012 was also due to increased commissions costs in Brazil. These increases were partly offset by the decrease in the number of transactions processed in Australia and the U.K.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Gross profit, which represents revenues less direct costs, was $41.3 million for the second quarter and $84.2 million for the first half of 2013 compared to</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$38.7 million for the second quarter and $79.8 million for the first half of 2012. The increase in gross profit was primarily due to the increase in transactions processed in Germany, mainly from increased demand for non-mobile products, the U.S. and at our cadooz subsidiary, along with the impact of our acquisition of ezi-pay. These increases were partly offset by the decrease in transactions processed in Australia and the U.K. and an increase in commissions costs in Brazil. Gross profit per transaction increased slightly to $0.15 for the second quarter of 2013 from $0.14 for the second quarter of 2012, primarily due to the growth in revenues at our cadooz subsidiary. Gross profit per transaction was unchanged at $0.15 for the first half of 2013 and 2012.</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salaries and benefits for the second quarter and first half of 2013 compared to the same periods of 2012 was primarily due to an increase in staff in Germany, in the U.S. and at our cadooz subsidiary to support the increases in transactions processed discussed above and the impact of our acquisition of ezi-pay. These increases were partly offset by decreases in salaries and benefits in Brazil in response to decreases in revenues. As a percentage of revenues, salaries and benefits increased to 8.1% for the second quarter and 7.8% for the first half of 2013 from and 7.5% for both the second quarter and first half of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decrease in selling, general and administrative expenses for the second quarter and first half of 2013 compared to the same periods of 2012 was primarily due to a decrease in bad debt expense in the second quarter of 2013, partly offset by the impact of our acquisition of ezi-pay. As a percentage of revenues, selling, general and administrative expenses decreased to 5.9% for the second quarter and 5.5% for the first half of 2013 from 6.7% for the second quarter and 6.1% for the first half of 2012, primarily due the decrease in bad debt expense and the increase in revenues in the U.S., in Germany, and at our cadooz subsidiary, which did not require similar increases in support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decreased for the second quarter and first half of 2013 compared to the same periods of 2012. As a percentage of revenues, these expenses decreased to 2.3% for both the second quarter and first half of 2013 from 3.0% for the second quarter and first half of 2012. These decreases were the result of certain acquired intangible assets becoming fully amortized during 2012 and first quarter of 2013, partly offset by the impact of our acquisition of ezi-pay discussed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Operating income increased by $2.5 million for the second quarter and $4.0 million for the first half of 2013 compared to the same periods of 2012, primarily due to the growth in transactions processed in Germany, in the U.S., and at our cadooz subsidiary, along with the operating income from ezi-pay and the impact of certain acquired intangible assets becoming fully amortized during 2012 and the first quarter of 2013. These increases were partly offset by declines in revenues and transactions processed in Australia and the U.K. and increased commission costs in Brazil. Operating margin was 7.1% for the second quarter and 7.4% for the first half of 2013 compared to 6.0% for the second quarter and 6.8% for the first half of 2012. These increases were primarily due to the increase in revenues per transaction discussed above, along with the decrease in amortization expense. Operating income per transaction remained unchanged at $0.04 for both the second quarter of 2013 and 2012, while it increased to $0.05 for the first half of 2013 from $0.04 for the first half of 2012.</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results of operations for the three- and six-month periods ended June 30, 2013 and 2012 for the Money Transfer Segment: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36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14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(Decrease)Percent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77,483</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15,874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176,260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148,918</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27,342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Direct operating costs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36,438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8,523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14,990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18,442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2,955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4,864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34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11,291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2,462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3,772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300" w:type="dxa"/>
            <w:vAlign w:val="bottom"/>
            <w:gridSpan w:val="2"/>
          </w:tcPr>
          <w:p>
            <w:pPr>
              <w:ind w:left="380"/>
              <w:spacing w:after="0"/>
              <w:rPr>
                <w:sz w:val="20"/>
                <w:szCs w:val="20"/>
                <w:color w:val="auto"/>
              </w:rPr>
            </w:pPr>
            <w:r>
              <w:rPr>
                <w:rFonts w:ascii="Arial" w:cs="Arial" w:eastAsia="Arial" w:hAnsi="Arial"/>
                <w:sz w:val="18"/>
                <w:szCs w:val="18"/>
                <w:color w:val="auto"/>
              </w:rPr>
              <w:t>Total operating</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38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70,809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13,765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161,435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137,946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23,489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2,109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3,853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increase in revenues for the second quarter and first half of 2013 compared to the same periods of 2012 was primarily due to an increase in the number of transactions processed and growth in other products such as mobile top-up, check cashing, bill payment and money order transactions. The increase in transactions processed was driven by a 22% and 20% increase in money transfers, including a 26% and 25% increase in transfers from the U.S. and a 15% and 13% increase in transfers from non-U.S. markets in the second quarter and first half of 2013 compared to the same periods of 2012, respectively. The increase in the number of money transfers processed from both the U.S. and non-U.S. markets was due to the expansion of our agent and correspondent payout networks.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per transaction increased slightly to $10.49 for the second quarter of 2013 from $10.47 for the second quarter of 2012. The increase is primarily due to the growth rate of money transfer transactions exceeding the growth rate of non-money transfer services, which earn higher revenues per transaction than non-money transfer services. This increase was partly offset by a shift in the percentage of transactions processed to U.S. locations, which earn lower revenues per transaction than non-U.S. locations. For both the second quarter and first half of 2013, 61% of our money transfers were initiated in the U.S. and 39% in non-U.S. markets compared to 59% initiated in the U.S. and 41% in non-U.S. markets for both the second quarter and first half of 2012. Revenues per transaction decreased to $10.37 for the first half of 2013 from $10.49 for the first half of 2012, primarily due to the shift in the percentage of transactions processed to U.S. locations discussed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who originate money transfers on our behalf and correspondent agents who disburse funds to the customers’ destination beneficiary, together with less significant costs, such as bank depository fees. The increase in direct operating costs in the second quarter and first half of 2013 compared to the same periods of 2012 was primarily due to the growth in money transfer transactions processed.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profit, which represents revenues less direct costs, was $48.4 million for the second quarter and $91.6 million for the first half of 2013 compared to $41.0 million for the second quarter and $79.3 million for the first half of 2012. These increases in gross profit were primarily due to the growth in money transfer transactions and other services such as mobile top-up, check cashing, bill payment and money order transactions. Gross margin was 52% for both the second quarter and first half of 2013 compared to 53% in the same periods of 2012. The decrease was primarily due to a shift in the percentage of transactions processed to U.S. locations, which earn lower revenues and gross profit per transaction than non-U.S. locations.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salaries and benefits for the second quarter and first half of 2013 compared to the same periods of 2012 was primarily due an increase in headcount to support the expansion of our operations both in the U.S and internationally and increased bonus expense related to improved results. As a percentage of revenues, salaries and benefits decreased to 22.9% for the second quarter and 23.5% for the first half of 2013 from 23.8% for the second quarter and 24.6% for the first half of 2012. These decreases were primarily due to the growth in the number of money transfers processed discussed above, which did not require similar increases in support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increased for the second quarter and first half of 2013 compared to the same periods of 2012, primarily due to increased expenditures we incurred to support expansion of our operations and products, both in the U.S. and internationally, and the impact of increased legal expense. As a percentage of revenues, selling, general and administrative expenses increased slightly to 14.7% for the second quarter of 2013 from 14.6% for the second quarter of 2012. For the first half of 2013, as a percentage of revenues, selling, general and administrative expenses decreased slightly to 14.8% from 15.0% for the first half of 2012.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For the second quarter and first half of 2013, depreciation and amortization decreased slightly compared to the same periods of 2012. As a percentage of revenues, depreciation and amortization decreased to 4.8% for the second quarter and 5.2% for the first half of 2013 from 6.0% for the second quarter and 6.3% for the first half of 2012. These decreases were primarily due to certain acquired intangibles that became fully amortized in the first quarter of 2013 and the growth in the number of money transfers processed discussed above, which did not require similar increases in support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income increased by 32% for the second quarter and 35% for the first half of 2013 compared to the same periods of 2012, primarily due to the growth in transactions processed discussed above. As a result, operating margin increased to 9.4% for the second quarter and 8.4% for the first half of 2013 from 8.6% for the second quarter and 7.4% for the first half of 2012. Operating income per transaction increased to $0.99 for the second quarter and $0.87 for the first half of 2013 from $0.90 for the second quarter and $0.77 for the first half of 2012, primarily due to growth in the number of money transfers processed discussed above, which did not require similar increases in support costs.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six-month periods ended June 30, 2013 and 2012 for Corporate Services: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6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868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11,011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445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5,106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1,479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8,443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1,292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16,593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14,840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1,753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Overall, operating expenses for Corporate Services increased for the second quarter and first half of 2013 compared to the same periods of 2012 due to an increase in salaries and benefits and selling, general and administrative expenses. The increase in salaries and benefits for the second quarter of 2013 compared to the same period of 2012 was due to an increase in share-based compensation expense. The increase in salaries and benefits for the first half of 2013 compared to the same period of 2012 was due to an increase in bonus expense, related to improved results, partly offset by a decrease in share-based compensation expense during the first quarter of 2013. The increases in selling, general and administrative expenses for the second quarter and first half of 2013 compared to the same periods of 2012 was primarily due to an increase in professional fees. For the second quarter and first half of 2013 compared to the same periods of 2012, depreciation and amortization expense decreased slightly.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202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Pr>
          <w:p>
            <w:pPr>
              <w:spacing w:after="0"/>
              <w:rPr>
                <w:sz w:val="12"/>
                <w:szCs w:val="12"/>
                <w:color w:val="auto"/>
              </w:rPr>
            </w:pPr>
          </w:p>
        </w:tc>
        <w:tc>
          <w:tcPr>
            <w:tcW w:w="7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3,004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(11,059)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5,625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21"/>
                <w:szCs w:val="21"/>
                <w:color w:val="auto"/>
              </w:rPr>
            </w:pPr>
          </w:p>
        </w:tc>
        <w:tc>
          <w:tcPr>
            <w:tcW w:w="104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Foreign currency exchange gain</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252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22"/>
                <w:szCs w:val="22"/>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2"/>
                <w:szCs w:val="22"/>
                <w:color w:val="auto"/>
              </w:rPr>
            </w:pPr>
          </w:p>
        </w:tc>
        <w:tc>
          <w:tcPr>
            <w:tcW w:w="104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interest income for the second quarter and first half of 2013 compared to the same periods of 2012 was primarily due to less interest earned in Australia, Brazil, and India. The decrease in interest income in Australia was primarily due to less interest earned on overnight deposits, as a result of a decrease in revenue during the second quarter and first half of 2013. The decrease in interest income in Brazil and India was primarily due to holding less cash in interest earning accounts, as a result of increased working capital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decrease in interest expense for the second quarter and first half of 2013 compared to the same periods of 2012 was primarily related to the Company's repurchase of $167.9 million of our convertible debentures in October 2012. This decrease was partly offset by an increase in amounts outstanding under the credit facility during the first half of 2013, primarily due to borrowings to fund a portion of the convertible debenture repurchase during the fourth quarter of 2012.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Income from unconsolidated affiliates primarily represents the equity in income of our 40% equity investment in epay Malaysia. The decrease in income from unconsolidated affiliates was due to decreased profitability at epay Malaysia during the second quarter and first half of 2013 compared to the same periods of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net</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January 2012, our acquisition of the remaining 51% interest of Euronet Middle East W.L.L. resulted in Euronet obtaining control of the entity, which was considered a business combination. Accordingly, we valued the assets and liabilities at fair value, which resulted in a $4.4 million gain on the 49% interest previously owned. In the second quarter of 2013, we recorded a $0.4 million impairment charge to an investment in an unconsolidated subsidiary.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which are not long-term in nature,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recognized by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recorded a net foreign currency exchange gain of $1.5 million in the second quarter and a net foreign currency exchange loss of $0.2 million in the first half of 2013 compared to a net foreign currency exchange loss of $4.8 million in the second quarter and $2.7 million in the first half of 2012. These realized and unrealized foreign currency exchange gains and losses reflect the respective weakening and strengthening of the U.S. dollar against the currencies of the countries in which we operate during the respective periods.</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2012</w:t>
            </w: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26,826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10,913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42,042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29,378</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(8,661)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(11,817)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(10,554)</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18,165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5,726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30,225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18,824</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6"/>
        </w:trPr>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64"/>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11"/>
        </w:trPr>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26,826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10,913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42,042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29,378</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Adjust: Foreign currency exchange gain (loss), net</w:t>
            </w:r>
          </w:p>
        </w:tc>
        <w:tc>
          <w:tcPr>
            <w:tcW w:w="32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(4,792)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(2,656)</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Other (expenses)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4,171</w:t>
            </w:r>
          </w:p>
        </w:tc>
      </w:tr>
      <w:tr>
        <w:trPr>
          <w:trHeight w:val="297"/>
        </w:trPr>
        <w:tc>
          <w:tcPr>
            <w:tcW w:w="6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25,778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15,859</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42,695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27,863</w:t>
            </w:r>
          </w:p>
        </w:tc>
      </w:tr>
      <w:tr>
        <w:trPr>
          <w:trHeight w:val="311"/>
        </w:trPr>
        <w:tc>
          <w:tcPr>
            <w:tcW w:w="6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(8,661)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(5,187)</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(11,817)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(10,554)</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Adjust: Income tax benefit attributable to foreign currency exchange (loss) gain,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6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w:t>
            </w:r>
          </w:p>
        </w:tc>
      </w:tr>
      <w:tr>
        <w:trPr>
          <w:trHeight w:val="297"/>
        </w:trPr>
        <w:tc>
          <w:tcPr>
            <w:tcW w:w="6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 as adjusted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(5,333)</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(11,583)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(10,617)</w:t>
            </w:r>
          </w:p>
        </w:tc>
      </w:tr>
      <w:tr>
        <w:trPr>
          <w:trHeight w:val="311"/>
        </w:trPr>
        <w:tc>
          <w:tcPr>
            <w:tcW w:w="6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 as adjusted</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effective income tax rates were 32.3% and 47.5% for the second quarter of 2013 and 2012, respectively, and 28.1% and 35.9% for the first half of 2013 and 2012, respectively. The effective tax rates were significantly influenced by the foreign currency exchange gain in the second quarter of 2013 and the foreign currency exchange loss in the second quarter and first half of 2012. Other non-operating income significantly increased the effective tax rate for the six-month period ending June 30, 2012. Excluding foreign currency exchange gains (losses) and other non-operating income (expense) from pre-tax income, as well as the related tax effects for these items, the Company's effective tax rates were 33.8% and 33.6% for the second quarter of 2013 and 2012, respectively, and 27.1% and 38.1% for the first half of 2013 and 2012, respectively.</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effective tax rate, as adjusted, for the second quarter 2013 was lower than the applicable statutory tax rate of 35% primarily because of the Company's U.S. income tax positions. Our effective tax rate, as adjusted, for the first half of 2013 was lower than the applicable statutory tax rate of 35% primarily because of the Company's U.S. income tax positions and changes in the reserve for uncertain tax benefits. The Company does not have a history of significant taxable income in the U.S., therefore, the Company has recorded a valuation allowance against the prior tax net operating losses. Accordingly, in instances when the Company's U.S. legal entities generate pre-tax book income, no income tax expense is recognized to the extent there are net operating loss carryforwards to offset pre-tax book income.</w:t>
      </w:r>
    </w:p>
    <w:p>
      <w:pPr>
        <w:spacing w:after="0" w:line="19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There was no material change in the effective tax rate, as adjusted, for the second quarter of 2013 compared to the same period of 2012. The decrease in the effective tax rate, as adjusted, for the first half of 2013 compared to the same period of 2012 was primarily because of the Company's U.S. income tax positions and changes in the reserve for uncertain tax benefits. During the first quarter of 2013, the Company recorded a $2.2 million decrease in the reserve for uncertain tax benefits related to the closure of an income tax audit in Germany, resulting in a decrease in income tax expense.</w:t>
      </w:r>
    </w:p>
    <w:p>
      <w:pPr>
        <w:spacing w:after="0" w:line="15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Income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China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Pakistan</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Services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Russia</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Movilcarga</w:t>
            </w: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Universal Solutions Partners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EFT - UAE</w:t>
            </w:r>
          </w:p>
        </w:tc>
        <w:tc>
          <w:tcPr>
            <w:tcW w:w="0" w:type="dxa"/>
            <w:vAlign w:val="bottom"/>
          </w:tcPr>
          <w:p>
            <w:pPr>
              <w:spacing w:after="0"/>
              <w:rPr>
                <w:sz w:val="1"/>
                <w:szCs w:val="1"/>
                <w:color w:val="auto"/>
              </w:rPr>
            </w:pPr>
          </w:p>
        </w:tc>
      </w:tr>
      <w:tr>
        <w:trPr>
          <w:trHeight w:val="27"/>
        </w:trPr>
        <w:tc>
          <w:tcPr>
            <w:tcW w:w="7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 WORLDWIDE, INC.</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income attributable to Euronet Worldwide, Inc. was $18.1 million for the second quarter and $30.1 million for the first half of 2013 compared to $5.7 million for the second quarter and $18.9 million for the first half of 2012. As more fully discussed above, the increase in net income of $11.2 million for the</w:t>
      </w:r>
    </w:p>
    <w:p>
      <w:pPr>
        <w:sectPr>
          <w:pgSz w:w="11900" w:h="16838" w:orient="portrait"/>
          <w:cols w:equalWidth="0" w:num="1">
            <w:col w:w="11420"/>
          </w:cols>
          <w:pgMar w:left="240" w:top="125" w:right="239" w:bottom="0" w:gutter="0" w:footer="0" w:header="0"/>
        </w:sectPr>
      </w:pPr>
    </w:p>
    <w:bookmarkStart w:id="29" w:name="page30"/>
    <w:bookmarkEnd w:id="29"/>
    <w:p>
      <w:pPr>
        <w:ind w:right="120"/>
        <w:spacing w:after="0" w:line="259" w:lineRule="auto"/>
        <w:rPr>
          <w:sz w:val="20"/>
          <w:szCs w:val="20"/>
          <w:color w:val="auto"/>
        </w:rPr>
      </w:pPr>
      <w:r>
        <w:rPr>
          <w:rFonts w:ascii="Arial" w:cs="Arial" w:eastAsia="Arial" w:hAnsi="Arial"/>
          <w:sz w:val="18"/>
          <w:szCs w:val="18"/>
          <w:color w:val="auto"/>
        </w:rPr>
        <w:t>first half of 2013 as compared to the same period in 2012 was primarily the result of an increase in operating income of $11.3 million, an increase in foreign currency exchange gain of $2.4 million and a decrease in interest expense of $5.6 million. Theses increases were partly offset by a decrease in non-operating gains of $4.6 million, an increase in income tax expense of $1.3 million and a decrease in interest income of $1.7 million. Other non-operating items decreased net income by $0.5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June 30, 2013 and December 31, 2012, we had working capital, which is calculated as the difference between total current assets and total current liabilities, of $102.3 million and $116.5 million, respectively. Our ratio of current assets to current liabilities at June 30, 2013 and December 31, 2012 were 1.16 and 1.17, respectively.</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As of June 30, 2013, working capital in the Money Transfer Segment was $86.7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had cash and cash equivalents of $189.9 million at June 30, 2013, of which $135.8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Cash flows provided by operating activities were $51.2 million for the first half of 2013 compared to $61.0 million for the first half of 2012. The decrease is primarily due to fluctuations in working capital mainly associated with the timing of the settlement processes with mobile operators in the epay Segment and with correspondents in the Money Transfer Segment, partly offset by improved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Cash flows used in investing activities were $48.8 million for the first half of 2013 compared to $32.4 million for the first half of 2012. During the first half of 2013, we used $30.8 million for acquisitions compared to $5.8 million for the first half of 2012. Purchases of property and equipment used $16.1</w:t>
      </w:r>
    </w:p>
    <w:p>
      <w:pPr>
        <w:ind w:right="480"/>
        <w:spacing w:after="0" w:line="261" w:lineRule="auto"/>
        <w:rPr>
          <w:sz w:val="20"/>
          <w:szCs w:val="20"/>
          <w:color w:val="auto"/>
        </w:rPr>
      </w:pPr>
      <w:r>
        <w:rPr>
          <w:rFonts w:ascii="Arial" w:cs="Arial" w:eastAsia="Arial" w:hAnsi="Arial"/>
          <w:sz w:val="18"/>
          <w:szCs w:val="18"/>
          <w:color w:val="auto"/>
        </w:rPr>
        <w:t>million and $24.8 million of cash for the first half of 2013 and 2012, respectively. Additionally, cash used for software development and other investing activities totaled $1.9 million for the first half of 2013 compared to $1.8 million for the first half of 2012.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Cash flows used in financing activities were $9.5 million for the first half of 2013 compared to $20.0 million for the first half of 2012. Our financing activities for the first half of 2013 consisted of net repayments of debt obligations of $5.0 million compared to $19.7 million for the first half of 2012.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As a result, during the first half of 2013 we had a total of $1,009.9 million in borrowings and $1,011.8 million in repayments under the revolving credit facility. During the first half of 2013, we used $7.9 million for the acquisition of subsidiary shares from a holder of noncontrolling interests. Additionally, for the first half of 2013 and 2012, we paid $1.4 million for capital lease obligations. Further, we received $4.9 million and $1.9 million during the first half of 2013 and 2012, respectively, for the issuance of common shares in connection with our Stock Incentive Plan.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June 30, 2013, we have a $480 million Credit Facility consisting of a $390 million revolving credit facility, a $10 million India revolving credit facility and an $80 million term loan. The revolving credit facility allows for borrowings in U.S. dollars, euro, British pound sterling, Australian dollars and/or Indian rupees.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$390 million revolving credit facility contains a $200 million sublimit for the issuance of letters of credit and a $25 million sublimit for swingline loans. We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 Subject to certain conditions, we have the option to increase the Credit Facility by up to an additional $80 million by requesting additional commitments from existing or new lenders.</w:t>
      </w:r>
    </w:p>
    <w:p>
      <w:pPr>
        <w:spacing w:after="0" w:line="8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Fees and interest on borrowings vary based upon the Company's consolidated total leverage ratio (as defined in the Amended and Restated Credit Agreement governing the Credit Facility) and will be based, in the case of letter of credit fees, on a margin, and in the case of interest, on a margin over London Inter-Bank Offered Rate ("LIBOR") or a margin over the base rate, as selected by us, with the applicable margin ranging from 1.5% to 2.5% (or 0.5% to 1.5% for base rate loans). The base rate is the highest of (i) the Bank of America prime rate, (ii) the Federal Funds rate plus 0.50% or (iii) the Fixed LIBOR rate plus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1.00%. The term loan is subject to scheduled quarterly amortization payments, as set forth in the Amended and Restated Credit Agreement. The maturity date for the Credit Facility is August 18, 2016, at which time the outstanding principal balance and all accrued interest will be due and payable in full. Financing costs of $5.5 million are being amortized over the terms of the respective loans.</w:t>
      </w:r>
    </w:p>
    <w:p>
      <w:pPr>
        <w:spacing w:after="0" w:line="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June 30, 2013, we had borrowings of $71.5 million outstanding under the term loan. We had $213.1 million of borrowings and $42.2 million of stand-by letters of credit outstanding under the revolving credit facility as of June 30, 2013. The remaining $144.7 million under the revolving credit facility was available for borrowing. As of June 30, 2013, our weighted average interest rates under the revolving credit facility and term loan were 2.0 and 1.9%, respectively, excluding amortization of deferred financing costs.</w:t>
      </w:r>
    </w:p>
    <w:p>
      <w:pPr>
        <w:spacing w:after="0" w:line="7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u w:val="single" w:color="auto"/>
          <w:color w:val="auto"/>
        </w:rPr>
        <w:t>Short-term debt obligations</w:t>
      </w:r>
      <w:r>
        <w:rPr>
          <w:rFonts w:ascii="Arial" w:cs="Arial" w:eastAsia="Arial" w:hAnsi="Arial"/>
          <w:sz w:val="17"/>
          <w:szCs w:val="17"/>
          <w:color w:val="auto"/>
        </w:rPr>
        <w:t xml:space="preserve"> — Short-term debt obligations at June 30, 2013 were primarily comprised of $7.5 million of payments due in the next twelve months under the term loan. Certain of our subsidiaries also have available credit lines and overdraft facilities to supplement short-term working capital requirements, when necessary, and there was $1.0 million outstanding under these facilities as of June 30, 2013.</w:t>
      </w:r>
    </w:p>
    <w:p>
      <w:pPr>
        <w:spacing w:after="0" w:line="5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As of June 30, 2013, the $3.6 million in principal amount of 3.50% Convertible Debentures Due 2025 is convertible into 88,587 shares of Euronet common stock at a conversion price of $40.48 per share upon the occurrence of certain events (relating to the closing prices of Euronet common stock exceeding certain thresholds for specified periods). The debentures are redeemable by the Company at par at any time; holders of the debentures have the option to require us to purchase their debentures at par on October 15, 2015 or 2020, or upon a change in control of the Company. On the maturity date, these debentures can be settled in cash or Euronet common stock, at our option, at predetermined conversion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u w:val="single" w:color="auto"/>
          <w:color w:val="auto"/>
        </w:rPr>
        <w:t>Debt and equity repurchases</w:t>
      </w:r>
      <w:r>
        <w:rPr>
          <w:rFonts w:ascii="Arial" w:cs="Arial" w:eastAsia="Arial" w:hAnsi="Arial"/>
          <w:sz w:val="17"/>
          <w:szCs w:val="17"/>
          <w:color w:val="auto"/>
        </w:rPr>
        <w:t xml:space="preserve"> — In August 2011, our Board of Directors authorized the repurchase of any of our convertible debentures and up to $100 million or 5 million shares of our Common Stock. As of June 30, 2013, the Company has the option to repurchase 2.0 million shares of our Common Stock or $41.1 million under this authorization. There were no repurchases of Common Stock under this authorization during the first half of 2013.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 portion of the net assets acquired in the acquisition of Pure Commerce includes a liability for additional purchase price consideration up to 30 million Australian dollars, payable in cash and Euronet Common Stock, based upon achieving certain performance conditions for the twelve month period ending in December 2013. As of June 30, 2013, the estimated fair value of the contingent consideration is $18.9 million.</w:t>
      </w:r>
    </w:p>
    <w:p>
      <w:pPr>
        <w:spacing w:after="0" w:line="7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u w:val="single" w:color="auto"/>
          <w:color w:val="auto"/>
        </w:rPr>
        <w:t>Capital expenditures and needs</w:t>
      </w:r>
      <w:r>
        <w:rPr>
          <w:rFonts w:ascii="Arial" w:cs="Arial" w:eastAsia="Arial" w:hAnsi="Arial"/>
          <w:sz w:val="17"/>
          <w:szCs w:val="17"/>
          <w:color w:val="auto"/>
        </w:rPr>
        <w:t xml:space="preserve"> — Total capital expenditures for the first half of 2013 were $17.0 million. These capital expenditures were used primarily for the purchase of ATMs in Poland and India, as well as for office, data center and company store computer equipment and software, and POS terminals for the epay Segment. Total capital expenditures for 2013 are currently estimated to be approximately $35 million to $45 million.</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epay Segment, approximately 108,000 of the approximately 689,000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Euronet has no direct investments in European sovereign debt, we are indirectly exposed to its risks. Many of the customers of our EFT Processing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and money transfer networks, resulting in lower revenue.</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Australia and U.K. epay businesses have experienced revenue declines as a result of changes in the distribution strategies of certain mobile operators. Continued competitive pressures in these markets may negatively impact the epay Segment's profitability in the near term and it is possible that the goodwill or acquired intangible assets of these reporting units could become impaired. As of June 30, 2013, the carrying value of goodwill and acquired intangible assets for our Australia and U.K. epay reporting units were $12.5 million and $12.2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2013, there were no material changes from the disclosure in our Annual Report on Form 10-K for the year ended December 31, 2012. To date, we are not aware of any significant claims made by the indemnified parties or parties to whom we have provided guarantees on behalf of our subsidiaries and, accordingly, no liabilities have been recorded as of June 30, 2013. See also Note 10,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2013, there have been no material changes outside the ordinary course of the Company's business from the disclosures relating to contractual obligations contained in our Annual Report on Form 10-K for the year ended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but not limited to, statements regarding the following:</w:t>
      </w:r>
    </w:p>
    <w:p>
      <w:pPr>
        <w:spacing w:after="0" w:line="73"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Statements contained in this filing that relate to the future resolution of matters, including those relating to the security breach, are forward-looking statements. Euronet's actual results may vary materially from those anticipated in such forward-looking statements as a result of a number of factors, including the following: the amount of actual losses or liabilities that will be asserted by card associations are currently unknown and may be larger than would be anticipated; other costs, penalties and fines incurred by the Company may be greater than would be anticipated; the Company's insurance coverage may be insufficient to cover all costs, losses and liabilities; and the Company may suffer harm to its reputation and existing and prospective customer relationships as a result of the security breach.</w:t>
      </w:r>
    </w:p>
    <w:p>
      <w:pPr>
        <w:spacing w:after="0" w:line="8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foreign currency exchange rate fluctuations; the effects of any potential future security breaches; our ability to renew existing contracts at profitable rates; changes in fees payable for transactions performed for cards bearing international logos or over switching networks such as card transactions on ATMs; changes in laws and regulations affecting our business, including immigration laws; changes in our relationships with, or in fees charged by, our</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business partners; competition; the outcome of claims and other loss contingencies affecting the Company; and those referred to above and as set forth and more fully described in Part I, Item 1A — Risk Factors of our Annual Report on Form 10-K for the year ended December 31, 2012. All forward-looking statements made in this Form 10-Q speak only as of the date of this report. We do not intend, and do not undertake, any obligation to update any forward looking statements to reflect future events or circumstances after the date of such statements.</w:t>
      </w:r>
    </w:p>
    <w:p>
      <w:pPr>
        <w:spacing w:after="0" w:line="167"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jc w:val="both"/>
        <w:ind w:right="180"/>
        <w:spacing w:after="0" w:line="259" w:lineRule="auto"/>
        <w:rPr>
          <w:sz w:val="20"/>
          <w:szCs w:val="20"/>
          <w:color w:val="auto"/>
        </w:rPr>
      </w:pPr>
      <w:r>
        <w:rPr>
          <w:rFonts w:ascii="Arial" w:cs="Arial" w:eastAsia="Arial" w:hAnsi="Arial"/>
          <w:sz w:val="18"/>
          <w:szCs w:val="18"/>
          <w:color w:val="auto"/>
        </w:rPr>
        <w:t>As of June 30, 2013, our total debt outstanding was $295.6 million. Of this amount, $285.7 million, or 97%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$4.3 million.</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remaining $9.9 million, or 3% of our total debt obligations, relates to contingent convertible debentures having a fixed coupon rate and obligations under capital leases. The $3.6 million principal amount of contingent convertible debentures, issued in October 2005, accrue cash interest at a rate of 3.50% of the principal amount per annum. Based on quoted market prices, as of June 30, 2013, the fair value of our fixed rate convertible debentures was $3.6 million, compared to a carrying value of $3.6 million. Additionally, approximately $6.3 million relates to capitalized leases with fixed payment and interest terms that expire between 2013 and 2017.</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three- and six-month periods ended June 30, 2013, 74%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Brazilian real and Indian rupee. As of June 30, 2013, we estimate that a 10% fluctuation in these foreign currency exchange rates would have the combined annualized effect on reported net income and working capital of approximately $30 million to $35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 $55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June 30, 2013, we had foreign currency forward contracts outstanding with a notional value of $123.9 million, primarily in Australian dollars, euros and Mexican pesos, that were not designated as hedges and mature in a weighted average of three days. The fair value of these forward contracts as of June 30, 2013 was an unrealized gain of $243 thousand, which was partly offset by the unrealized losses on the related foreign currency liabilities.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2013.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second quarter of 2013 that has materially affected, or is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Note 12, Litigation and Contingencies, to the unaudited consolidated financial statements in this report is incorporated herein by reference.</w:t>
      </w:r>
    </w:p>
    <w:p>
      <w:pPr>
        <w:spacing w:after="0" w:line="6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 or matter.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2012, as may be updated in our subsequent filings with the SEC, before making an investment decision. Our operations are subject to a number of risk and uncertainties, including the risks and uncertainties described in our Annual Report on Form 10-K, as may be updated by any subsequent Quarterly Reports on Form 10-Q.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Except as set forth below, there have been no material changes from the risk factors previously disclosed in the Company's Annual Report on Form 10-K for the year ended December 31, 2012 as filed with the SEC.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various mechanisms in place to discourage takeover attempts, which may reduce or eliminate our stockholders' ability to sell their shares for a premium in a change of control transaction.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Various provisions of our certificate of incorporation and bylaws and of Delaware corporate law may discourage, delay or prevent a change in control or takeover attempt of our company by a third party to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71" w:lineRule="exact"/>
        <w:rPr>
          <w:sz w:val="20"/>
          <w:szCs w:val="20"/>
          <w:color w:val="auto"/>
        </w:rPr>
      </w:pPr>
    </w:p>
    <w:p>
      <w:pPr>
        <w:ind w:left="660" w:right="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30, 2013, our stockholders ratified a three-year stockholders' rights agreement (the ''Rights Agreement'') entered into on March 26, 2013, between Euronet and Computershare Trust Company, N.A. as rights agent. The Rights Agreement replaces a previous rights agreement that expired on April 3, 2013. Pursuant to the Rights Agreement, holders of our Common Stock are entitled to purchase one one-hundredth (1/100) of a share (a ''Unit'') of Junior Preferred Stock at a price of $125.00 per Unit upon certain events (the "Right"). The purchase price is subject to appropriate adjustment for stock splits and other similar events. Generally, in the event a person or entity acquires, or initiates a tender offer to acquire, at least 20% of Euronet's then-outstanding Common Stock, the Rights will become exercisable for Common Stock having a value equal to two times the exercise price of the Right, or effectively at one-half of Euronet's then-current stock price. The existence of the Rights may discourage, delay or prevent a change of control or takeover attempt of our company by a third party that is opposed by our management and board of directors.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For the three months ended June 30, 2013, the Company purchased, in accordance with the 2006 Stock Incentive Plan (Amended and Restated), 30,642 shares of its common stock for payment of the exercise price of stock options and participant minimum income tax withholding, as requested by the participant.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those shares: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Average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2"/>
              </w:rPr>
              <w:t>Per Share (1)</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6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May 1 - May 31</w:t>
            </w:r>
          </w:p>
        </w:tc>
        <w:tc>
          <w:tcPr>
            <w:tcW w:w="1840" w:type="dxa"/>
            <w:vAlign w:val="bottom"/>
          </w:tcPr>
          <w:p>
            <w:pPr>
              <w:jc w:val="right"/>
              <w:ind w:right="44"/>
              <w:spacing w:after="0"/>
              <w:rPr>
                <w:sz w:val="20"/>
                <w:szCs w:val="20"/>
                <w:color w:val="auto"/>
              </w:rPr>
            </w:pPr>
            <w:r>
              <w:rPr>
                <w:rFonts w:ascii="Arial" w:cs="Arial" w:eastAsia="Arial" w:hAnsi="Arial"/>
                <w:sz w:val="18"/>
                <w:szCs w:val="18"/>
                <w:color w:val="auto"/>
              </w:rPr>
              <w:t>30,642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4"/>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22"/>
                <w:szCs w:val="22"/>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
              <w:spacing w:after="0"/>
              <w:rPr>
                <w:sz w:val="20"/>
                <w:szCs w:val="20"/>
                <w:color w:val="auto"/>
              </w:rPr>
            </w:pPr>
            <w:r>
              <w:rPr>
                <w:rFonts w:ascii="Arial" w:cs="Arial" w:eastAsia="Arial" w:hAnsi="Arial"/>
                <w:sz w:val="18"/>
                <w:szCs w:val="18"/>
                <w:color w:val="auto"/>
              </w:rPr>
              <w:t>1,993,601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shares repurchased for payment of the exercise price of stock options and participant minimum income tax withholding, the price paid per share is the closing price of the shares on the transaction date.</w:t>
      </w:r>
    </w:p>
    <w:p>
      <w:pPr>
        <w:spacing w:after="0" w:line="278" w:lineRule="exact"/>
        <w:rPr>
          <w:rFonts w:ascii="Arial" w:cs="Arial" w:eastAsia="Arial" w:hAnsi="Arial"/>
          <w:sz w:val="18"/>
          <w:szCs w:val="18"/>
          <w:color w:val="auto"/>
        </w:rPr>
      </w:pPr>
    </w:p>
    <w:p>
      <w:pPr>
        <w:ind w:right="18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authorized to repurchase up to $100 million or 5 million shares of its common stock through August 22, 2013. As of June 30, 2013, 2.0 million shares or $41.1 million of Common Stock remain available for repurchase under the repurchase program.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exhibits that are required to be filed or incorporated herein by reference are listed on the Exhibit Index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67" w:lineRule="exact"/>
        <w:rPr>
          <w:sz w:val="20"/>
          <w:szCs w:val="20"/>
          <w:color w:val="auto"/>
        </w:rPr>
      </w:pPr>
    </w:p>
    <w:p>
      <w:pPr>
        <w:ind w:left="300"/>
        <w:spacing w:after="0"/>
        <w:tabs>
          <w:tab w:leader="none" w:pos="59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Certificate of Incorporation of Euronet Worldwide, Inc., as amended (filed as Exhibit 3.2 to the Company's Current Report on Form 8-K filed on May 22, 2009 (File No. 001-31648), and incorporated herein by reference)</w:t>
      </w:r>
    </w:p>
    <w:p>
      <w:pPr>
        <w:spacing w:after="0" w:line="3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Amended and Restated Bylaws of Euronet Worldwide, Inc. (filed as Exhibit 3.1 to the Company's Current Report on Form 8-K filed on April 19, 2013 (File No. 001-31648), and incorporated herein by reference)</w:t>
      </w:r>
    </w:p>
    <w:p>
      <w:pPr>
        <w:spacing w:after="0" w:line="40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Euronet Worldwide, Inc. 2006 Stock Incentive Plan, as amended and restated (filed as Appendix A to the Company's Definitive Proxy Statement filed on April 15, 2013 (File No. 001-21648), and incorporated herein by reference)</w:t>
      </w:r>
    </w:p>
    <w:p>
      <w:pPr>
        <w:spacing w:after="0" w:line="200" w:lineRule="exact"/>
        <w:rPr>
          <w:sz w:val="20"/>
          <w:szCs w:val="20"/>
          <w:color w:val="auto"/>
        </w:rPr>
      </w:pPr>
    </w:p>
    <w:p>
      <w:pPr>
        <w:sectPr>
          <w:pgSz w:w="11900" w:h="16838" w:orient="portrait"/>
          <w:cols w:equalWidth="0" w:num="2">
            <w:col w:w="460" w:space="720"/>
            <w:col w:w="10200"/>
          </w:cols>
          <w:pgMar w:left="240" w:top="125" w:right="279" w:bottom="1440" w:gutter="0" w:footer="0" w:header="0"/>
          <w:type w:val="continuous"/>
        </w:sectPr>
      </w:pP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12.1</w:t>
            </w: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w w:val="97"/>
              </w:rPr>
              <w:t>Computation of Ratio of Earnings to Fixed Charges (1)</w:t>
            </w:r>
          </w:p>
        </w:tc>
      </w:tr>
      <w:tr>
        <w:trPr>
          <w:trHeight w:val="54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31.1</w:t>
            </w:r>
          </w:p>
        </w:tc>
        <w:tc>
          <w:tcPr>
            <w:tcW w:w="1300" w:type="dxa"/>
            <w:vAlign w:val="bottom"/>
          </w:tcPr>
          <w:p>
            <w:pPr>
              <w:ind w:left="420"/>
              <w:spacing w:after="0"/>
              <w:rPr>
                <w:sz w:val="20"/>
                <w:szCs w:val="20"/>
                <w:color w:val="auto"/>
              </w:rPr>
            </w:pPr>
            <w:r>
              <w:rPr>
                <w:rFonts w:ascii="Arial" w:cs="Arial" w:eastAsia="Arial" w:hAnsi="Arial"/>
                <w:sz w:val="18"/>
                <w:szCs w:val="18"/>
                <w:color w:val="auto"/>
                <w:w w:val="90"/>
              </w:rPr>
              <w:t>Section 302</w:t>
            </w:r>
          </w:p>
        </w:tc>
        <w:tc>
          <w:tcPr>
            <w:tcW w:w="3380" w:type="dxa"/>
            <w:vAlign w:val="bottom"/>
          </w:tcPr>
          <w:p>
            <w:pPr>
              <w:ind w:left="20"/>
              <w:spacing w:after="0"/>
              <w:rPr>
                <w:sz w:val="20"/>
                <w:szCs w:val="20"/>
                <w:color w:val="auto"/>
              </w:rPr>
            </w:pPr>
            <w:r>
              <w:rPr>
                <w:rFonts w:ascii="Arial" w:cs="Arial" w:eastAsia="Arial" w:hAnsi="Arial"/>
                <w:sz w:val="18"/>
                <w:szCs w:val="18"/>
                <w:color w:val="auto"/>
                <w:w w:val="94"/>
              </w:rPr>
              <w:t>— Certification of Chief Executive Officer (1)</w:t>
            </w:r>
          </w:p>
        </w:tc>
      </w:tr>
      <w:tr>
        <w:trPr>
          <w:trHeight w:val="54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31.2</w:t>
            </w:r>
          </w:p>
        </w:tc>
        <w:tc>
          <w:tcPr>
            <w:tcW w:w="1300" w:type="dxa"/>
            <w:vAlign w:val="bottom"/>
          </w:tcPr>
          <w:p>
            <w:pPr>
              <w:ind w:left="420"/>
              <w:spacing w:after="0"/>
              <w:rPr>
                <w:sz w:val="20"/>
                <w:szCs w:val="20"/>
                <w:color w:val="auto"/>
              </w:rPr>
            </w:pPr>
            <w:r>
              <w:rPr>
                <w:rFonts w:ascii="Arial" w:cs="Arial" w:eastAsia="Arial" w:hAnsi="Arial"/>
                <w:sz w:val="18"/>
                <w:szCs w:val="18"/>
                <w:color w:val="auto"/>
                <w:w w:val="90"/>
              </w:rPr>
              <w:t>Section 302</w:t>
            </w:r>
          </w:p>
        </w:tc>
        <w:tc>
          <w:tcPr>
            <w:tcW w:w="3380" w:type="dxa"/>
            <w:vAlign w:val="bottom"/>
          </w:tcPr>
          <w:p>
            <w:pPr>
              <w:ind w:left="20"/>
              <w:spacing w:after="0"/>
              <w:rPr>
                <w:sz w:val="20"/>
                <w:szCs w:val="20"/>
                <w:color w:val="auto"/>
              </w:rPr>
            </w:pPr>
            <w:r>
              <w:rPr>
                <w:rFonts w:ascii="Arial" w:cs="Arial" w:eastAsia="Arial" w:hAnsi="Arial"/>
                <w:sz w:val="18"/>
                <w:szCs w:val="18"/>
                <w:color w:val="auto"/>
                <w:w w:val="96"/>
              </w:rPr>
              <w:t>— Certification of Chief Financial Officer (1)</w:t>
            </w:r>
          </w:p>
        </w:tc>
      </w:tr>
      <w:tr>
        <w:trPr>
          <w:trHeight w:val="54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32.1</w:t>
            </w:r>
          </w:p>
        </w:tc>
        <w:tc>
          <w:tcPr>
            <w:tcW w:w="1300" w:type="dxa"/>
            <w:vAlign w:val="bottom"/>
          </w:tcPr>
          <w:p>
            <w:pPr>
              <w:ind w:left="420"/>
              <w:spacing w:after="0"/>
              <w:rPr>
                <w:sz w:val="20"/>
                <w:szCs w:val="20"/>
                <w:color w:val="auto"/>
              </w:rPr>
            </w:pPr>
            <w:r>
              <w:rPr>
                <w:rFonts w:ascii="Arial" w:cs="Arial" w:eastAsia="Arial" w:hAnsi="Arial"/>
                <w:sz w:val="18"/>
                <w:szCs w:val="18"/>
                <w:color w:val="auto"/>
                <w:w w:val="90"/>
              </w:rPr>
              <w:t>Section 906</w:t>
            </w:r>
          </w:p>
        </w:tc>
        <w:tc>
          <w:tcPr>
            <w:tcW w:w="3380" w:type="dxa"/>
            <w:vAlign w:val="bottom"/>
          </w:tcPr>
          <w:p>
            <w:pPr>
              <w:ind w:left="20"/>
              <w:spacing w:after="0"/>
              <w:rPr>
                <w:sz w:val="20"/>
                <w:szCs w:val="20"/>
                <w:color w:val="auto"/>
              </w:rPr>
            </w:pPr>
            <w:r>
              <w:rPr>
                <w:rFonts w:ascii="Arial" w:cs="Arial" w:eastAsia="Arial" w:hAnsi="Arial"/>
                <w:sz w:val="18"/>
                <w:szCs w:val="18"/>
                <w:color w:val="auto"/>
                <w:w w:val="94"/>
              </w:rPr>
              <w:t>— Certification of Chief Executive Officer (2)</w:t>
            </w:r>
          </w:p>
        </w:tc>
      </w:tr>
      <w:tr>
        <w:trPr>
          <w:trHeight w:val="54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32.2</w:t>
            </w:r>
          </w:p>
        </w:tc>
        <w:tc>
          <w:tcPr>
            <w:tcW w:w="1300" w:type="dxa"/>
            <w:vAlign w:val="bottom"/>
          </w:tcPr>
          <w:p>
            <w:pPr>
              <w:ind w:left="420"/>
              <w:spacing w:after="0"/>
              <w:rPr>
                <w:sz w:val="20"/>
                <w:szCs w:val="20"/>
                <w:color w:val="auto"/>
              </w:rPr>
            </w:pPr>
            <w:r>
              <w:rPr>
                <w:rFonts w:ascii="Arial" w:cs="Arial" w:eastAsia="Arial" w:hAnsi="Arial"/>
                <w:sz w:val="18"/>
                <w:szCs w:val="18"/>
                <w:color w:val="auto"/>
                <w:w w:val="90"/>
              </w:rPr>
              <w:t>Section 906</w:t>
            </w:r>
          </w:p>
        </w:tc>
        <w:tc>
          <w:tcPr>
            <w:tcW w:w="3380" w:type="dxa"/>
            <w:vAlign w:val="bottom"/>
          </w:tcPr>
          <w:p>
            <w:pPr>
              <w:ind w:left="20"/>
              <w:spacing w:after="0"/>
              <w:rPr>
                <w:sz w:val="20"/>
                <w:szCs w:val="20"/>
                <w:color w:val="auto"/>
              </w:rPr>
            </w:pPr>
            <w:r>
              <w:rPr>
                <w:rFonts w:ascii="Arial" w:cs="Arial" w:eastAsia="Arial" w:hAnsi="Arial"/>
                <w:sz w:val="18"/>
                <w:szCs w:val="18"/>
                <w:color w:val="auto"/>
                <w:w w:val="96"/>
              </w:rPr>
              <w:t>— Certification of Chief Financial Officer (2)</w:t>
            </w:r>
          </w:p>
        </w:tc>
      </w:tr>
    </w:tbl>
    <w:p>
      <w:pPr>
        <w:spacing w:after="0" w:line="310" w:lineRule="exact"/>
        <w:rPr>
          <w:sz w:val="20"/>
          <w:szCs w:val="20"/>
          <w:color w:val="auto"/>
        </w:rPr>
      </w:pPr>
    </w:p>
    <w:p>
      <w:pPr>
        <w:jc w:val="both"/>
        <w:ind w:left="1160" w:right="240" w:hanging="1125"/>
        <w:spacing w:after="0" w:line="291"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June 30, 2013, formatted in XBRL (eXtensible Business Reporting Language): (i) Consolidated Balance Sheets at June 30, 2013 (unaudited) and December 31, 2012,</w:t>
      </w:r>
    </w:p>
    <w:p>
      <w:pPr>
        <w:ind w:left="1160" w:right="40" w:hanging="4"/>
        <w:spacing w:after="0" w:line="281" w:lineRule="auto"/>
        <w:tabs>
          <w:tab w:leader="none" w:pos="1425"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Consolidated Statements of Operations (unaudited) for the three- and six-month periods ended June 30, 2013 and 2012, (iii) Consolidated Statements of Comprehensive Income (Loss) (unaudited) for the three- and six-month periods ended June 30, 2013 and 2012,</w:t>
      </w:r>
    </w:p>
    <w:p>
      <w:pPr>
        <w:spacing w:after="0" w:line="1" w:lineRule="exact"/>
        <w:rPr>
          <w:rFonts w:ascii="Arial" w:cs="Arial" w:eastAsia="Arial" w:hAnsi="Arial"/>
          <w:sz w:val="16"/>
          <w:szCs w:val="16"/>
          <w:color w:val="auto"/>
        </w:rPr>
      </w:pPr>
    </w:p>
    <w:p>
      <w:pPr>
        <w:ind w:left="1160" w:right="260" w:hanging="4"/>
        <w:spacing w:after="0" w:line="257" w:lineRule="auto"/>
        <w:tabs>
          <w:tab w:leader="none" w:pos="1465"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Consolidated Statements of Cash Flows (unaudited) for the six-months ended June 30, 2013 and 2012, and (v) Notes to the Unaudited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33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2,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125" w:right="3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152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28"/>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before adjustment for income from unconsolidated</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10,635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41,782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28,768</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15,524</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Dividends received</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32,158</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52,563</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46,313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2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11,059</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2,353</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10,455</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15,524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ectPr>
          <w:pgSz w:w="11900" w:h="16838" w:orient="portrait"/>
          <w:cols w:equalWidth="0" w:num="1">
            <w:col w:w="9020"/>
          </w:cols>
          <w:pgMar w:left="1440" w:top="580" w:right="1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2013</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2013</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2013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2, 2013</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2013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2,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101"/>
    </w:lvl>
    <w:lvl w:ilvl="1">
      <w:lvlJc w:val="left"/>
      <w:lvlText w:val="(%2)"/>
      <w:numFmt w:val="lowerRoman"/>
      <w:start w:val="2"/>
    </w:lvl>
  </w:abstractNum>
  <w:abstractNum w:abstractNumId="18">
    <w:nsid w:val="333AB105"/>
    <w:multiLevelType w:val="hybridMultilevel"/>
    <w:lvl w:ilvl="0">
      <w:lvlJc w:val="left"/>
      <w:lvlText w:val="%1"/>
      <w:numFmt w:val="decimal"/>
      <w:start w:val="1"/>
    </w:lvl>
    <w:lvl w:ilvl="1">
      <w:lvlJc w:val="left"/>
      <w:lvlText w:val="(%2)"/>
      <w:numFmt w:val="lowerRoman"/>
      <w:start w:val="4"/>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2019-12-06T17:00:59Z</dcterms:created>
  <dcterms:modified xsi:type="dcterms:W3CDTF">2019-12-06T17:00:59Z</dcterms:modified>
</cp:coreProperties>
</file>