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6"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860" w:hanging="521"/>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For the transition period</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001-31648</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606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74-2806888</w:t>
            </w:r>
          </w:p>
        </w:tc>
      </w:tr>
      <w:tr>
        <w:trPr>
          <w:trHeight w:val="270"/>
        </w:trPr>
        <w:tc>
          <w:tcPr>
            <w:tcW w:w="606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606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5"/>
        </w:trPr>
        <w:tc>
          <w:tcPr>
            <w:tcW w:w="606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9"/>
              </w:rPr>
              <w:t>3500 College Boulevard</w:t>
            </w:r>
          </w:p>
        </w:tc>
        <w:tc>
          <w:tcPr>
            <w:tcW w:w="1560" w:type="dxa"/>
            <w:vAlign w:val="bottom"/>
          </w:tcPr>
          <w:p>
            <w:pPr>
              <w:spacing w:after="0"/>
              <w:rPr>
                <w:sz w:val="24"/>
                <w:szCs w:val="24"/>
                <w:color w:val="auto"/>
              </w:rPr>
            </w:pPr>
          </w:p>
        </w:tc>
      </w:tr>
      <w:tr>
        <w:trPr>
          <w:trHeight w:val="270"/>
        </w:trPr>
        <w:tc>
          <w:tcPr>
            <w:tcW w:w="6060" w:type="dxa"/>
            <w:vAlign w:val="bottom"/>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rPr>
              <w:t>Leawood, Kansas</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270"/>
        </w:trPr>
        <w:tc>
          <w:tcPr>
            <w:tcW w:w="606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21"/>
        </w:trPr>
        <w:tc>
          <w:tcPr>
            <w:tcW w:w="606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(913) 327-4200</w:t>
            </w:r>
          </w:p>
        </w:tc>
        <w:tc>
          <w:tcPr>
            <w:tcW w:w="1560" w:type="dxa"/>
            <w:vAlign w:val="bottom"/>
          </w:tcPr>
          <w:p>
            <w:pPr>
              <w:spacing w:after="0"/>
              <w:rPr>
                <w:sz w:val="19"/>
                <w:szCs w:val="19"/>
                <w:color w:val="auto"/>
              </w:rPr>
            </w:pPr>
          </w:p>
        </w:tc>
      </w:tr>
      <w:tr>
        <w:trPr>
          <w:trHeight w:val="238"/>
        </w:trPr>
        <w:tc>
          <w:tcPr>
            <w:tcW w:w="606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5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5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Trading Symbol(s) Name of each exchange on which registered</w:t>
            </w: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EEFT</w:t>
            </w:r>
          </w:p>
        </w:tc>
        <w:tc>
          <w:tcPr>
            <w:tcW w:w="3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EEFT</w:t>
            </w:r>
          </w:p>
        </w:tc>
        <w:tc>
          <w:tcPr>
            <w:tcW w:w="3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ind w:right="4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92" w:lineRule="exact"/>
        <w:rPr>
          <w:sz w:val="24"/>
          <w:szCs w:val="24"/>
          <w:color w:val="auto"/>
        </w:rPr>
      </w:pPr>
    </w:p>
    <w:p>
      <w:pPr>
        <w:ind w:right="160"/>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529" w:right="319" w:bottom="441" w:gutter="0" w:footer="0" w:header="0"/>
        </w:sectPr>
      </w:pPr>
    </w:p>
    <w:p>
      <w:pPr>
        <w:spacing w:after="0" w:line="93"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Times New Roman" w:cs="Times New Roman" w:eastAsia="Times New Roman" w:hAnsi="Times New Roman"/>
          <w:sz w:val="15"/>
          <w:szCs w:val="15"/>
          <w:color w:val="auto"/>
        </w:rPr>
        <w: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2160" w:space="600"/>
            <w:col w:w="1320" w:space="300"/>
            <w:col w:w="1740" w:space="720"/>
            <w:col w:w="2020" w:space="720"/>
            <w:col w:w="1760"/>
          </w:cols>
          <w:pgMar w:left="240" w:top="529" w:right="319" w:bottom="441" w:gutter="0" w:footer="0" w:header="0"/>
          <w:type w:val="continuous"/>
        </w:sectPr>
      </w:pPr>
    </w:p>
    <w:p>
      <w:pPr>
        <w:spacing w:after="0" w:line="1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2" w:lineRule="exact"/>
        <w:rPr>
          <w:sz w:val="24"/>
          <w:szCs w:val="24"/>
          <w:color w:val="auto"/>
        </w:rPr>
      </w:pPr>
    </w:p>
    <w:p>
      <w:pPr>
        <w:sectPr>
          <w:pgSz w:w="11900" w:h="16838" w:orient="portrait"/>
          <w:cols w:equalWidth="0" w:num="2">
            <w:col w:w="3760" w:space="620"/>
            <w:col w:w="6960"/>
          </w:cols>
          <w:pgMar w:left="240" w:top="529" w:right="319" w:bottom="441" w:gutter="0" w:footer="0" w:header="0"/>
          <w:type w:val="continuous"/>
        </w:sectPr>
      </w:pPr>
    </w:p>
    <w:p>
      <w:pPr>
        <w:spacing w:after="0" w:line="133" w:lineRule="exact"/>
        <w:rPr>
          <w:sz w:val="24"/>
          <w:szCs w:val="24"/>
          <w:color w:val="auto"/>
        </w:rPr>
      </w:pPr>
    </w:p>
    <w:p>
      <w:pPr>
        <w:ind w:left="40" w:right="2060"/>
        <w:spacing w:after="0" w:line="313"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5"/>
          <w:szCs w:val="15"/>
          <w:color w:val="auto"/>
        </w:rPr>
        <w:t>o</w:t>
      </w:r>
    </w:p>
    <w:p>
      <w:pPr>
        <w:spacing w:after="0" w:line="1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November 6, 2019, Euronet Worldwide, Inc. had 54,027,791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189230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529" w:right="319" w:bottom="441"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Page</w:t>
            </w:r>
          </w:p>
        </w:tc>
        <w:tc>
          <w:tcPr>
            <w:tcW w:w="0" w:type="dxa"/>
            <w:vAlign w:val="bottom"/>
          </w:tcPr>
          <w:p>
            <w:pPr>
              <w:spacing w:after="0"/>
              <w:rPr>
                <w:sz w:val="1"/>
                <w:szCs w:val="1"/>
                <w:color w:val="auto"/>
              </w:rPr>
            </w:pPr>
          </w:p>
        </w:tc>
      </w:tr>
      <w:tr>
        <w:trPr>
          <w:trHeight w:val="237"/>
        </w:trPr>
        <w:tc>
          <w:tcPr>
            <w:tcW w:w="10960" w:type="dxa"/>
            <w:vAlign w:val="bottom"/>
            <w:gridSpan w:val="20"/>
          </w:tcPr>
          <w:p>
            <w:pPr>
              <w:spacing w:after="0"/>
              <w:rPr>
                <w:rFonts w:ascii="Times New Roman" w:cs="Times New Roman" w:eastAsia="Times New Roman" w:hAnsi="Times New Roman"/>
                <w:sz w:val="17"/>
                <w:szCs w:val="17"/>
                <w:b w:val="1"/>
                <w:bCs w:val="1"/>
                <w:color w:val="0000EE"/>
              </w:rPr>
            </w:pPr>
            <w:hyperlink w:anchor="page3">
              <w:r>
                <w:rPr>
                  <w:rFonts w:ascii="Times New Roman" w:cs="Times New Roman" w:eastAsia="Times New Roman" w:hAnsi="Times New Roman"/>
                  <w:sz w:val="17"/>
                  <w:szCs w:val="17"/>
                  <w:b w:val="1"/>
                  <w:bCs w:val="1"/>
                  <w:color w:val="0000EE"/>
                </w:rPr>
                <w:t>PART I—FINANCIAL INFORMATION</w:t>
              </w:r>
            </w:hyperlink>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3"/>
            <w:vMerge w:val="restart"/>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w:t>
            </w: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Financial Statements (unaudited)</w:t>
              </w:r>
            </w:hyperlink>
          </w:p>
        </w:tc>
        <w:tc>
          <w:tcPr>
            <w:tcW w:w="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gridSpan w:val="10"/>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Balance Sheets as of September 30, 2019 and December 31, 2018</w:t>
              </w:r>
            </w:hyperlink>
          </w:p>
        </w:tc>
        <w:tc>
          <w:tcPr>
            <w:tcW w:w="4700" w:type="dxa"/>
            <w:vAlign w:val="bottom"/>
            <w:gridSpan w:val="6"/>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Statements of Income for the Three and Nine Months Ended September 30, 2019 and 2018</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Statements of Comprehensive Income for the Three and Nine Months Ended September 30, 2019 and 2018</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5</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500" w:type="dxa"/>
            <w:vAlign w:val="bottom"/>
            <w:gridSpan w:val="14"/>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Statements of Changes in Equity for the Three and Nine Months Ended September 30, 2019 and 2018</w:t>
              </w:r>
            </w:hyperlink>
          </w:p>
        </w:tc>
        <w:tc>
          <w:tcPr>
            <w:tcW w:w="3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500" w:type="dxa"/>
            <w:vAlign w:val="bottom"/>
            <w:gridSpan w:val="14"/>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Consolidated Statements of Cash Flows for the Nine Months Ended September 30, 2019 and 2018</w:t>
              </w:r>
            </w:hyperlink>
          </w:p>
        </w:tc>
        <w:tc>
          <w:tcPr>
            <w:tcW w:w="2360" w:type="dxa"/>
            <w:vAlign w:val="bottom"/>
            <w:gridSpan w:val="2"/>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780" w:type="dxa"/>
            <w:vAlign w:val="bottom"/>
            <w:gridSpan w:val="8"/>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Notes to the Unaudited Consolidated Financial Statements</w:t>
              </w:r>
            </w:hyperlink>
          </w:p>
        </w:tc>
        <w:tc>
          <w:tcPr>
            <w:tcW w:w="2580" w:type="dxa"/>
            <w:vAlign w:val="bottom"/>
            <w:gridSpan w:val="4"/>
          </w:tcPr>
          <w:p>
            <w:pPr>
              <w:spacing w:after="0"/>
              <w:rPr>
                <w:sz w:val="21"/>
                <w:szCs w:val="21"/>
                <w:color w:val="auto"/>
              </w:rPr>
            </w:pPr>
          </w:p>
        </w:tc>
        <w:tc>
          <w:tcPr>
            <w:tcW w:w="3500" w:type="dxa"/>
            <w:vAlign w:val="bottom"/>
            <w:gridSpan w:val="4"/>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9">
              <w:r>
                <w:rPr>
                  <w:rFonts w:ascii="Times New Roman" w:cs="Times New Roman" w:eastAsia="Times New Roman" w:hAnsi="Times New Roman"/>
                  <w:sz w:val="17"/>
                  <w:szCs w:val="17"/>
                  <w:color w:val="0000EE"/>
                </w:rPr>
                <w:t>9</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620" w:type="dxa"/>
            <w:vAlign w:val="bottom"/>
            <w:gridSpan w:val="2"/>
          </w:tcPr>
          <w:p>
            <w:pPr>
              <w:spacing w:after="0"/>
              <w:rPr>
                <w:sz w:val="21"/>
                <w:szCs w:val="21"/>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Management's Discussion and Analysis of Financial Condition and Results of Operations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24">
              <w:r>
                <w:rPr>
                  <w:rFonts w:ascii="Times New Roman" w:cs="Times New Roman" w:eastAsia="Times New Roman" w:hAnsi="Times New Roman"/>
                  <w:sz w:val="17"/>
                  <w:szCs w:val="17"/>
                  <w:color w:val="0000EE"/>
                </w:rPr>
                <w:t>24</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320" w:type="dxa"/>
            <w:vAlign w:val="bottom"/>
            <w:tcBorders>
              <w:bottom w:val="single" w:sz="8" w:color="0000EE"/>
            </w:tcBorders>
            <w:gridSpan w:val="4"/>
            <w:shd w:val="clear" w:color="auto" w:fill="0000EE"/>
          </w:tcPr>
          <w:p>
            <w:pPr>
              <w:spacing w:after="0" w:line="20" w:lineRule="exact"/>
              <w:rPr>
                <w:sz w:val="1"/>
                <w:szCs w:val="1"/>
                <w:color w:val="auto"/>
              </w:rPr>
            </w:pPr>
          </w:p>
        </w:tc>
        <w:tc>
          <w:tcPr>
            <w:tcW w:w="188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620" w:type="dxa"/>
            <w:vAlign w:val="bottom"/>
            <w:gridSpan w:val="2"/>
          </w:tcPr>
          <w:p>
            <w:pPr>
              <w:spacing w:after="0"/>
              <w:rPr>
                <w:sz w:val="18"/>
                <w:szCs w:val="18"/>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3">
              <w:r>
                <w:rPr>
                  <w:rFonts w:ascii="Times New Roman" w:cs="Times New Roman" w:eastAsia="Times New Roman" w:hAnsi="Times New Roman"/>
                  <w:sz w:val="16"/>
                  <w:szCs w:val="16"/>
                  <w:color w:val="0000EE"/>
                </w:rPr>
                <w:t>Quantitative and Qualitative Disclosures About Market Risk</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43</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960" w:type="dxa"/>
            <w:vAlign w:val="bottom"/>
            <w:tcBorders>
              <w:left w:val="single" w:sz="8" w:color="0000EE"/>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620" w:type="dxa"/>
            <w:vAlign w:val="bottom"/>
            <w:gridSpan w:val="2"/>
          </w:tcPr>
          <w:p>
            <w:pPr>
              <w:spacing w:after="0"/>
              <w:rPr>
                <w:sz w:val="20"/>
                <w:szCs w:val="20"/>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4">
              <w:r>
                <w:rPr>
                  <w:rFonts w:ascii="Times New Roman" w:cs="Times New Roman" w:eastAsia="Times New Roman" w:hAnsi="Times New Roman"/>
                  <w:sz w:val="16"/>
                  <w:szCs w:val="16"/>
                  <w:color w:val="0000EE"/>
                </w:rPr>
                <w:t>Controls and Procedures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4">
              <w:r>
                <w:rPr>
                  <w:rFonts w:ascii="Times New Roman" w:cs="Times New Roman" w:eastAsia="Times New Roman" w:hAnsi="Times New Roman"/>
                  <w:sz w:val="17"/>
                  <w:szCs w:val="17"/>
                  <w:color w:val="0000EE"/>
                </w:rPr>
                <w:t>44</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80" w:type="dxa"/>
            <w:vAlign w:val="bottom"/>
            <w:tcBorders>
              <w:bottom w:val="single" w:sz="8" w:color="0000EE"/>
            </w:tcBorders>
            <w:gridSpan w:val="9"/>
          </w:tcPr>
          <w:p>
            <w:pPr>
              <w:spacing w:after="0"/>
              <w:rPr>
                <w:rFonts w:ascii="Times New Roman" w:cs="Times New Roman" w:eastAsia="Times New Roman" w:hAnsi="Times New Roman"/>
                <w:sz w:val="17"/>
                <w:szCs w:val="17"/>
                <w:b w:val="1"/>
                <w:bCs w:val="1"/>
                <w:color w:val="0000EE"/>
                <w:w w:val="96"/>
              </w:rPr>
            </w:pPr>
            <w:hyperlink w:anchor="page44">
              <w:r>
                <w:rPr>
                  <w:rFonts w:ascii="Times New Roman" w:cs="Times New Roman" w:eastAsia="Times New Roman" w:hAnsi="Times New Roman"/>
                  <w:sz w:val="17"/>
                  <w:szCs w:val="17"/>
                  <w:b w:val="1"/>
                  <w:bCs w:val="1"/>
                  <w:color w:val="0000EE"/>
                  <w:w w:val="96"/>
                </w:rPr>
                <w:t>PART II—OTHER INFORMATION</w:t>
              </w:r>
            </w:hyperlink>
          </w:p>
        </w:tc>
        <w:tc>
          <w:tcPr>
            <w:tcW w:w="8280" w:type="dxa"/>
            <w:vAlign w:val="bottom"/>
            <w:gridSpan w:val="11"/>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620" w:type="dxa"/>
            <w:vAlign w:val="bottom"/>
            <w:gridSpan w:val="2"/>
          </w:tcPr>
          <w:p>
            <w:pPr>
              <w:spacing w:after="0"/>
              <w:rPr>
                <w:sz w:val="21"/>
                <w:szCs w:val="21"/>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4">
              <w:r>
                <w:rPr>
                  <w:rFonts w:ascii="Times New Roman" w:cs="Times New Roman" w:eastAsia="Times New Roman" w:hAnsi="Times New Roman"/>
                  <w:sz w:val="16"/>
                  <w:szCs w:val="16"/>
                  <w:color w:val="0000EE"/>
                </w:rPr>
                <w:t>Legal Proceedings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4">
              <w:r>
                <w:rPr>
                  <w:rFonts w:ascii="Times New Roman" w:cs="Times New Roman" w:eastAsia="Times New Roman" w:hAnsi="Times New Roman"/>
                  <w:sz w:val="17"/>
                  <w:szCs w:val="17"/>
                  <w:color w:val="0000EE"/>
                </w:rPr>
                <w:t>44</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1A.</w:t>
            </w: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5">
              <w:r>
                <w:rPr>
                  <w:rFonts w:ascii="Times New Roman" w:cs="Times New Roman" w:eastAsia="Times New Roman" w:hAnsi="Times New Roman"/>
                  <w:sz w:val="16"/>
                  <w:szCs w:val="16"/>
                  <w:color w:val="0000EE"/>
                </w:rPr>
                <w:t>Risk Factors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color w:val="0000EE"/>
                </w:rPr>
                <w:t>45</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5">
              <w:r>
                <w:rPr>
                  <w:rFonts w:ascii="Times New Roman" w:cs="Times New Roman" w:eastAsia="Times New Roman" w:hAnsi="Times New Roman"/>
                  <w:sz w:val="16"/>
                  <w:szCs w:val="16"/>
                  <w:color w:val="0000EE"/>
                </w:rPr>
                <w:t>Unregistered Sales of Equity Securities and Use of Proceeds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color w:val="0000EE"/>
                </w:rPr>
                <w:t>45</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620" w:type="dxa"/>
            <w:vAlign w:val="bottom"/>
            <w:gridSpan w:val="2"/>
          </w:tcPr>
          <w:p>
            <w:pPr>
              <w:spacing w:after="0"/>
              <w:rPr>
                <w:sz w:val="20"/>
                <w:szCs w:val="20"/>
                <w:color w:val="auto"/>
              </w:rPr>
            </w:pPr>
          </w:p>
        </w:tc>
        <w:tc>
          <w:tcPr>
            <w:tcW w:w="9860" w:type="dxa"/>
            <w:vAlign w:val="bottom"/>
            <w:gridSpan w:val="16"/>
          </w:tcPr>
          <w:p>
            <w:pPr>
              <w:spacing w:after="0"/>
              <w:rPr>
                <w:rFonts w:ascii="Times New Roman" w:cs="Times New Roman" w:eastAsia="Times New Roman" w:hAnsi="Times New Roman"/>
                <w:sz w:val="16"/>
                <w:szCs w:val="16"/>
                <w:color w:val="0000EE"/>
              </w:rPr>
            </w:pPr>
            <w:hyperlink w:anchor="page46">
              <w:r>
                <w:rPr>
                  <w:rFonts w:ascii="Times New Roman" w:cs="Times New Roman" w:eastAsia="Times New Roman" w:hAnsi="Times New Roman"/>
                  <w:sz w:val="16"/>
                  <w:szCs w:val="16"/>
                  <w:color w:val="0000EE"/>
                </w:rPr>
                <w:t>Exhibits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46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8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Times New Roman" w:cs="Times New Roman" w:eastAsia="Times New Roman" w:hAnsi="Times New Roman"/>
                <w:sz w:val="16"/>
                <w:szCs w:val="16"/>
                <w:color w:val="0000EE"/>
                <w:w w:val="97"/>
              </w:rPr>
            </w:pPr>
            <w:hyperlink w:anchor="page47">
              <w:r>
                <w:rPr>
                  <w:rFonts w:ascii="Times New Roman" w:cs="Times New Roman" w:eastAsia="Times New Roman" w:hAnsi="Times New Roman"/>
                  <w:sz w:val="16"/>
                  <w:szCs w:val="16"/>
                  <w:color w:val="0000EE"/>
                  <w:w w:val="97"/>
                </w:rPr>
                <w:t>Signatures</w:t>
              </w:r>
            </w:hyperlink>
          </w:p>
        </w:tc>
        <w:tc>
          <w:tcPr>
            <w:tcW w:w="9180" w:type="dxa"/>
            <w:vAlign w:val="bottom"/>
            <w:gridSpan w:val="14"/>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7">
              <w:r>
                <w:rPr>
                  <w:rFonts w:ascii="Times New Roman" w:cs="Times New Roman" w:eastAsia="Times New Roman" w:hAnsi="Times New Roman"/>
                  <w:sz w:val="17"/>
                  <w:szCs w:val="17"/>
                  <w:color w:val="0000EE"/>
                </w:rPr>
                <w:t>47</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360" w:right="2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1,730,855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1,054,357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allowances for doubtful accounts of $26,219 at September 30, 2019 and $24,287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 December 31, 2018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662,997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693,616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263,019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2,733,255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2,087,587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$382,965 at September 30, 2019 and $373,180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31, 2018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321,802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291,869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685,991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704,197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$201,801 at September 30, 2019 and $190,920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96,236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114,485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$43,530 at September 30, 2019 and $50,821 at December 31, 2018</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123,017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4,314,124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3,321,155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450,866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528,913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748,434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712,012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57,261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59,293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1,450,721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1,378,394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1,067,672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589,782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2,868,572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2,088,313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62,599,954 issued at September 30, 2019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59,897,309 issued at December 31, 2018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1,179,413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1,104,264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8,359,459 shares at September 30, 2019 and 8,077,311 shares at 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669,805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1,445,638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1,232,673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1,445,552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1,232,842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4,314,124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3,321,155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420"/>
          </w:cols>
          <w:pgMar w:left="240" w:top="121" w:right="239" w:bottom="306"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306"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3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38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786,986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714,505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2,056,362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1,887,244</w:t>
            </w: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405,081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388,236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1,152,725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1,093,072</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93,108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292,699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270,537</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158,156</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78,726</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592,996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563,592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1,688,381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1,600,491</w:t>
            </w:r>
          </w:p>
        </w:tc>
      </w:tr>
      <w:tr>
        <w:trPr>
          <w:trHeight w:val="237"/>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193,990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150,913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367,981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286,753</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unconsolidated affiliates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r>
      <w:tr>
        <w:trPr>
          <w:trHeight w:val="27"/>
        </w:trPr>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5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(49,486)</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137,194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237,267</w:t>
            </w: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(65,031)</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172,236</w:t>
            </w: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r>
      <w:tr>
        <w:trPr>
          <w:trHeight w:val="27"/>
        </w:trPr>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137,607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102,723</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240,303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172,859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r>
      <w:tr>
        <w:trPr>
          <w:trHeight w:val="251"/>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54,449,256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51,182,502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53,180,850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51,436,228</w:t>
            </w:r>
          </w:p>
        </w:tc>
      </w:tr>
      <w:tr>
        <w:trPr>
          <w:trHeight w:val="251"/>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55,972,061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54,263,892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54,622,219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54,521,262</w:t>
            </w:r>
          </w:p>
        </w:tc>
      </w:tr>
      <w:tr>
        <w:trPr>
          <w:trHeight w:val="20"/>
        </w:trPr>
        <w:tc>
          <w:tcPr>
            <w:tcW w:w="59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Times New Roman" w:cs="Times New Roman" w:eastAsia="Times New Roman" w:hAnsi="Times New Roman"/>
                <w:sz w:val="18"/>
                <w:szCs w:val="18"/>
                <w:color w:val="auto"/>
                <w:w w:val="99"/>
              </w:rPr>
              <w:t>See accompanying notes to the unaudited consolidated financial statements.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137,541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102,257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240,125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172,236</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(40,198)</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80,678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97,644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179,238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132,038</w:t>
            </w:r>
          </w:p>
        </w:tc>
      </w:tr>
      <w:tr>
        <w:trPr>
          <w:trHeight w:val="243"/>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80,804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98,124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179,493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132,712</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1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52,808,158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1,072,005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116,358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51,505,621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1,078,502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89,954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50,981,871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1,084,536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476,783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51,458,654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1,094,531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62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24"/>
                <w:szCs w:val="24"/>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24"/>
                <w:szCs w:val="24"/>
                <w:color w:val="auto"/>
              </w:rPr>
            </w:pPr>
          </w:p>
        </w:tc>
        <w:tc>
          <w:tcPr>
            <w:tcW w:w="11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51,819,998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1,104,264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130,136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convertible notes, net of tax</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Repurchases and conversions of convertible notes, net of tax</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13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51,950,140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1,142,691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41,856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Redemptions and conversions of convertible notes, net of tax</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2,488,243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13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54,480,239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1,172,834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54,240,495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1,179,413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3"/>
                <w:szCs w:val="13"/>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1,199,478</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26,344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22,948</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463,367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1,129,032</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43,636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(58,533)</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1,070,430</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102,257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609,813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1,070,430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24"/>
                <w:szCs w:val="2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669,805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1,232,842</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net of tax</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71,660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and conversions of convertible notes, net of tax</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(42,917)</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704,348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1,287,910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68,005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Redemptions and conversions of convertible notes, net of tax</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22,450</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772,501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(155,050)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1,398,223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137,541</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(39,751)</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910,108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1,445,552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172,236</w:t>
            </w: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78,726</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4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unconsolidated affiliates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42,552</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364,379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192,573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(82,129)</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(177,163)</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4,267,881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(4,003,662)</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long-term debt obligations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(51,199)</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borrowings from short-term debt obligations,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204,211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247,087</w:t>
            </w: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302,207</w:t>
            </w: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900,518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1,794,755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1,202,725</w:t>
            </w:r>
          </w:p>
        </w:tc>
        <w:tc>
          <w:tcPr>
            <w:tcW w:w="0" w:type="dxa"/>
            <w:vAlign w:val="bottom"/>
          </w:tcPr>
          <w:p>
            <w:pPr>
              <w:spacing w:after="0"/>
              <w:rPr>
                <w:sz w:val="1"/>
                <w:szCs w:val="1"/>
                <w:color w:val="auto"/>
              </w:rPr>
            </w:pPr>
          </w:p>
        </w:tc>
      </w:tr>
      <w:tr>
        <w:trPr>
          <w:trHeight w:val="217"/>
        </w:trPr>
        <w:tc>
          <w:tcPr>
            <w:tcW w:w="8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19,243</w:t>
            </w:r>
          </w:p>
        </w:tc>
        <w:tc>
          <w:tcPr>
            <w:tcW w:w="0" w:type="dxa"/>
            <w:vAlign w:val="bottom"/>
          </w:tcPr>
          <w:p>
            <w:pPr>
              <w:spacing w:after="0"/>
              <w:rPr>
                <w:sz w:val="1"/>
                <w:szCs w:val="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55,338</w:t>
            </w:r>
          </w:p>
        </w:tc>
        <w:tc>
          <w:tcPr>
            <w:tcW w:w="0" w:type="dxa"/>
            <w:vAlign w:val="bottom"/>
          </w:tcPr>
          <w:p>
            <w:pPr>
              <w:spacing w:after="0"/>
              <w:rPr>
                <w:sz w:val="1"/>
                <w:szCs w:val="1"/>
                <w:color w:val="auto"/>
              </w:rPr>
            </w:pPr>
          </w:p>
        </w:tc>
      </w:tr>
      <w:tr>
        <w:trPr>
          <w:trHeight w:val="243"/>
        </w:trPr>
        <w:tc>
          <w:tcPr>
            <w:tcW w:w="8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digital media products, foreign currency exchange services and global money transfer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2018, including the notes thereto, set forth in the Company’s 2018 Annual Report on Form 10-K. Certain amounts in prior years have been reclassified to conform to the current year's presentation.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Euronet’s EFT Processing Segment experiences its heaviest demand for ATM cash withdrawal transactions and dynamic currency conversion ("DCC") services during the third quarter of the fiscal year, coinciding with the tourism season followed by lower transaction levels during the fourth quarter. Additionally, the epay Segment is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AND ADOPTED ACCOUNTING PRONOUNCEMENTS</w:t>
      </w:r>
    </w:p>
    <w:p>
      <w:pPr>
        <w:spacing w:after="0" w:line="227"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color w:val="auto"/>
        </w:rPr>
        <w:t xml:space="preserve">The Company adopted Accounting Standards Update (ASU)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as amended, as of January 1, 2019, using the modified retrospective approach and comparative periods were not restated. The new standards provide a number of optional practical expedients in transition.</w:t>
      </w:r>
    </w:p>
    <w:p>
      <w:pPr>
        <w:spacing w:after="0" w:line="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elected the “package of practical expedients” which permits the Company not to reassess under the new standard the Company’s prior conclusions about lease identification, lease classification and initial direct costs. The Company also elected to combine lease and non-lease components and to include short-term leases with an initial term of 12 months or less on the Consolidated Balance Sheets.</w:t>
      </w:r>
    </w:p>
    <w:p>
      <w:pPr>
        <w:spacing w:after="0" w:line="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Company elected the hindsight practical expedient to determine the lease term for existing leases. The election of the hindsight practical expedient resulted in, for substantially all leases in effect on January 1, 2019, the lease term for implementation of this pronouncement, as the lease’s life being January 1, 2019 through the lease’s contractual termination date, rather than the actual lease life as set out in the lease agreement. Lease lives for lease agreements committed to on January 1, 2019 and, thereafter, are included based on the lease’s commencement date and termination date. In the application of hindsight, the Company evaluated the performance of all the leases and the associated markets in relation to the Company’s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which resulted in the determination that the exercise of renewal options would not be reasonably certain in determining the expected lease term.</w:t>
      </w:r>
    </w:p>
    <w:p>
      <w:pPr>
        <w:spacing w:after="0" w:line="1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Adoption of the new standard resulted in the recognition of additional operating right of use lease assets and lease liabilities of approximately $296.9 million, as of January 1, 2019.</w:t>
      </w:r>
    </w:p>
    <w:p>
      <w:pPr>
        <w:spacing w:after="0" w:line="16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is permitted for all entities for fiscal years, and interim periods within those fiscal years, beginning after December 15, 2018. The Company does not expect that the adoption of this guidance to have a significant impact on its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960" w:type="dxa"/>
            <w:vAlign w:val="bottom"/>
          </w:tcPr>
          <w:p>
            <w:pPr>
              <w:spacing w:after="0"/>
              <w:rPr>
                <w:sz w:val="16"/>
                <w:szCs w:val="16"/>
                <w:color w:val="auto"/>
              </w:rPr>
            </w:pPr>
          </w:p>
        </w:tc>
        <w:tc>
          <w:tcPr>
            <w:tcW w:w="2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54,449,256</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51,182,502</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53,180,850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51,436,228</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5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1,522,805</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1,521,560</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1,441,369</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1,525,204</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notes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1,559,830</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1,559,830</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55,972,061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54,263,892</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54,622,219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54,521,262</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table includes the impact of all stock options and restricted stock that are dilutive to the Company’s weighted average common shares outstanding during the three and nine months ended September 30, 2019 and 2018. The calculation of diluted earnings per share excludes stock options or shares of restricted stock that are anti-dilutive to the Company’s weighted average common shares outstanding of approximately 751,000 and 841,000 for the three and nine months ended September 30, 2019, respectively, and approximately 436,000 and 792,000 for the three and nine months ended September 30, 2018, respectively.</w:t>
      </w:r>
    </w:p>
    <w:p>
      <w:pPr>
        <w:spacing w:after="0" w:line="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issued new Convertible Senior Notes ("Convertible Notes") due March 2049 on March 18, 2019 and retired the existing convertible notes ("Retired Convertible Notes") that would have matured in 2044 on May 28, 2019. The Company's Convertible Notes currently have, and the Retired Convertible Notes had,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and the Retired Convertible Notes were included in the calculation of diluted earnings per share if their inclusion was dilutive. The dilutive effect increases the more the market price exceeds the conversion price. The Retired Convertible Notes had a dilutive effect in the three and nine months ended September 30, 2018 as the $83.77 market price per share of Common Stock as of September 30, 2018 exceeded the $72.18 conversion price per share. The Convertible Notes would only have a dilutive effect if the market price per share of common stock exceeds the conversion price of $188.73 per share. As of September 30, 2019, the Convertible Notes did not have a dilutive effect on the earnings per share. See Note 7, Debt Obligations, for more information about the convertible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authorized a stock repurchase program ("Repurchase Program") allowing Euronet to repurchase up to $375 million in value or 10.0 million shares of stock through March 31, 2020. During the three and nine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months ended September 30, 2019, the remaining maximum dollar value of shares that may yet be purchased under the Repurchase program was $160.2 million. Repurchases under the Repurchase Program may take place in the open market or in privately negotiated transactions, including derivative transactions, and may be made under a Rule 10b5-1 plan. For the first nine months ended September 30, 2019 and 2018, the Company repurchased $39.8 million and $175.0 million, respectively, in value of Euronet common stock under the Repurchase Program. In connection with the issuance of the Convertible Notes, the Board of Directors of the Company authorized the Company to repurchase up to $120 million of the Company’s common stock concurrently with or following the issuance of the Convertible Notes. This authorization will expire on March 11, 2021. For the three and nine months ended September 30, 2019, the Company did not make any repurchases under this special authorization.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entirely of foreign currency translation adjustments. The Company recorded foreign currency translation gains of $56.9 million for the third quarter of 2019, and losses of $60.9 million, $4.6 million, and $40.2 million for the first nine months of 2019,the three and nine months ended September 30, 2018, respectively. There were no reclassifications of foreign currency translation into the consolidated statements of income for the three and nine months ended September 30, 2019 and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nine months ended September 30, 2019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7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95"/>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114,485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704,197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818,682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96,236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685,991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782,227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Estimated amortization expense on intangible assets with finite lives, before income taxes, as of September 30, 2019, is expected to total $4.9 million for the remainder of 2019, $19.2 million for 2020, $18.3 million for 2021, $17.3 million for 2022, $12.7 million for 2023 and $6.5 million for 2024.</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January 2019, the Company completed the acquisition of the majority interests of a small Indonesian business in which the Company previously held the minority interest for an immaterial amount of cash consideration. The acquisition has been accounted for as business combinations in accordance with U.S. GAAP and the results of operations have been included from the date of acquisition in the EFT Processing Segment.</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annual goodwill impairment test is performed during the fourth quarter of its fiscal year. The annual impairment test for the year ended December 31, 2018 resulted in no impairment charge.</w:t>
      </w:r>
    </w:p>
    <w:p>
      <w:pPr>
        <w:spacing w:after="0" w:line="5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2018 annual impairment test could change, which may result in the Company recording material non-cash impairment charges during the year in which these changes take place.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2"/>
        </w:trPr>
        <w:tc>
          <w:tcPr>
            <w:tcW w:w="88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 settlement obligations</w:t>
            </w: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353,400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310,710</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267,788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293,864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amounts due to mobile operators and other content providers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5,458</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748,434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712,012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UNEARNED REVENUES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requires the deferral of incremental costs to obtain customer contracts, known as contract assets, which are then amortized to expense as part of selling, general and administrative expense over the respective periods of expected benefit. Such costs are not material; however, the Company has implemented processes and controls to record such costs on an ongoing basis and will disclose them if they become material.</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its performance. The decrease in the deferred revenue balance for the first nine months of 2019 is primarily driven by $31.6 million of revenues recognized that were included in the deferred revenue balance as of December 31, 2018, largely offset by $29.6 million of cash payments received in the current year for which the Company has not yet satisfied the performance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agreements, due 2023</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215,725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433,262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1.50% convertible notes, unsecured, due 2044</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379,859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38,513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2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1,106,754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634,097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1,086,298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627,799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(38,017)</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1,067,672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589,782</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On October 17, 2018, the Company entered into a new unsecured revolving credit agreement (the "Credit Facility") for $1.0 billion that expires on October 17, 2023. Fees and interest on borrowings are based upon the Company's corporate credit rating</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are based, in the case of letter of credit fees, on a margin ,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Euros, Hungarian Forints, Japanese Yen, New Zealand Dollars, Norwegian Krone, Polish Zlotys, Swedish Krona, Swiss Francs, and U.S. Dollars. The weighted average interest rate of the Company's borrowing under the Credit Facility was 1.05% as of September 30, 2019.</w:t>
      </w:r>
    </w:p>
    <w:p>
      <w:pPr>
        <w:spacing w:after="0" w:line="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Credit Facility contains customary affirmative and negative covenants, events of default and financial covenants include: (i) as of the end of each fiscal quarter ended on March 31, September 30 and December 31, a Consolidated Total Leverage Ratio not to be greater than 3.5 to 1.0; (ii) as of the end of each fiscal quarter ended on June 30, a Consolidated Total Leverage Ratio not to be greater than 4.0 to 1.0; provided that, not more than two times prior to the expiration date, upon notice to the administrative agent (an "Increase Leverage Notice") that a Material Acquisition has been consummated, for any period of four consecutive fiscal quarters following such Material Acquisitions, the Consolidated Total Leverage Ratio will be not greater than 4.0 to 1.0 for fiscal quarters ended on March 31, September 30 and December 31 and not greater than 4.5 to 1.0 for fiscal quarters ended on June 30; provided, further, that following such four consecutive fiscal quarters for which the maximum Consolidated Total Leverage Ratio is increased, the maximum Consolidated Total Leverage Ratio shall revert to the levels set forth in clauses (i) and (ii) above for not fewer than two fiscal quarters before a subsequent Increase Leverage Notice is delivered to the administrative agent; and (iii) a Consolidated Interest Coverage Ratio not less than 4.0 to 1.0. The Company is permitted to pay dividends and repurchase common stock if the Company would not be in default under the Credit Facility after giving effect to such dividend or repurchase.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the Company is in compliance with all debt covenants.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8"/>
          <w:szCs w:val="18"/>
          <w:color w:val="auto"/>
        </w:rPr>
        <w:t>n March 18, 2019, the Company completed the sale of $525 million of Convertible Senior Notes ("Convertible Notes"). The Convertible Notes mature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March 2049 unless redeemed or converted prior to such date, and are convertible into shares of Euronet Common Stock at a conversion price of approximately $188.73 per share. The Company used $94.2 million of the net proceeds from the issuance of the new debt to repurchase $49 million aggregate principal amount of the Company's 1.5% Convertible Senior Notes outstanding due 2044 (the "Retired Convertible Notes") from a limited number of holders in privately negotiated transactions. The Company expects to use the remainder of the net proceeds for general corporate purposes, which may include repaying borrowings outstanding under the Credit Facility, share repurchases or acquisitions.</w:t>
      </w:r>
    </w:p>
    <w:p>
      <w:pPr>
        <w:spacing w:after="0" w:line="1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March 18, 2019, the Company provided a notice of redemption to the trustee of the indenture governing the Retired Convertible Notes (the "Existing Indenture"), pursuant to which the Company would redeem all of the remaining principal amount outstanding of the Retired Convertible Notes on May 28, 2019 (the "Redemption Date") for cash at a redemption price equal to 100% of the principal amount of the Retired Convertible Notes redeemed plus accrued and unpaid interest, if any, to, but excluding, the Redemption Date. The issuance of the Convertible Notes and the conversion of the Retired Convertible Notes, resulted in a $25.6 million recognition and a $34.2 million reversal of deferred tax liabilities within the additional paid-in capital as of September 30, 2019, respectively.</w:t>
      </w:r>
    </w:p>
    <w:p>
      <w:pPr>
        <w:spacing w:after="0" w:line="1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Redemption Date, approximately $352.4 million principal amount of the Retired Convertible Notes were submitted for conversion. The Company elected to settle the conversion of such Retired Convertible Notes through a combination of cash and stock. The Company paid cash equal to $1,000 for each $1,000 principal amount of Retired Convertible Notes submitted for conversion and satisfied the remainder of the conversion obligation by issuing shares of the Company's Common Stock valued at $147.24 per share. As a result, the Company paid cash of $352.4 million and issued approximately 2.5 million shares of its Common Stock. In accordance with ASC 470, the Company recognized a loss of $9.8 million on the conversion and redemption of the debt for the first nine months of 2019, representing the difference between the fair value of the Retired Convertible Notes converted and the carrying value of the bonds at the time of conversion.</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Contractual interest expense for the Retired Convertible Notes was $1.5 million for the first nine months of 2019. Accretion expense was $4.6 million for the first nine months of 2019.</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Contractual interest expense for the Convertible Notes was $1.0 million and $2.1 million for the three and nine months ended September 30, 2019, respectively. Accretion expense was $3.7 million and $7.9 million for the three and nine months ended September 30, 2019, respectively. The effective interest rate was 4.4% for the three and nine months ended September 30, 2019. As of September 30, 2019, the unamortized discount was $91.7 million and will be amortized through March 2025.</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1.375% Senior Notes due 2026</w:t>
      </w:r>
    </w:p>
    <w:p>
      <w:pPr>
        <w:spacing w:after="0" w:line="1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September 30, 2019, the Company has outstanding €600 million ($653.9 million) principal amount of the Senior Notes. In addition, the Company may redeem some or all of these notes on or after February 22, 2026 at their principal amount plus any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Topic 815")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either the relatively short duration of the contract term or the effects of fluctuations in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rates being reflected concurrently in earnings for both the derivative instrument and the hedged transaction and having an offsetting effect.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September 30, 2019, the Company held in its Ria operations foreign currency forward contracts outstanding in the U.S. with a notional value of $146 million, primarily in Australian dollars, Canadian dollars, British pounds, euros and Mexican pesos.</w:t>
      </w:r>
    </w:p>
    <w:p>
      <w:pPr>
        <w:spacing w:after="0" w:line="7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September 30, 2019, the Company had foreign currency forward contracts outstanding with a notional value of $80 million, primarily in euros.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may hedge some or all of the resulting net currency risks by entering into offsetting contracts with established financial institution counterparties. Foreign exchange revenues from xe's total portfolio of positions were $17.5 million and $52.2 million for the three and nine months ended September 30, 2019, respectively, and $16.8 million and $52.5 million for the three and nine months ended September 30, 2018, respectively. All of the derivative contracts used in the Company's xe operations are economic hedges and are not designated as hedges under ASC Topic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duration of these derivative contracts is generally less than one year.</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equivalent U.S. dollar notional amounts of foreign currency derivative customer contracts held by the Company in its xe operations as</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of September 30, 2019 was approximately $1.3 billion. The majority of customer contracts are written in major currencies such as the U.S. dollar, euro, New Zealand dollar, British pound, and Australian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bottom w:val="single" w:sz="8" w:color="auto"/>
            </w:tcBorders>
            <w:gridSpan w:val="4"/>
          </w:tcPr>
          <w:p>
            <w:pPr>
              <w:jc w:val="center"/>
              <w:ind w:left="1059"/>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2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hedging instruments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Prepaid expenses and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exchange contracts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61,649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44,637</w:t>
            </w:r>
          </w:p>
        </w:tc>
        <w:tc>
          <w:tcPr>
            <w:tcW w:w="100" w:type="dxa"/>
            <w:vAlign w:val="bottom"/>
          </w:tcPr>
          <w:p>
            <w:pPr>
              <w:spacing w:after="0"/>
              <w:rPr>
                <w:sz w:val="20"/>
                <w:szCs w:val="20"/>
                <w:color w:val="auto"/>
              </w:rPr>
            </w:pPr>
          </w:p>
        </w:tc>
        <w:tc>
          <w:tcPr>
            <w:tcW w:w="222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September 30, 2019 and December 31, 2018 (in thousands):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90"/>
        </w:trPr>
        <w:tc>
          <w:tcPr>
            <w:tcW w:w="3320" w:type="dxa"/>
            <w:vAlign w:val="bottom"/>
            <w:gridSpan w:val="2"/>
            <w:vMerge w:val="continue"/>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61,649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61,649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3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44,637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44,637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Fair Value Measurements, for the determination of the fair values of derivatives.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gains and losses on derivatives in the Consolidated Statements of Income for the three and nine months ended September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10"/>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 of Gain Recognized in Income on Derivative Contracts (a)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820" w:type="dxa"/>
            <w:vAlign w:val="bottom"/>
            <w:gridSpan w:val="4"/>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 Income on</w:t>
            </w:r>
          </w:p>
        </w:tc>
        <w:tc>
          <w:tcPr>
            <w:tcW w:w="10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82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7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2,058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10,438</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8"/>
        <w:spacing w:after="0" w:line="266"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61,649</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r>
      <w:tr>
        <w:trPr>
          <w:trHeight w:val="400"/>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44,637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44,637</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Other Fair Value Disclosures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 of the Company’s Credit Facility approximates fair value because interest is primarily based on LIBOR, which resets at various intervals of less than one year. The Company estimates the fair values of the Convertible Notes and Senior Notes using quoted prices in inactive markets for identical liabilities (Level 2). As of September 30, 2019, the fair values of the Convertible Notes and the Senior Notes were $587.3 million and $659.2 million, respectively, with carrying values of $433.3 million and $653.9 million, respectively.</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1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The Company’s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52" w:lineRule="exact"/>
        <w:rPr>
          <w:sz w:val="20"/>
          <w:szCs w:val="20"/>
          <w:color w:val="auto"/>
        </w:rPr>
      </w:pPr>
    </w:p>
    <w:p>
      <w:pPr>
        <w:ind w:left="980" w:right="140" w:hanging="648"/>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Asia Pacific and the United States. The Company provides comprehensive electronic payment solutions consisting of ATM cash withdrawal services, ATM network participation, outsourced ATM and POS management solutions, credit and debit card outsourcing, dynamic currency conversion, domestic and international surcharge and other value added services. Through this segment, the Company also offers a suite of integrated electronic financial transaction software solutions for electronic payment and transaction delivery systems.</w:t>
      </w:r>
    </w:p>
    <w:p>
      <w:pPr>
        <w:spacing w:after="0" w:line="75" w:lineRule="exact"/>
        <w:rPr>
          <w:rFonts w:ascii="Times New Roman" w:cs="Times New Roman" w:eastAsia="Times New Roman" w:hAnsi="Times New Roman"/>
          <w:sz w:val="18"/>
          <w:szCs w:val="18"/>
          <w:color w:val="auto"/>
        </w:rPr>
      </w:pPr>
    </w:p>
    <w:p>
      <w:pPr>
        <w:ind w:left="980" w:right="12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the Company provides distribution, processing and collection services for prepaid mobile airtime and digital media products in Europe, the Middle East, Asia Pacific, the United States and South America.</w:t>
      </w:r>
    </w:p>
    <w:p>
      <w:pPr>
        <w:spacing w:after="0" w:line="53" w:lineRule="exact"/>
        <w:rPr>
          <w:rFonts w:ascii="Times New Roman" w:cs="Times New Roman" w:eastAsia="Times New Roman" w:hAnsi="Times New Roman"/>
          <w:sz w:val="18"/>
          <w:szCs w:val="18"/>
          <w:color w:val="auto"/>
        </w:rPr>
      </w:pPr>
    </w:p>
    <w:p>
      <w:pPr>
        <w:ind w:left="980" w:right="140" w:hanging="648"/>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the Company provides global money transfer services under the brand names Ria, IME and xe. Ria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and nine months ended September 30,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316,188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191,071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280,837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786,986</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405,081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23,936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101,354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58,715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27,846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165,287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171,008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245,189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11,512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592,996</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150,901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20,063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35,648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193,990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EFT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261,736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185,431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268,291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714,505</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101,763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142,665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144,758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388,236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21,653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48,945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93,108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55,787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26,461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151,337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169,005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234,040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563,592</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110,399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34,251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150,913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EFT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693,837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551,345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814,201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2,056,362</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300,460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419,362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435,901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1,152,725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64,706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44,939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155,424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292,699</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96,660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160,704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82,253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449,652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495,728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712,433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1,688,381</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244,185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55,617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101,768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367,981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EFT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592,333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528,739</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768,943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1,887,244</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412,895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1,093,072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145,420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24,178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270,537</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93,610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158,156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23,702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78,726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675,627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1,600,491</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174,868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49,650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93,316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286,753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property and equipment and total assets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 as of</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0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237,627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215,106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1,766,369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1,220,141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31,172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761,862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780,220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1,532,493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1,310,775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253,400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321,802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291,869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4,314,124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3,321,155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Money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274,313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130,602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499,540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574,620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368,830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273,760</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37,218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147,989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193,924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24,880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114,614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428,349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94,317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55,333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93,865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316,188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191,071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280,837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786,986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693,837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551,345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814,201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2,056,362</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2018</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5"/>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240,266</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1,065,476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420,568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95,049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261,736</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185,431</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268,291</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714,505</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592,333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528,739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768,943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1,887,244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Company's effective income tax rate was 21.2% and 26.0% for the three and nine months ended </w:t>
      </w:r>
      <w:r>
        <w:rPr>
          <w:rFonts w:ascii="Times New Roman" w:cs="Times New Roman" w:eastAsia="Times New Roman" w:hAnsi="Times New Roman"/>
          <w:sz w:val="18"/>
          <w:szCs w:val="18"/>
          <w:color w:val="252525"/>
        </w:rPr>
        <w:t>September 30, 2019</w:t>
      </w:r>
      <w:r>
        <w:rPr>
          <w:rFonts w:ascii="Times New Roman" w:cs="Times New Roman" w:eastAsia="Times New Roman" w:hAnsi="Times New Roman"/>
          <w:sz w:val="18"/>
          <w:szCs w:val="18"/>
          <w:color w:val="auto"/>
        </w:rPr>
        <w:t xml:space="preserve">, respectively, compared to 25.5% and 27.4% for the three and nine months ended September 30, 2018, respectively. The Company's effective income tax rates for the three and nine months ended </w:t>
      </w:r>
      <w:r>
        <w:rPr>
          <w:rFonts w:ascii="Times New Roman" w:cs="Times New Roman" w:eastAsia="Times New Roman" w:hAnsi="Times New Roman"/>
          <w:sz w:val="18"/>
          <w:szCs w:val="18"/>
          <w:color w:val="252525"/>
        </w:rPr>
        <w:t>September 30, 2019</w:t>
      </w:r>
      <w:r>
        <w:rPr>
          <w:rFonts w:ascii="Times New Roman" w:cs="Times New Roman" w:eastAsia="Times New Roman" w:hAnsi="Times New Roman"/>
          <w:sz w:val="18"/>
          <w:szCs w:val="18"/>
          <w:color w:val="auto"/>
        </w:rPr>
        <w:t xml:space="preserve"> and 2018 were higher than the applicable statutory income tax rate of 21% as a result of certain earnings of the Company in foreign jurisdictions being subject to higher local statutory income tax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had $75.7 million of stand-by letters of credit/bank guarantees issued on its behalf, of which $49.2 million are outstanding under the Credit Facility. The remaining stand-by letters of credit/bank guarantees are collateralized by $3.6 million of cash deposits held by the respective issuing banks.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certain circumstances, Euronet grants guarantees in support of obligations of subsidiaries. The Company has granted off balance sheet guarantees for cash in various ATM networks over the terms of the cash supply agreements amounting to</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$12.0 million as of September 30, 2019 and performance guarantees over the terms of agreements with the customers amounting to approximately $42.0 million as of September 30, 2019.</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2" w:lineRule="exact"/>
        <w:rPr>
          <w:sz w:val="20"/>
          <w:szCs w:val="20"/>
          <w:color w:val="auto"/>
        </w:rPr>
      </w:pPr>
    </w:p>
    <w:p>
      <w:pPr>
        <w:ind w:left="580" w:right="100" w:hanging="329"/>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that is not recorded on the Company’s Consolidated Balance Sheets. As of September 30, 2019, the balance of such cash used in the Company's ATM networks for which the Company was responsible was approximately $461 million. The Company maintains insurance policies to mitigate this exposure;</w:t>
      </w:r>
    </w:p>
    <w:p>
      <w:pPr>
        <w:spacing w:after="0" w:line="71" w:lineRule="exact"/>
        <w:rPr>
          <w:rFonts w:ascii="Times New Roman" w:cs="Times New Roman" w:eastAsia="Times New Roman" w:hAnsi="Times New Roman"/>
          <w:sz w:val="18"/>
          <w:szCs w:val="18"/>
          <w:color w:val="auto"/>
        </w:rPr>
      </w:pPr>
    </w:p>
    <w:p>
      <w:pPr>
        <w:ind w:left="580" w:right="80" w:hanging="329"/>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its customers and other parties as a result of any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1" w:lineRule="exact"/>
        <w:rPr>
          <w:rFonts w:ascii="Times New Roman" w:cs="Times New Roman" w:eastAsia="Times New Roman" w:hAnsi="Times New Roman"/>
          <w:sz w:val="18"/>
          <w:szCs w:val="18"/>
          <w:color w:val="auto"/>
        </w:rPr>
      </w:pPr>
    </w:p>
    <w:p>
      <w:pPr>
        <w:ind w:left="580" w:right="18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68" w:lineRule="exact"/>
        <w:rPr>
          <w:rFonts w:ascii="Times New Roman" w:cs="Times New Roman" w:eastAsia="Times New Roman" w:hAnsi="Times New Roman"/>
          <w:sz w:val="18"/>
          <w:szCs w:val="18"/>
          <w:color w:val="auto"/>
        </w:rPr>
      </w:pPr>
    </w:p>
    <w:p>
      <w:pPr>
        <w:ind w:left="580" w:right="14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68" w:lineRule="exact"/>
        <w:rPr>
          <w:rFonts w:ascii="Times New Roman" w:cs="Times New Roman" w:eastAsia="Times New Roman" w:hAnsi="Times New Roman"/>
          <w:sz w:val="18"/>
          <w:szCs w:val="18"/>
          <w:color w:val="auto"/>
        </w:rPr>
      </w:pPr>
    </w:p>
    <w:p>
      <w:pPr>
        <w:ind w:left="580" w:right="60" w:hanging="329"/>
        <w:spacing w:after="0" w:line="25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79" w:lineRule="exact"/>
        <w:rPr>
          <w:rFonts w:ascii="Times New Roman" w:cs="Times New Roman" w:eastAsia="Times New Roman" w:hAnsi="Times New Roman"/>
          <w:sz w:val="18"/>
          <w:szCs w:val="18"/>
          <w:color w:val="auto"/>
        </w:rPr>
      </w:pPr>
    </w:p>
    <w:p>
      <w:pPr>
        <w:ind w:left="580" w:right="42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September 30, 2019 or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LITIGATION AND CONTINGENCIES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 All leases with fixed payments, including leases with an initial term of 12 months or less are recorded on the balance sheet. The Company recognizes lease expense for these leases on a straight-line basis over the lease term.</w:t>
      </w:r>
    </w:p>
    <w:p>
      <w:pPr>
        <w:spacing w:after="0" w:line="9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a majority of the ATM site leases. Since the Company is not reasonably certain to exercise the renewal or terminal options, the options are not considered in determining the lease terms, and associated payment impacts are excluded from lease payments.</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operating leases as of September 30, 2019 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r>
      <w:tr>
        <w:trPr>
          <w:trHeight w:val="252"/>
        </w:trPr>
        <w:tc>
          <w:tcPr>
            <w:tcW w:w="8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Maturity of Lease Liabilities </w:t>
            </w: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31,069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112,601</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81,457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56,546</w:t>
            </w: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37,171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57,783</w:t>
            </w:r>
          </w:p>
        </w:tc>
      </w:tr>
      <w:tr>
        <w:trPr>
          <w:trHeight w:val="27"/>
        </w:trPr>
        <w:tc>
          <w:tcPr>
            <w:tcW w:w="8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376,627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w:t>
            </w:r>
          </w:p>
        </w:tc>
      </w:tr>
      <w:tr>
        <w:trPr>
          <w:trHeight w:val="27"/>
        </w:trPr>
        <w:tc>
          <w:tcPr>
            <w:tcW w:w="8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352,602</w:t>
            </w:r>
          </w:p>
        </w:tc>
      </w:tr>
      <w:tr>
        <w:trPr>
          <w:trHeight w:val="20"/>
        </w:trPr>
        <w:tc>
          <w:tcPr>
            <w:tcW w:w="8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non-cancelable operating leases (with initial lease terms in excess of one year) as of December 31, 2018 were:</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9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80,803</w:t>
            </w:r>
          </w:p>
        </w:tc>
        <w:tc>
          <w:tcPr>
            <w:tcW w:w="0" w:type="dxa"/>
            <w:vAlign w:val="bottom"/>
          </w:tcPr>
          <w:p>
            <w:pPr>
              <w:spacing w:after="0"/>
              <w:rPr>
                <w:sz w:val="1"/>
                <w:szCs w:val="1"/>
                <w:color w:val="auto"/>
              </w:rPr>
            </w:pP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65,590</w:t>
            </w:r>
          </w:p>
        </w:tc>
        <w:tc>
          <w:tcPr>
            <w:tcW w:w="0" w:type="dxa"/>
            <w:vAlign w:val="bottom"/>
          </w:tcPr>
          <w:p>
            <w:pPr>
              <w:spacing w:after="0"/>
              <w:rPr>
                <w:sz w:val="1"/>
                <w:szCs w:val="1"/>
                <w:color w:val="auto"/>
              </w:rPr>
            </w:pPr>
          </w:p>
        </w:tc>
      </w:tr>
      <w:tr>
        <w:trPr>
          <w:trHeight w:val="243"/>
        </w:trPr>
        <w:tc>
          <w:tcPr>
            <w:tcW w:w="9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49,052</w:t>
            </w:r>
          </w:p>
        </w:tc>
        <w:tc>
          <w:tcPr>
            <w:tcW w:w="0" w:type="dxa"/>
            <w:vAlign w:val="bottom"/>
          </w:tcPr>
          <w:p>
            <w:pPr>
              <w:spacing w:after="0"/>
              <w:rPr>
                <w:sz w:val="1"/>
                <w:szCs w:val="1"/>
                <w:color w:val="auto"/>
              </w:rPr>
            </w:pP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37,823</w:t>
            </w:r>
          </w:p>
        </w:tc>
        <w:tc>
          <w:tcPr>
            <w:tcW w:w="0" w:type="dxa"/>
            <w:vAlign w:val="bottom"/>
          </w:tcPr>
          <w:p>
            <w:pPr>
              <w:spacing w:after="0"/>
              <w:rPr>
                <w:sz w:val="1"/>
                <w:szCs w:val="1"/>
                <w:color w:val="auto"/>
              </w:rPr>
            </w:pPr>
          </w:p>
        </w:tc>
      </w:tr>
      <w:tr>
        <w:trPr>
          <w:trHeight w:val="243"/>
        </w:trPr>
        <w:tc>
          <w:tcPr>
            <w:tcW w:w="9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30,192</w:t>
            </w:r>
          </w:p>
        </w:tc>
        <w:tc>
          <w:tcPr>
            <w:tcW w:w="0" w:type="dxa"/>
            <w:vAlign w:val="bottom"/>
          </w:tcPr>
          <w:p>
            <w:pPr>
              <w:spacing w:after="0"/>
              <w:rPr>
                <w:sz w:val="1"/>
                <w:szCs w:val="1"/>
                <w:color w:val="auto"/>
              </w:rPr>
            </w:pPr>
          </w:p>
        </w:tc>
      </w:tr>
      <w:tr>
        <w:trPr>
          <w:trHeight w:val="27"/>
        </w:trPr>
        <w:tc>
          <w:tcPr>
            <w:tcW w:w="9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48,191</w:t>
            </w:r>
          </w:p>
        </w:tc>
        <w:tc>
          <w:tcPr>
            <w:tcW w:w="0" w:type="dxa"/>
            <w:vAlign w:val="bottom"/>
          </w:tcPr>
          <w:p>
            <w:pPr>
              <w:spacing w:after="0"/>
              <w:rPr>
                <w:sz w:val="1"/>
                <w:szCs w:val="1"/>
                <w:color w:val="auto"/>
              </w:rPr>
            </w:pPr>
          </w:p>
        </w:tc>
      </w:tr>
      <w:tr>
        <w:trPr>
          <w:trHeight w:val="237"/>
        </w:trPr>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311,651</w:t>
            </w:r>
          </w:p>
        </w:tc>
        <w:tc>
          <w:tcPr>
            <w:tcW w:w="0" w:type="dxa"/>
            <w:vAlign w:val="bottom"/>
          </w:tcPr>
          <w:p>
            <w:pPr>
              <w:spacing w:after="0"/>
              <w:rPr>
                <w:sz w:val="1"/>
                <w:szCs w:val="1"/>
                <w:color w:val="auto"/>
              </w:rPr>
            </w:pPr>
          </w:p>
        </w:tc>
      </w:tr>
      <w:tr>
        <w:trPr>
          <w:trHeight w:val="27"/>
        </w:trPr>
        <w:tc>
          <w:tcPr>
            <w:tcW w:w="9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Lease Expense </w:t>
            </w:r>
            <w:r>
              <w:rPr>
                <w:rFonts w:ascii="Times New Roman" w:cs="Times New Roman" w:eastAsia="Times New Roman" w:hAnsi="Times New Roman"/>
                <w:sz w:val="14"/>
                <w:szCs w:val="14"/>
                <w:i w:val="1"/>
                <w:iCs w:val="1"/>
                <w:color w:val="auto"/>
              </w:rPr>
              <w:t>(in thousands)</w:t>
            </w:r>
          </w:p>
        </w:tc>
        <w:tc>
          <w:tcPr>
            <w:tcW w:w="448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400" w:type="dxa"/>
            <w:vAlign w:val="bottom"/>
          </w:tcPr>
          <w:p>
            <w:pPr>
              <w:spacing w:after="0"/>
              <w:rPr>
                <w:sz w:val="13"/>
                <w:szCs w:val="13"/>
                <w:color w:val="auto"/>
              </w:rPr>
            </w:pPr>
          </w:p>
        </w:tc>
        <w:tc>
          <w:tcPr>
            <w:tcW w:w="16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4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Selling, general and administrative and Direct</w:t>
            </w: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4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operating costs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35,068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98,641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spacing w:after="0"/>
              <w:rPr>
                <w:sz w:val="19"/>
                <w:szCs w:val="19"/>
                <w:color w:val="auto"/>
              </w:rPr>
            </w:pPr>
          </w:p>
        </w:tc>
        <w:tc>
          <w:tcPr>
            <w:tcW w:w="4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Selling, general and administrative and Direct</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expense</w:t>
            </w:r>
          </w:p>
        </w:tc>
        <w:tc>
          <w:tcPr>
            <w:tcW w:w="4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operating costs</w:t>
            </w:r>
          </w:p>
        </w:tc>
        <w:tc>
          <w:tcPr>
            <w:tcW w:w="400" w:type="dxa"/>
            <w:vAlign w:val="bottom"/>
            <w:shd w:val="clear" w:color="auto" w:fill="CCEEFF"/>
          </w:tcPr>
          <w:p>
            <w:pPr>
              <w:spacing w:after="0"/>
              <w:rPr>
                <w:sz w:val="20"/>
                <w:szCs w:val="20"/>
                <w:color w:val="auto"/>
              </w:rPr>
            </w:pPr>
          </w:p>
        </w:tc>
        <w:tc>
          <w:tcPr>
            <w:tcW w:w="16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12,653</w:t>
            </w:r>
          </w:p>
        </w:tc>
        <w:tc>
          <w:tcPr>
            <w:tcW w:w="320" w:type="dxa"/>
            <w:vAlign w:val="bottom"/>
            <w:shd w:val="clear" w:color="auto" w:fill="CCEEFF"/>
          </w:tcPr>
          <w:p>
            <w:pPr>
              <w:spacing w:after="0"/>
              <w:rPr>
                <w:sz w:val="20"/>
                <w:szCs w:val="20"/>
                <w:color w:val="auto"/>
              </w:rPr>
            </w:pPr>
          </w:p>
        </w:tc>
        <w:tc>
          <w:tcPr>
            <w:tcW w:w="160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31,541</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vMerge w:val="continue"/>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vMerge w:val="continue"/>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4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47,721</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130,182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p>
      <w:pPr>
        <w:sectPr>
          <w:pgSz w:w="11900" w:h="16838" w:orient="portrait"/>
          <w:cols w:equalWidth="0" w:num="1">
            <w:col w:w="11420"/>
          </w:cols>
          <w:pgMar w:left="240" w:top="121" w:right="239" w:bottom="1440" w:gutter="0" w:footer="0" w:header="0"/>
        </w:sectPr>
      </w:pP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 of September 30, 2019</w:t>
      </w:r>
    </w:p>
    <w:p>
      <w:pPr>
        <w:spacing w:after="0" w:line="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4.5</w:t>
      </w:r>
    </w:p>
    <w:p>
      <w:pPr>
        <w:spacing w:after="0" w:line="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ectPr>
          <w:pgSz w:w="11900" w:h="16838" w:orient="portrait"/>
          <w:cols w:equalWidth="0" w:num="2">
            <w:col w:w="8740" w:space="720"/>
            <w:col w:w="1960"/>
          </w:cols>
          <w:pgMar w:left="240" w:top="121" w:right="2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4"/>
                <w:szCs w:val="14"/>
                <w:i w:val="1"/>
                <w:iCs w:val="1"/>
                <w:color w:val="auto"/>
              </w:rPr>
              <w:t>(in thousands)</w:t>
            </w:r>
          </w:p>
        </w:tc>
        <w:tc>
          <w:tcPr>
            <w:tcW w:w="3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2"/>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tc>
        <w:tc>
          <w:tcPr>
            <w:tcW w:w="18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97,209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18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8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176,104</w:t>
            </w: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Included in Net cash provided by operating activities on the Company's Consolidated Statements of Cash Flows.</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76"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and financing plans and requirements;</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our business;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assumptions underlying our business plans;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capital expenditures;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outcome of loss contingencies;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regulatory action;</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and</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costs and revenues.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negotiations related to the United Kingdom's proposed departure from the European Union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 the impact of changes in laws and regulations affecting the profitability of our services, including regulation of DCC transactions or ATM access fees by the E.U.; our ability to comply with increasingly stringent regulatory requirements, including anti-money laundering, anti-terrorism, anti-bribery, consumer and data protection and the E.U.'s General Data Privacy Regulation and the Services Payment Directive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general economic, financial and market conditions and the duration and extent of any future economic downturns; the cost of borrowing, availability of credit and terms of and compliance with debt covenants; renewal of sources of funding as they expire and the availability of replacement funding; the outlook for markets we serve; and those factors referred to above and as set forth and more fully described in Part I, Item 1A — Risk Factors of our Annual Report on Form 10-K for the year ended December 31, 2018 and in Part II, Item 1A-Risk Factors in our Quarterly Reports on Form 10-Q for the quarters ended March 31, 2019 and September 30, 2019.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and cloud based payment solutions; electronic distribution of prepaid mobile airtime and other digital media and electronic payment products; foreign currency exchange services and global money transfer services. We operate in the following three segments:</w:t>
      </w:r>
    </w:p>
    <w:p>
      <w:pPr>
        <w:spacing w:after="0" w:line="76" w:lineRule="exact"/>
        <w:rPr>
          <w:sz w:val="20"/>
          <w:szCs w:val="20"/>
          <w:color w:val="auto"/>
        </w:rPr>
      </w:pPr>
    </w:p>
    <w:p>
      <w:pPr>
        <w:ind w:left="980" w:right="220" w:hanging="648"/>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which processes transactions for a network of 47,209 ATMs and approximately 305,000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domestic and international surcharge and other value added services. Through this segment, we also offer a suite of integrated electronic financial transaction software solutions for electronic payment and transaction delivery systems.</w:t>
      </w:r>
    </w:p>
    <w:p>
      <w:pPr>
        <w:spacing w:after="0" w:line="7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which provides distribution, processing and collection services for digital media (formerly referred to as non-mobile content) and prepaid mobile airtime. We operate a network of approximately 710,000 POS terminals providing electronic processing of digital media and prepaid mobile airtime top-up services in Europe, the Middle East, Asia Pacific, the United States and South America. We also provide vouchers and physical gift fulfillment services in Europe.</w:t>
      </w:r>
    </w:p>
    <w:p>
      <w:pPr>
        <w:spacing w:after="0" w:line="71" w:lineRule="exact"/>
        <w:rPr>
          <w:rFonts w:ascii="Times New Roman" w:cs="Times New Roman" w:eastAsia="Times New Roman" w:hAnsi="Times New Roman"/>
          <w:sz w:val="18"/>
          <w:szCs w:val="18"/>
          <w:color w:val="auto"/>
        </w:rPr>
      </w:pPr>
    </w:p>
    <w:p>
      <w:pPr>
        <w:ind w:left="980" w:right="60" w:hanging="648"/>
        <w:spacing w:after="0" w:line="25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which provides global consumer-to-consumer money transfer services, primarily under the brand names Ria, IME and xe. xe also provides global account-to-account money transfer services. We offer services under the brand names Ria and IME through a network of sending agents, Company-owned stores (primarily in North America, Europe and Malaysia) and Ria branded websites (riamoneytransfer.com and online.imeremit.com), disbursing money transfers through a worldwide correspondent network that includes approximately 389,000 locations. xe offers money transfer services on its websites (xe.com and x-rates.com) and through its customer service representatives. The xe websites also provide foreign currency exchange information.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We offer services under the brand name xe through our websites (www.xe.com and https://transfer.xe.com). Through our HiFM brand, we offer cash management solutions and foreign currency risk management services to small-to-medium sized businesses.</w:t>
      </w:r>
    </w:p>
    <w:p>
      <w:pPr>
        <w:spacing w:after="0" w:line="78" w:lineRule="exact"/>
        <w:rPr>
          <w:sz w:val="20"/>
          <w:szCs w:val="20"/>
          <w:color w:val="auto"/>
        </w:rPr>
      </w:pPr>
    </w:p>
    <w:p>
      <w:pPr>
        <w:ind w:left="60" w:right="100"/>
        <w:spacing w:after="0" w:line="261"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36 principal offices in Europe, 14 in Asia Pacific, nine in North America, three in the Middle East, two in South America and one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40% and 34% of total consolidated revenues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and first nine months of 2019,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24% and 26% of total consolidated revenues for the third quarter and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2019, respectively, are derived from commissions or processing fees received from mobile phone operators for the processing and distribution of prepaid mobile airtime and commissions earned from the distribution of other digital media products, vouchers, and physical gifts. The proportion of epay Segment revenues earned from the distribution of prepaid mobile phone time as compared with other digital media has decreased over time, and digital media now produces approximately 62% of epay Segment revenues. Other digital media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Money Transfer Segment </w:t>
      </w:r>
      <w:r>
        <w:rPr>
          <w:rFonts w:ascii="Times New Roman" w:cs="Times New Roman" w:eastAsia="Times New Roman" w:hAnsi="Times New Roman"/>
          <w:sz w:val="17"/>
          <w:szCs w:val="17"/>
          <w:color w:val="auto"/>
        </w:rPr>
        <w:t>— Revenues in the Money Transfer Segment, which represented approximately 36% and 40% of total consolidated revenues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third quarter and first nine months of 2019,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6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ATMs and cash deposit terminals in our independent networks;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transactions processed on our network of owned and operated ATMs and POS devices;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new outsourced ATM and POS terminal management contracts;</w:t>
      </w:r>
    </w:p>
    <w:p>
      <w:pPr>
        <w:spacing w:after="0" w:line="117"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value added services and other products offered by our EFT Processing Segment, including the sale of DCC, acquiring and other prepaid card services to banks and retailers;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epay processing network and portfolio of digital content;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money transfer services, cross-currency payment products and bill payment network;</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cash management solutions and foreign currency risk management services;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credit and debit card outsourcing business.</w:t>
      </w:r>
    </w:p>
    <w:p>
      <w:pPr>
        <w:spacing w:after="0" w:line="11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The continued expansion and development of our EFT Processing Segment business will depend on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necessarily limited to, the following:</w:t>
      </w:r>
    </w:p>
    <w:p>
      <w:pPr>
        <w:spacing w:after="0" w:line="52"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by banks and other ATM operators and service providers in our current target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ATM outsourcing services in our current target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or services, including value added services, to drive increases in transactions and revenues;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various business lines in markets where we operate and in new markets;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additional card acceptance and ATM management agreements with banks;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licenses in markets we intend to enter or expand services;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sponsorship agreements;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renew ATM network cash supply agreements with financial institutions;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expansion;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install ATMs contracted under newly awarded outsourcing agreements;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at profitable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pricing at current levels or mitigate price reductions in certain markets;</w:t>
      </w:r>
    </w:p>
    <w:p>
      <w:pPr>
        <w:spacing w:after="0" w:line="117" w:lineRule="exact"/>
        <w:rPr>
          <w:rFonts w:ascii="Times New Roman" w:cs="Times New Roman" w:eastAsia="Times New Roman" w:hAnsi="Times New Roman"/>
          <w:sz w:val="18"/>
          <w:szCs w:val="18"/>
          <w:color w:val="auto"/>
        </w:rPr>
      </w:pPr>
    </w:p>
    <w:p>
      <w:pPr>
        <w:ind w:left="98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68"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and regulations affecting the profitability of our services, including regulation of DCC transactions or ATM access fees by the E.U.;</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sign additional customers for the cross-border merchant processing and acquiring business;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5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The continued expansion and development of the epay Segment business will depend on various factors, including, but not necessarily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the following:</w:t>
      </w:r>
    </w:p>
    <w:p>
      <w:pPr>
        <w:spacing w:after="0" w:line="52" w:lineRule="exact"/>
        <w:rPr>
          <w:sz w:val="20"/>
          <w:szCs w:val="20"/>
          <w:color w:val="auto"/>
        </w:rPr>
      </w:pPr>
    </w:p>
    <w:p>
      <w:pPr>
        <w:ind w:left="980" w:right="36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existing expertise and relationships with mobile operators, digital content providers and retailers to our advantage;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use of third-party providers such as ourselves to supply electronic processing solutions for existing and additional digital content;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mobile phone networks in the markets in which we do business and the increase in the number of mobile phone users;</w:t>
      </w:r>
    </w:p>
    <w:p>
      <w:pPr>
        <w:spacing w:after="0" w:line="117" w:lineRule="exact"/>
        <w:rPr>
          <w:rFonts w:ascii="Times New Roman" w:cs="Times New Roman" w:eastAsia="Times New Roman" w:hAnsi="Times New Roman"/>
          <w:sz w:val="18"/>
          <w:szCs w:val="18"/>
          <w:color w:val="auto"/>
        </w:rPr>
      </w:pPr>
    </w:p>
    <w:p>
      <w:pPr>
        <w:ind w:left="980" w:right="40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pace of growth in the prepaid mobile phone and digital content market, including consumer shifts between prepaid and postpaid services and moves by mobile operators to sell prepaid mobile airtime directly to consumers;</w:t>
      </w:r>
    </w:p>
    <w:p>
      <w:pPr>
        <w:spacing w:after="0" w:line="53" w:lineRule="exact"/>
        <w:rPr>
          <w:rFonts w:ascii="Times New Roman" w:cs="Times New Roman" w:eastAsia="Times New Roman" w:hAnsi="Times New Roman"/>
          <w:sz w:val="18"/>
          <w:szCs w:val="18"/>
          <w:color w:val="auto"/>
        </w:rPr>
      </w:pPr>
    </w:p>
    <w:p>
      <w:pPr>
        <w:ind w:left="980" w:right="34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among mobile operators on the cost of mobile data and airtime which results in fewer or less frequent purchases of prepaid mobile airtime by consumers;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share of the retail distribution capacity;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that may compete with POS distribution of prepaid mobile airtime and other products;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commission that is paid to the various intermediaries in the electronic payment distribution chain;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recover monies collected by retailers;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and differentiated products in addition to those offered by mobile operators;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effectively market additional value added services;</w:t>
      </w:r>
    </w:p>
    <w:p>
      <w:pPr>
        <w:spacing w:after="0" w:line="117" w:lineRule="exact"/>
        <w:rPr>
          <w:rFonts w:ascii="Times New Roman" w:cs="Times New Roman" w:eastAsia="Times New Roman" w:hAnsi="Times New Roman"/>
          <w:sz w:val="18"/>
          <w:szCs w:val="18"/>
          <w:color w:val="auto"/>
        </w:rPr>
      </w:pPr>
    </w:p>
    <w:p>
      <w:pPr>
        <w:ind w:left="980" w:right="10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cross-selling opportunities with our EFT Processing and Money Transfer Segments, including providing money transfer services through our distribution network;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further expansion.</w:t>
      </w:r>
    </w:p>
    <w:p>
      <w:pPr>
        <w:spacing w:after="0" w:line="3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digital media products, expansion of our network of retailers and access to products of mobile operators and other digital media providers) remain present.</w:t>
      </w:r>
    </w:p>
    <w:p>
      <w:pPr>
        <w:spacing w:after="0" w:line="7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 </w:t>
      </w:r>
      <w:r>
        <w:rPr>
          <w:rFonts w:ascii="Times New Roman" w:cs="Times New Roman" w:eastAsia="Times New Roman" w:hAnsi="Times New Roman"/>
          <w:sz w:val="18"/>
          <w:szCs w:val="18"/>
          <w:color w:val="auto"/>
        </w:rPr>
        <w:t>The continued expansion and development of our Money Transfer Segment business will depend on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necessarily limited to, the following:</w:t>
      </w:r>
    </w:p>
    <w:p>
      <w:pPr>
        <w:spacing w:after="0" w:line="52"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in worker migration and employment opportunities;</w:t>
      </w:r>
    </w:p>
    <w:p>
      <w:pPr>
        <w:spacing w:after="0" w:line="117" w:lineRule="exact"/>
        <w:rPr>
          <w:rFonts w:ascii="Times New Roman" w:cs="Times New Roman" w:eastAsia="Times New Roman" w:hAnsi="Times New Roman"/>
          <w:sz w:val="18"/>
          <w:szCs w:val="18"/>
          <w:color w:val="auto"/>
        </w:rPr>
      </w:pPr>
    </w:p>
    <w:p>
      <w:pPr>
        <w:ind w:left="980" w:right="22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53" w:lineRule="exact"/>
        <w:rPr>
          <w:rFonts w:ascii="Times New Roman" w:cs="Times New Roman" w:eastAsia="Times New Roman" w:hAnsi="Times New Roman"/>
          <w:sz w:val="18"/>
          <w:szCs w:val="18"/>
          <w:color w:val="auto"/>
        </w:rPr>
      </w:pPr>
    </w:p>
    <w:p>
      <w:pPr>
        <w:ind w:left="980" w:right="6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the trend of increased use of electronic money transfer and bill payment services among high-income individuals, immigrant workers and the unbanked population in our markets;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agent and correspondent networks;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and services or develop new products and services at competitive prices to drive increases in transactions;</w:t>
      </w:r>
    </w:p>
    <w:p>
      <w:pPr>
        <w:spacing w:after="0" w:line="117" w:lineRule="exact"/>
        <w:rPr>
          <w:rFonts w:ascii="Times New Roman" w:cs="Times New Roman" w:eastAsia="Times New Roman" w:hAnsi="Times New Roman"/>
          <w:sz w:val="18"/>
          <w:szCs w:val="18"/>
          <w:color w:val="auto"/>
        </w:rPr>
      </w:pPr>
    </w:p>
    <w:p>
      <w:pPr>
        <w:ind w:left="980" w:right="34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that may compete with our money transfer network, and our ability to acquire, develop and implement new technologies;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services in markets where we operate and in new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brands;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working capital requirements;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from agents funds collected from customers and our ability to recover advances made to correspondents;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regulatory requirements of the jurisdictions in which we operate or plan to operate;</w:t>
      </w:r>
    </w:p>
    <w:p>
      <w:pPr>
        <w:spacing w:after="0" w:line="117" w:lineRule="exact"/>
        <w:rPr>
          <w:rFonts w:ascii="Times New Roman" w:cs="Times New Roman" w:eastAsia="Times New Roman" w:hAnsi="Times New Roman"/>
          <w:sz w:val="18"/>
          <w:szCs w:val="18"/>
          <w:color w:val="auto"/>
        </w:rPr>
      </w:pPr>
    </w:p>
    <w:p>
      <w:pPr>
        <w:ind w:left="980" w:right="1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cross-selling opportunities with the epay Segment, including providing prepaid services through our stores and agents worldwide;</w:t>
      </w:r>
    </w:p>
    <w:p>
      <w:pPr>
        <w:spacing w:after="0" w:line="53"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further expansion;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banking relationships necessary for us to service our customers;</w:t>
      </w:r>
    </w:p>
    <w:p>
      <w:pPr>
        <w:spacing w:after="0" w:line="117"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agent network in Europe using our payment institution licenses under the PSD2 and using our various licenses in the United States;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additional value-added products under the xe brand.</w:t>
      </w:r>
    </w:p>
    <w:p>
      <w:pPr>
        <w:spacing w:after="0" w:line="3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and nine months ended September 30, 2019 and 2018 are summarized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Revenues for the Three Months Ended</w:t>
            </w:r>
          </w:p>
        </w:tc>
        <w:tc>
          <w:tcPr>
            <w:tcW w:w="120" w:type="dxa"/>
            <w:vAlign w:val="bottom"/>
          </w:tcPr>
          <w:p>
            <w:pPr>
              <w:spacing w:after="0"/>
              <w:rPr>
                <w:sz w:val="13"/>
                <w:szCs w:val="13"/>
                <w:color w:val="auto"/>
              </w:rPr>
            </w:pPr>
          </w:p>
        </w:tc>
        <w:tc>
          <w:tcPr>
            <w:tcW w:w="1760" w:type="dxa"/>
            <w:vAlign w:val="bottom"/>
            <w:gridSpan w:val="5"/>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vMerge w:val="restart"/>
          </w:tcPr>
          <w:p>
            <w:pPr>
              <w:spacing w:after="0"/>
              <w:rPr>
                <w:sz w:val="13"/>
                <w:szCs w:val="13"/>
                <w:color w:val="auto"/>
              </w:rPr>
            </w:pPr>
          </w:p>
        </w:tc>
        <w:tc>
          <w:tcPr>
            <w:tcW w:w="24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for the Nine Months Ended</w:t>
            </w:r>
          </w:p>
        </w:tc>
        <w:tc>
          <w:tcPr>
            <w:tcW w:w="140" w:type="dxa"/>
            <w:vAlign w:val="bottom"/>
          </w:tcPr>
          <w:p>
            <w:pPr>
              <w:spacing w:after="0"/>
              <w:rPr>
                <w:sz w:val="13"/>
                <w:szCs w:val="13"/>
                <w:color w:val="auto"/>
              </w:rPr>
            </w:pPr>
          </w:p>
        </w:tc>
        <w:tc>
          <w:tcPr>
            <w:tcW w:w="186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2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261,736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54,452</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693,837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101,504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185,431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551,345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22,606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268,291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814,201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768,943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45,258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788,096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715,458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72,638</w:t>
            </w:r>
          </w:p>
        </w:tc>
        <w:tc>
          <w:tcPr>
            <w:tcW w:w="20" w:type="dxa"/>
            <w:vAlign w:val="bottom"/>
            <w:tcBorders>
              <w:top w:val="single" w:sz="8" w:color="auto"/>
            </w:tcBorders>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2,059,383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1,890,015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169,368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eliminations and other</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23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786,986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714,505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20" w:type="dxa"/>
            <w:vAlign w:val="bottom"/>
            <w:tcBorders>
              <w:top w:val="single" w:sz="8" w:color="auto"/>
              <w:bottom w:val="single" w:sz="8" w:color="auto"/>
            </w:tcBorders>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2,056,362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1,887,244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169,118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 Income (Expense) for the</w:t>
            </w:r>
          </w:p>
        </w:tc>
        <w:tc>
          <w:tcPr>
            <w:tcW w:w="120" w:type="dxa"/>
            <w:vAlign w:val="bottom"/>
          </w:tcPr>
          <w:p>
            <w:pPr>
              <w:spacing w:after="0"/>
              <w:rPr>
                <w:sz w:val="23"/>
                <w:szCs w:val="23"/>
                <w:color w:val="auto"/>
              </w:rPr>
            </w:pPr>
          </w:p>
        </w:tc>
        <w:tc>
          <w:tcPr>
            <w:tcW w:w="186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20" w:type="dxa"/>
            <w:vAlign w:val="bottom"/>
          </w:tcPr>
          <w:p>
            <w:pPr>
              <w:spacing w:after="0"/>
              <w:rPr>
                <w:sz w:val="23"/>
                <w:szCs w:val="23"/>
                <w:color w:val="auto"/>
              </w:rPr>
            </w:pPr>
          </w:p>
        </w:tc>
        <w:tc>
          <w:tcPr>
            <w:tcW w:w="23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Income (Expense) for the</w:t>
            </w:r>
          </w:p>
        </w:tc>
        <w:tc>
          <w:tcPr>
            <w:tcW w:w="140" w:type="dxa"/>
            <w:vAlign w:val="bottom"/>
          </w:tcPr>
          <w:p>
            <w:pPr>
              <w:spacing w:after="0"/>
              <w:rPr>
                <w:sz w:val="23"/>
                <w:szCs w:val="23"/>
                <w:color w:val="auto"/>
              </w:rPr>
            </w:pPr>
          </w:p>
        </w:tc>
        <w:tc>
          <w:tcPr>
            <w:tcW w:w="186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8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2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150,901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110,399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40,502</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69,317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2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3,637</w:t>
            </w:r>
          </w:p>
        </w:tc>
        <w:tc>
          <w:tcPr>
            <w:tcW w:w="20" w:type="dxa"/>
            <w:vAlign w:val="bottom"/>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5,967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35,648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101,768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93,316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8,452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206,612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161,076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45,536</w:t>
            </w:r>
          </w:p>
        </w:tc>
        <w:tc>
          <w:tcPr>
            <w:tcW w:w="20" w:type="dxa"/>
            <w:vAlign w:val="bottom"/>
          </w:tcPr>
          <w:p>
            <w:pPr>
              <w:spacing w:after="0"/>
              <w:rPr>
                <w:sz w:val="20"/>
                <w:szCs w:val="20"/>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401,570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317,834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83,736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eliminations and other</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(33,589)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23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193,990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150,913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43,077</w:t>
            </w:r>
          </w:p>
        </w:tc>
        <w:tc>
          <w:tcPr>
            <w:tcW w:w="20" w:type="dxa"/>
            <w:vAlign w:val="bottom"/>
          </w:tcPr>
          <w:p>
            <w:pPr>
              <w:spacing w:after="0"/>
              <w:rPr>
                <w:sz w:val="22"/>
                <w:szCs w:val="22"/>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367,981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286,753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81,228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third quarter and first nine months of 2019 were approximately 4% and 5% less, respectively, due to the changes in foreign currency exchange rates when compared to the same periods of 2018.</w:t>
      </w:r>
    </w:p>
    <w:p>
      <w:pPr>
        <w:spacing w:after="0" w:line="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70"/>
        </w:trPr>
        <w:tc>
          <w:tcPr>
            <w:tcW w:w="2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0.7311</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0.7579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0.0034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0.0036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0.0035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0.0038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0.0143</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0.0149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0.2403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0.2444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0.2420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0.6684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0.6999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0.2573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0.2702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0.2613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0.2814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59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30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1" w:right="3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AND NINE MONTHS ENDED SEPTEMBER 30,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2019 and 2018 for our EFT Processing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8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2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9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2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316,188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261,736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54,452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693,837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592,333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101,504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57,704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165,287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151,337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449,652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417,465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150,901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110,399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40,502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244,185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174,868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69,317</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5"/>
        </w:trPr>
        <w:tc>
          <w:tcPr>
            <w:tcW w:w="2660" w:type="dxa"/>
            <w:vAlign w:val="bottom"/>
            <w:gridSpan w:val="2"/>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ATMs as of September 30,</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5,307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5,307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ATMs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44,574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39,975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EFT Processing Segment total revenues for the three and nine months ended September 30, 2019 were $316.2 million and $693.8 million, respectively, an increase of $54.5 million or 21% and $101.5 million or 17% as compared to the same periods in 2018, respectively. The increases in total revenues for the three and nine months ended September 30, 2019 were primarily due to an increase in the number of ATMs under management in Europe and Asia Pacific. Specifically, the increase in the number of ATMs contributed to increases in the number of transactions processed. The transaction growth includes an increase in value-added transactions on the ATMs and point-of-sale terminals, primarily attributable to increases in DCC transactions due to Visa's rule change to allow our ATMs to provide DCC beginning second quarter of 2019, domestic and international surcharge, and foreign currency dispensing. Foreign currency exchange rate movements decreased total revenues by approximately $12.7 million and $37.5 million for the three and nine months ended September 30, 2019, respectively, as compared to the same periods in 2018, respectively.</w:t>
      </w:r>
    </w:p>
    <w:p>
      <w:pPr>
        <w:spacing w:after="0" w:line="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Average monthly revenues per ATM were $2,238 and $1,730 for the three and nine months ended September 30, 2019, respectively, compared to $2,089 and $1,646 for the three and nine months ended September 30, 2018, respectively. Revenues per transaction were $0.40 for the third quarter of 2019 and $0.31 for the first nine months of 2019, compared to $0.37 for the third quarter of 2018 and $0.29 for the first nine months of 2018. The increases in average monthly revenues per ATM for the three and nine months ended September 30, 2019 were primarily the result of an increase in value-added transactions on the ATMs and point-of-sale terminals, including increases in DCC transactions due to Visa's rule change to allow our ATMs to provide DCC beginning second quarter of 2019, domestic and international surcharge, and foreign currency dispensing.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EFT Processing Segment direct operating costs were $111.1 million and $300.5 million for the three and nine months ended September 30, 2019, respectively, an increase of $9.4 million or 9% and $20.5 million or 7% as compared to the same periods in 2018, respectively.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nine months ended September 30, 2019 were primarily due to an increase in the number of ATMs under management, particularly our independent ATM network, partly offset by the impact of the strengthening of the U.S. dollar against key foreign currencies.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$205.1 million and $393.4 million for the three and nine months ended September 30, 2019, respectively, compared to $160.0 million and $312.4 million for the three and nine months ended September 30, 2018, respectively. The increases in gross profit were primarily due to the growth in revenues from increases in ATMs under management, DCC transactions, domestic and international surcharge, and foreign currency dispensing. The net impact of the U.S. dollar strengthening against key foreign currencies partly offset the increase in gross profit for the three and nine months ended September 30, 2019. Gross profit as a percentage of revenues (“gross margin”) was 64.9% and 56.7% for the three and nine months ended September 30, 2019, respectively, as compared to 61.1% and 52.7% for the three and nine months ended September 30, 2018, respectively. For the three and nine months ended September 30, 2019, the increase in gross margin was primarily attributable to increases in DCC transactions due to Visa's rule change to allow our ATMs to provide DCC beginning second quarter of 2019.</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Salaries and benefits expense increased $2.3 million or 11% and $7.0 million or 12% for the three and nine months ended September 30, 2019, respectively, compared to the same periods in 2018, respectively. As a percentage of revenues, these costs decreased to 7.6% and 9.3% for the third quarter and first nine months of 2019, respectively, compared to 8.3% and 9.7% and for the third quarter of 2018 and first nine months of 2018, respectively. The decreases in salaries and benefits as a percentage of revenues were primarily due to the growth in revenues earned from DCC transactions due to Visa's rule change to allow our ATMs to provide DCC beginning second quarter of 2019, domestic and international surcharge, and foreign currency dispensing, which require minimal incremental support costs.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three and nine months ended September 30, 2019 were $12.2 million and $32.0 million, respectively, an increase of $1.0 million and $1.5 million for the three and nine months ended September 30, 2018, respectively. The increases in selling, general and administrative expenses were primarily due to an increase in costs to support the growth in the business partly offset by the strengthening of the U.S. dollar against key foreign currencies. As a percentage of revenues, selling, general and administrative expenses were 3.9% and 4.6% for the three and nine months ended September 30, 2019, respectively, compared to 4.3% and 5.2% for the three and nine months ended September 30, 2018, respectively. The decreases in selling, general and administrative expenses as a percentage of revenues were primarily attributable to the increases in the number of DCC transactions processed due to Visa's rule change to allow our ATMs to provide DCC beginning second quarter of 2019, domestic and international surcharge, and foreign currency dispensing, which did not require similar increases in support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increased $1.4 million and $3.2 million for the three and nine months ended September 30, 2019, respectively, compared to the same periods in 2018, respectively. The increases were primarily attributable to the deployment of additional ATMs under management and software assets. As a percentage of revenues, depreciation and amortization expense was 5.7% and 7.6% for the third quarter and first nine months of 2019, respectively, as compared to 6.4% and 8.3% for the same periods of 2018. The decreases in depreciation and amortization expenses as a percentage of revenues were primarily attributable to the increases in the number of DCC transactions processed due to Visa's rule change to allow our ATMs to provide DCC beginning second quarter of 2019, domestic and international surcharge, and foreign currency dispensing, which did not require similar increases in fixed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EFT Processing Segment operating income for the three and nine months ended September 30, 2019 was $150.9 million and $244.2 million, respectively, an increase of $40.5 million or 37% and $69.3 million or 40% as compared to the same periods in 2018, respectively. EFT Processing Segment operating income for the three and nine months ended September 30, 2019 increased primarily due to increases in the number of DCC transactions due to Visa's rule change to allow our ATMs to provide DCC beginning second quarter of 2019, domestic and international surcharge, and foreign currency dispensing as a result of the increased number of ATMs, partly offset by the impact of the strengthening of the U.S. dollar against key foreign currencies.</w:t>
      </w:r>
    </w:p>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income as a percentage of revenues (“operating margin”) was 47.7% and 35.2% for the third quarter and first nine months of 2019, respectively, compared to 42.2% and 29.5% for the same periods of 2018. The increase in operating margin was primarily due to higher revenues partially offset by higher operating expenses incurred to support the increased revenues and additional ATMs under management. Operating income per transaction was $0.19 and $0.11 for the third quarter and first nine months of 2019 as compared to $0.16 and $0.09 for the same periods of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2019 and 2018 for our epay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8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234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2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(Decrease)Percent</w:t>
            </w: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5,640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551,345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528,739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22,606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419,362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16,352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26,314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495,728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479,089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16,639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3,637</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55,617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49,650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5,967</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185"/>
        </w:trPr>
        <w:tc>
          <w:tcPr>
            <w:tcW w:w="2400" w:type="dxa"/>
            <w:vAlign w:val="bottom"/>
            <w:gridSpan w:val="2"/>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epay Segment total revenues for the three and nine months ended September 30, 2019 were $191.1 million and $551.3 million, respectively, an increase of $5.6 million and $22.6 million as compared to the same periods in 2018, respectively. The increases in total revenues were primarily due to an increase in promotional digital media transactions fulfilled by our cadooz subsidiary that were recorded on a gross value basis and an increase in the number of digital media transactions processed. Foreign currency exchange rate movements decreased total revenues by approximately $6.8 million for the third quarter of 2019 and $27.7 million for the first nine months of 2019 as compared to the same periods in 2018, respectively.</w:t>
      </w:r>
    </w:p>
    <w:p>
      <w:pPr>
        <w:spacing w:after="0" w:line="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Revenues per transaction were $0.48 for the third quarter and $0.50 for the first nine months of 2019 compared to $0.65 and $0.66 for the same periods in 2018, respectively. The decrease in revenues per transaction was primarily the result of the increase in a high volume of low-value transactions processed in India.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epay Segment direct operating costs were $145.4 million and $419.4 million for the three and nine months ended September 30, 2019, respectively, an increase of $2.7 million and $16.4 million as compared to the same periods in 2018, respectively.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increases in direct operating costs for the third quarter and first nine months of 2019 were primarily due to the increases in promotional digital media transactions fulfilled by our cadooz subsidiary and commission paid to wholesalers partially offset by the impact of the U.S. dollar strengthening against key foreign currencies.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profit was $45.7 million and $132.0 million for the three and nine months ended September 30, 2019, respectively, as compared to $42.8 million and $125.7 million for the three and nine months ended September 30, 2018, respectively. The increases were primarily due to the growth in digital media transactions processed, partly offset by a decrease in prepaid mobile transactions processed in certain markets and the net impact of the U.S. dollar strengthening against key foreign currencies.</w:t>
      </w:r>
    </w:p>
    <w:p>
      <w:pPr>
        <w:spacing w:after="0" w:line="7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gross margin was essentially flat compared to the same periods in the prior year. Gross margin was 23.9% for both the three and nine months ended September 30, 2019, as compared to 23.1% and 23.8% for the same periods in 2018,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Salaries and benefits expense increased $0.7 million or 5% and $1.7 million or 4% for the three and nine months ended September 30, 2019, respectively, compared to the same periods in 2018, respectively. The increases were mainly driven by increased headcount to support growth in the segment. As a percentage of revenues, salaries and benefits were 7.9% and 8.2% for the three and nine months ended September 30, 2019, respectively, which were generally consistent with 7.8% and 8.2% for the same periods in 2018,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$8.8 million and $26.3 million for the three and nine months ended September 30, 2019, respectively, a decrease of 11% and 3% as compared to the same periods in 2018, respectively. As a percentage of revenues, selling, general and administrative expenses were 4.6% and 4.8% for the three and nine months ended September 30, 2019 compared to 5.4% and 5.1% for the same periods in 2018, respectively. The decreases in selling, general and administrative expenses and as a percentage of revenues for both the three and nine months ended September 30, 2019 were mainly due to cost control efforts.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primarily represents depreciation of POS terminals we place in retail stores and the amortization of acquired intangible assets. Depreciation and amortization expense was $1.6 million and $5.1 million for the three and nine months ended September 30, 2019, respectively, a decrease of 16% and 10% as compared to the same periods in 2018, respectively. The decreases were primarily due to certain intangible assets becoming fully amortized in 2019. As a percentage of revenues, depreciation and amortization expense was 0.8% and 0.9% for the three and nine months ended September 30, 2019, respectively, as compared to 1.0% and 1.1% for the three and nine months ended September 30, 2018,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epay Segment operating income for the three and nine months ended September 30, 2019 was $20.1 million and $55.6 million, respectively, an increase of $3.6 million and $6.0 million as compared to the same periods in 2018, respectively. Operating income for the three and nine months ended September 30, 2019 improved as a result of the increase in the portion of higher-margin digital media transactions.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margin for the three and nine months ended September 30, 2019 was 10.5% and 10.1%, respectively, as compared to the 8.9% and 9.4% for the same periods in 2018, respectively. The increases were primarily driven by an increase in the percentage of revenues from digital media products which earn a higher margin than mobile transactions. Operating income per transaction decreased to $0.05 for both the three and nine months ended September 30, 2019, respectively, from $0.06 for both the same periods in 2018, respectively. The decreases in the three and nine months ended September 30, 2019 were primarily due to the increase in high volume, low margin transactions processed in India.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2019 and 2018 for the Money Transfer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9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2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(Decrease)Amount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814,201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768,943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45,258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435,901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412,895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23,006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155,424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10,004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93,610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3,050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234,040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712,433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675,627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36,806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7"/>
        </w:trPr>
        <w:tc>
          <w:tcPr>
            <w:tcW w:w="25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34,251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101,768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93,316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8,452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5"/>
        </w:trPr>
        <w:tc>
          <w:tcPr>
            <w:tcW w:w="2560" w:type="dxa"/>
            <w:vAlign w:val="bottom"/>
            <w:gridSpan w:val="2"/>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(millions)</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Money Transfer Segment total revenues for the three and nine months ended September 30, 2019 were $280.8 million and $814.2 million, respectively, an increase of $12.5 million or 5% and $45.3 million or 6% as compared to the same periods in 2018. The increases in total revenues for the three and nine months ended September 30, 2019 were primarily due to an increase in the number of money transfers processed, driven by growth in the foreign agent and correspondent payout networks. Foreign currency exchange rate movements decreased total revenues by approximately $5.4 million for the third quarter of 2019 and $22.5 million for the first nine months of 2019 as compared to the same periods in 2018.</w:t>
      </w:r>
    </w:p>
    <w:p>
      <w:pPr>
        <w:spacing w:after="0" w:line="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Revenues per transaction decreased to $9.58 and $9.60 for the third quarter and first nine months of 2019, respectively, from $9.65 and $9.73 for the same periods in 2018. The decreases were primarily due to the impact of the U.S. dollar strengthening against key foreign currencies.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Money Transfer Segment direct operating costs were $149.7 million and $435.9 million for the three and nine months ended September 30, 2019, respectively, an increase of $4.9 million or 3% and $23.0 million or 6% as compared to the same periods in 2018.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nine months of 2019 were primarily due to growth in the number of money transfer transactions processed in foreign markets.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Gross profit was $131.2 million and $378.3 million for the three and nine months ended September 30, 2019, respectively, as compared to $123.5 million and $356.0 million for the three and nine months ended September 30, 2018, respectively. The increases in gross profit were primarily due to growth in the number of money transfer transactions processed in foreign markets.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2019, gross margin remained flat at 46.7% and 46.5%, respectively, as compared to 46.0% and 46.3% for the same periods in 2018,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Salaries and benefits expense increased $2.6 million or 5% and $10.0 million or 7% for the three and nine months ended September 30, 2019, respectively, as compared to the same periods in 2018. The increases in salaries and benefits were primarily due to the expansion of our operations in the U.S. and foreign markets. As a percentage of revenues, salaries and benefits were essentially flat at 18.4% and 19.1% for the three and nine months ended September 30, 2019, respectively, as compared to 18.2% and 18.9% for the same periods in 2018, respectively.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three and nine months ended September 30, 2019 were $35.8 million and $96.7 million, respectively, an increase of $3.3 million or 10% and $3.1 million or 3% as compared to the same periods of 2018, respectively. The increase in the third quarter of 2019 was primarily due to the increase in expenses to support double digit growth in U.S. outbound and international originated remittances, partially offset by limited growth from the xe business stemming from Brexit uncertainties and the previously announced decline in U.S. domestic transfers as a result of additional ID requirements on domestic transactions.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were 12.8% and 11.9% for the three and nine months ended September 30, 2019, respectively, as compared to 12.1% and 12.2% for the same periods in 2018, respectively. For the third quarter of 2019, the increase in selling, general and administrative expenses as a percentage of revenues was primarily due to the increase in expenses to support double digit growth in U.S. outbound and international originated remittances, partially offset by limited growth from the xe business stemming from Brexit uncertainties and the previously announced decline in U.S. domestic transfers as a result of additional ID requirements on domestic transactions. For the first nine months of 2019, the decrease on selling, general and administrative expenses as a percentage of revenue was primarily due to increases in the number of money transfers processed, which require minimal incremental support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and amortization primarily represents amortization of acquired intangible assets and depreciation of money transfer terminals, computers and software, leasehold improvements and office equipment. Depreciation and amortization expense increased $0.3 million or 4% and $0.7 million or 3% for the three and nine months ended September 30, 2019, respectively, as compared to the same periods in 2018, largely due to the increased capital additions as a result of business growth.</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percentage of revenues, depreciation and amortization expense was 2.9% for the third quarter of 2019 and 3.0% for the first nine months of 2019, which was essentially unchanged compared to 2.9% and 3.1% for the same periods of 2018,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Money Transfer Segment operating income for the three and nine months ended September 30, 2019 was $35.6 million and $101.8 million, respectively, an increase of $1.4 million or 4% and $8.5 million or 9% as compared to the same periods of 2018, respectively. Operating income for the three and nine months ended September 30, 2019 increased primarily due to the growth in the number of money transfers processed partly offset by the additional salaries and benefits costs incurred.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percentage of revenues, operating margin was 12.7% and 12.5% for the three and nine months ended September 30, 2019, respectively, as compared to 12.8% and 12.1% for the same periods in 2018, respectively. Operating income per transaction was $1.22 and $1.20 for the three and nine months ended September 30, 2019, respectively, as compared to $1.23 and $1.18 for the same periods in 2018, respectively. The decreases in operating margin and operating income per transaction for the third quarter of 2019 were primarily due to the increase in expenses to support double digit U.S. outbound and international originated remittances, partially offset by limited growth from the xe business stemming from Brexit uncertainties and the previously announced decline in U.S. domestic transfers as a result of additional ID requirements on domestic transactions. The increases in operating margin and operating income per transaction for the first nine months of 2019 were primarily due to the growth in the number of money transfers processed which did not require similar increases in support costs.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and nine months ended September 30, 2019 and 2018 for Corporate Services: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2,656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3,452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5"/>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10,163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2,459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33,589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31,081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2,508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Overall, operating expenses for Corporate Services were $12.6 million and $33.6 million for the three and nine months ended September 30, 2019, respectively, an increase of 24% and 8% when compared to the same periods in 2018, respectively. The increases were primarily attributable to an increase in bonus expense due to our improved operating results compared to targets.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2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2,176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Pr>
          <w:p>
            <w:pPr>
              <w:spacing w:after="0"/>
              <w:rPr>
                <w:sz w:val="20"/>
                <w:szCs w:val="20"/>
                <w:color w:val="auto"/>
              </w:rPr>
            </w:pPr>
          </w:p>
        </w:tc>
        <w:tc>
          <w:tcPr>
            <w:tcW w:w="10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unconsolidated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affiliates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(loss) gains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0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increases in interest income for the three and nine months ended September 30, 2019 when compared to the same periods in 2018 were due to the interest earned from the immediate proceeds we received from the issuance of Convertible Notes and the Senior Notes before they were fully utilized in the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decreases in interest expense for the three and nine months ended September 30, 2019 when compared to the same periods in 2018 were primarily related to the lower weighted average borrowing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retirement of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loss on early retirement of debt for the first nine months of 2019 when compared to the same period in 2018 was due to the early retirement of the Retired Convertible Notes that were scheduled to mature in 2044 on May 28,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gain, net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the change in USD value of our euro-denominated Senior Notes beginning second quarter of 2019 and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recorded net foreign currency exchange losses of $11.0 million and $7.9 million for the three and nine months ended September 30, 2019, respectively, as compared to net foreign currency exchange losses of $2.7 million and $21.5 million for the same periods in 2018, respectively. These realized and unrealized foreign currency exchange losses reflect the fluctuation in the value of the U.S. dollar against the currencies of the countries in which we operated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The Company's effective income tax rate was 21.2% and 26.0% for both the three and nine months ended </w:t>
      </w:r>
      <w:r>
        <w:rPr>
          <w:rFonts w:ascii="Times New Roman" w:cs="Times New Roman" w:eastAsia="Times New Roman" w:hAnsi="Times New Roman"/>
          <w:sz w:val="18"/>
          <w:szCs w:val="18"/>
          <w:color w:val="252525"/>
        </w:rPr>
        <w:t>September 30, 2019</w:t>
      </w:r>
      <w:r>
        <w:rPr>
          <w:rFonts w:ascii="Times New Roman" w:cs="Times New Roman" w:eastAsia="Times New Roman" w:hAnsi="Times New Roman"/>
          <w:sz w:val="18"/>
          <w:szCs w:val="18"/>
          <w:color w:val="auto"/>
        </w:rPr>
        <w:t xml:space="preserve">, respectively, as compared to 25.5% and 27.4% for the three and nine months ended September 30, 2018, respectively. The Company's effective income tax rate for the three and nine months ended </w:t>
      </w:r>
      <w:r>
        <w:rPr>
          <w:rFonts w:ascii="Times New Roman" w:cs="Times New Roman" w:eastAsia="Times New Roman" w:hAnsi="Times New Roman"/>
          <w:sz w:val="18"/>
          <w:szCs w:val="18"/>
          <w:color w:val="252525"/>
        </w:rPr>
        <w:t>September 30, 2019</w:t>
      </w:r>
      <w:r>
        <w:rPr>
          <w:rFonts w:ascii="Times New Roman" w:cs="Times New Roman" w:eastAsia="Times New Roman" w:hAnsi="Times New Roman"/>
          <w:sz w:val="18"/>
          <w:szCs w:val="18"/>
          <w:color w:val="auto"/>
        </w:rPr>
        <w:t xml:space="preserve"> and 2018 was higher than the applicable statutory income tax rate of 21% as a result of certain foreign earnings of the Company being subject to higher local statutory income tax rates. The decrease in the effective tax rates for the three and nine of 2019 ended </w:t>
      </w:r>
      <w:r>
        <w:rPr>
          <w:rFonts w:ascii="Times New Roman" w:cs="Times New Roman" w:eastAsia="Times New Roman" w:hAnsi="Times New Roman"/>
          <w:sz w:val="18"/>
          <w:szCs w:val="18"/>
          <w:color w:val="252525"/>
        </w:rPr>
        <w:t>September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2019 </w:t>
      </w:r>
      <w:r>
        <w:rPr>
          <w:rFonts w:ascii="Times New Roman" w:cs="Times New Roman" w:eastAsia="Times New Roman" w:hAnsi="Times New Roman"/>
          <w:sz w:val="18"/>
          <w:szCs w:val="18"/>
          <w:color w:val="000000"/>
        </w:rPr>
        <w:t>compared to the same periods in 2018 was largely due to the recognition of tax benefits from income tax return to provision true ups, and a decrease 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statutory rate in India, partially offset by the release of unrecognized tax benefits in the first half of 2018 from the settlement or expiration of tax audit examinations.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p>
      <w:pPr>
        <w:spacing w:after="0" w:line="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represents the elimination of net income or loss attributable to the minority shareholders’ portion of the following consolidated subsidiaries that are not wholly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Infinitium Solutions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India</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EURONET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attributable to Euronet was $137.6 million and $240.3 million for the three and nine months ended September 30, 2019, respectively, an increase of $34.9 million and $67.4 million as compared to the same periods in 2018. The increase in net income for the first nine months of 2019 was primarily due to an increase in operating income of $81.2 million, a $13.6 million decrease in net foreign currency exchange loss, and a decrease in interest expense of $1.6 million, partly offset by a $19.2 million increase in income tax expense and an increase in loss on early retirement on debt of $9.8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we had working capital, which is calculated as the difference between total current assets and total current liabilities, of $1,283 million and $709 million, respectively. Our ratio of current assets to current liabilities at September 30, 2019 and December 31, 2018 was 1.88 and 1.51, respectively. The increase in working capital was primarily due to the ATM cash funded by the long-term debt and improved operating results .</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domestic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several countries, we fund the cash required to operate our ATM network from borrowings and cash flows from operations. As of September 30, 2019, we had approximately $738 million of our own cash in use or designated for use in our ATM network, which is recorded in cash and cash equivalents and trade accounts receivable, for ATM withdrawals pending settlement, on the Consolidated Balance Sheet.</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$1,731 million at September 30, 2019, of which $1,288 million was held outside of the United States and is expected to be indefinitely reinvested for continued use in foreign operations. Repatriation of these assets to the U.S. could have negative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nine month periods ended September 30, 2019 and 2018 (in thousands):</w:t>
      </w:r>
    </w:p>
    <w:p>
      <w:pPr>
        <w:spacing w:after="0" w:line="218"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364,379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192,573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(99,369)</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461,632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247,087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663,803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302,207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$364.4 million for the first nine months of 2019 compared to $192.6 million for the first nine months of 2018. The increase is primarily due to fluctuations in working capital, mainly associated with the timing of the settlement processes with content providers in the epay Segment and with correspondents in the Money Transfer Segment, and improved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were $104.4 million for the first nine months of 2019 compared to $99.4 million for the first nine months of 2018. During the first nine months of 2018, we used $12.9 million for a business acquisition. There was no material acquisition in the first nine months of 2019. We used $100.4 million for purchases of property and equipment for the first nine months of 2019 compared to $82.1 million for the first nine months of 2018. Cash used for software development and other investing activities totaled $4.0 million and $4.4 million for the first nine months of 2019 and 2018,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1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Cash flows provided by financing activities were $461.6 million for the first nine months of 2019 compared to $247.1 million for the first nine months of 2018. Our financing activities for the first nine months of 2019 consisted of net borrowings of $514.2 million compared to net borrowings of $417.2 million for the first nine months of 2018. The increase in net borrowings for the first nine months of 2019 compared to the same period of 2018 was the result of the issuance of $1,195 million of new Convertible Notes and Senior Notes to fund the operating cash of our IAD networks, net repayment of $215 million as compared to the $264 million net borrowing on revolving credit facility borrowings, early retirement of the $447 million Retired Convertible Notes, and the $200 million ATM credit facility that we entered into during the first nine months of 2018 which did not recur in the current period. During the first nine months of 2019, we repaid $19 million of short-term debt obligations. We repurchased $37.3 million and $177.2 million of our stock during the first nine months of 2019 and 2018, respectively. During the first nine months of 2019 and 2018, respectively, we repurchased $34.5 million and $175.0 million of our shares, respectively, and paid $2.8 million and $2.2 million, respectively, for the amount of payroll taxes represented by the common stock withheld on restricted stock vestings and stock option exercises. We received proceeds from stock option exercises of $8.3 million and $11.8 million for the first nine months of 2019 and 2018,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Euros, Hungarian Forints, Japanese Yen, New Zealand Dollars, Norwegian Krone, Polish Zlotys, Swedish Krona, Swiss Francs, and US Dollars.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2019, fees and interest on borrowings are based upon the Company's corporate credit rating (as defined in the Credit Facility)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68"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As of September 30, 2019, we had $0.7 million of borrowings and $49.2 million of stand-by letters of credit outstanding under the Credit Facility. The remaining $950.1 million under the Credit Facility was available for borrowing based upon the borrowing base and financial covenants in our Credit Facility.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may not redeem the Notes prior to September 20, 2022. The Company may redeem for cash all or any portion of the Convertible Notes, at its option, (i) on or after September 20, 2022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holders have the right to require the Company to repurchase for cash all or part of their Convertible Notes on each of March 15, 2025, March 15, 2029, March 15, 2034, March 15, 2039 and March 15, 2044 at a repurchase price equal to 100% of the principal amount of the Notes to be repurchased, plus accrued and unpaid interest to, but excluding, the relevant repurchase date. In addition, if a fundamental change, as defined in the Indenture, occurs prior to the maturity date, holders may require the Company to repurchase for cash all or part of their Convertible Notes at a repurchase price equal to 100% of the principal amount of the Notes to be repurchased, plus accrued and unpaid interest to, but excluding, the fundamental change repurchase date.</w:t>
      </w:r>
    </w:p>
    <w:p>
      <w:pPr>
        <w:spacing w:after="0" w:line="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u w:val="single" w:color="auto"/>
          <w:color w:val="auto"/>
        </w:rPr>
        <w:t>1.375% Senior Notes due 2026</w:t>
      </w:r>
      <w:r>
        <w:rPr>
          <w:rFonts w:ascii="Times New Roman" w:cs="Times New Roman" w:eastAsia="Times New Roman" w:hAnsi="Times New Roman"/>
          <w:sz w:val="18"/>
          <w:szCs w:val="18"/>
          <w:color w:val="auto"/>
        </w:rPr>
        <w:t xml:space="preserve"> - On May 22, 2019, the Company completed the sale of €600 million ($669.9 million) aggregate principal amount of the Senior Notes that expire on May 2026 (the “Senior Notes”). The Senior Notes accrue interest at a rate of 1.375% per year, payable annually in arrears commencing May 22, 2020, until maturity or earlier redemption. As of September 30, 2019, the Company has outstanding €600 million ($653.9 million) euro-denominated principal amount of the Senior Notes. In addition, the Company may redeem some or all of these notes on or after February 22, 2026 at their principal amount plus any accrued and unpaid interest.</w:t>
      </w:r>
    </w:p>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also have available credit lines and overdraft facilities to generally supplement short-term working capital requirements. As of September 30, 2019, there was $18.8 million outstanding under these other obligation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including capital lease expenditures, for the first nine months of 2019 were $105.6 million. These capital expenditures were made primarily for the purchase of ATMs to expand our independent ATM network in Europe and Asia, the purchase and installation of ATMs in key under-penetrated markets, the purchase of POS terminals for the epay and Money Transfer Segments, and office, data center and company store computer equipment and software. Total capital expenditures for 2019 are currently estimated to range from approximately $135 million to $140 million.</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current and projected cash flow levels, we anticipate that cash generated from operations, together with cash on hand and amounts available under our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2019, there were no material changes from the disclosure in our Annual Report on Form 10-K for the year ended December 31, 2018. To date, we are not aware of any significant claims made by the indemnified parties or parties to whom we have provided guarantees on behalf of our subsidiaries and, accordingly, no liabilities have been recorded as of September 30, 2019.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2019, there have been no material changes outside the ordinary course of business in our future contractual obligations from the amounts reported within our Annual Report on Form 10-K for the year ended December 31, 2018, other than those resulting from changes in the amount of debt outstanding discussed in the Liquidity and Capital Resources section.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i w:val="1"/>
          <w:iCs w:val="1"/>
          <w:color w:val="auto"/>
        </w:rPr>
        <w:t>Interest rate risk</w:t>
      </w: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September 30, 2019, our total debt outstanding was $1,107 million. Of this amount, $1,087 million, net of debt discounts, or 98% of our total debt obligations, relates to our Convertible Notes and Senior Notes that each have a fixed coupon rate. The $525 million aggregate principal amount of the Convertible Notes issued on March 18, 2019, accrue cash interest at a rate of 0.75% of the principal amount per annum. The fair value of the fixed rate Convertible Notes was $587.3 million as of September 30, 2019 based on quoted market prices, compared to a carrying value of $433.3 million. Interest expense for the Convertible Notes, including accretion and amortization of deferred debt issuance costs, has a weighted average interest rate of 4.4%. The €600 million aggregate principal amount of the Senior Notes, accrue cash interest at a rate of 1.375% of the principal amount per annum. Based on quoted market prices, as of September 30, 2019, the fair value of our fixed rate Senior Notes was $659.2 million, compared to a carrying value of $653.9 million. The Credit Facility borrowings were $0.7 million. If we were to maximize the potential borrowings available under the Credit Facility and maintain these borrowings for one year, a 1% (100 basis points) increase in the applicable interest rate would result in additional annual interest expense to the Company of approximately $9.5 million.</w:t>
      </w:r>
    </w:p>
    <w:p>
      <w:pPr>
        <w:spacing w:after="0" w:line="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remaining $18.8 million, or 2%, of our total debt obligations as of September 30, 2019, is related to borrowings by certain subsidiaries to fund, from time to time, working capital requirements. These arrangements generally are due within one year and accrue interest at variable rates.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first nine months of 2019, approximately 74% of our revenues were generated in non-U.S. dollar countries and we expect to continue generating a significant portion of our revenues in countries with currencies other than the U.S. dollar.</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2019, we estimate that a 10% fluctuation in these foreign currency exchange rates would have the combined annualized effect on reported net income and working capital of approximately $120 million to $125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$135 million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million as a result of the change in value of these items during translation to the U.S. dollar. For the fluctuations described above, a strengthening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produces a financial loss, while a weakening U.S. dollar produces a financial gain.</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net on the Consolidated Statements of Income. As of September 30, 2019, we had foreign currency derivative contracts outstanding with a notional value of $146 million, primarily in Australian dollars, British pounds, Canadian dollars, euros and Mexican pesos, that were not designated as hedges and mature within a few days.</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2019,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September 30, 2019, the Company had foreign currency forward contracts outstanding with a notional value of $80 million, primarily in euros.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internal control over financial reporting during the three months ended September 30, 2019 that have materially affected, or are reasonably likely to materially affect, our internal control over financial reporting.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54"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52525"/>
        </w:rPr>
        <w:t xml:space="preserve">There were no material changes to the risk factors previously disclosed in our Annual Report on Form 10-K for the year ended </w:t>
      </w:r>
      <w:r>
        <w:rPr>
          <w:rFonts w:ascii="Times New Roman" w:cs="Times New Roman" w:eastAsia="Times New Roman" w:hAnsi="Times New Roman"/>
          <w:sz w:val="18"/>
          <w:szCs w:val="18"/>
          <w:color w:val="000000"/>
        </w:rPr>
        <w:t>December 31, 2018 and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Quarterly Reports on Form 10-Q for the quarters ended March 31, 2019 and June 30, 2019, as filed with the SEC.</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September 30, 2019.</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2"/>
                <w:szCs w:val="12"/>
                <w:color w:val="auto"/>
              </w:rPr>
            </w:pPr>
          </w:p>
        </w:tc>
        <w:tc>
          <w:tcPr>
            <w:tcW w:w="1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Programs (in</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17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68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20" w:type="dxa"/>
            <w:vAlign w:val="bottom"/>
          </w:tcPr>
          <w:p>
            <w:pPr>
              <w:spacing w:after="0"/>
              <w:rPr>
                <w:sz w:val="16"/>
                <w:szCs w:val="16"/>
                <w:color w:val="auto"/>
              </w:rPr>
            </w:pPr>
          </w:p>
        </w:tc>
        <w:tc>
          <w:tcPr>
            <w:tcW w:w="15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thousands) (1)</w:t>
            </w: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 July 31,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 August 31, 2019</w:t>
            </w:r>
          </w:p>
        </w:tc>
        <w:tc>
          <w:tcPr>
            <w:tcW w:w="1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320,000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September 30,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275,181</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144.45</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275,181</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280,249</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275,181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144.45</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275,181</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right="60" w:firstLine="8"/>
        <w:spacing w:after="0" w:line="258"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remaining to be repurchased at the end of the period. The Board of Directors has authorized a stock repurchase program ("Repurchase Program") allowing Euronet to repurchase up to $375 million in value or 10.0 million shares of stock through March 31, 2020. Euronet has repurchased $214.8 million of stock under the Repurchase Program. On March 11, 2019, in connection with the issuance of the Convertible Notes, the Board of Directors authorized an additional repurchase program of $120 million in value of Euronet’s common stock through March 11, 2021. Repurchases under either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Section 302</w:t>
              </w:r>
            </w:hyperlink>
          </w:p>
        </w:tc>
        <w:tc>
          <w:tcPr>
            <w:tcW w:w="936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Section 302</w:t>
              </w:r>
            </w:hyperlink>
          </w:p>
        </w:tc>
        <w:tc>
          <w:tcPr>
            <w:tcW w:w="3080" w:type="dxa"/>
            <w:vAlign w:val="bottom"/>
            <w:tcBorders>
              <w:top w:val="single" w:sz="8" w:color="0000FF"/>
              <w:bottom w:val="single" w:sz="8" w:color="0000FF"/>
            </w:tcBorders>
          </w:tcPr>
          <w:p>
            <w:pPr>
              <w:ind w:left="20"/>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Section 906</w:t>
              </w:r>
            </w:hyperlink>
          </w:p>
        </w:tc>
        <w:tc>
          <w:tcPr>
            <w:tcW w:w="9360" w:type="dxa"/>
            <w:vAlign w:val="bottom"/>
            <w:gridSpan w:val="3"/>
          </w:tcPr>
          <w:p>
            <w:pPr>
              <w:ind w:left="2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Section 906</w:t>
              </w:r>
            </w:hyperlink>
          </w:p>
        </w:tc>
        <w:tc>
          <w:tcPr>
            <w:tcW w:w="3080" w:type="dxa"/>
            <w:vAlign w:val="bottom"/>
            <w:tcBorders>
              <w:top w:val="single" w:sz="8" w:color="0000FF"/>
              <w:bottom w:val="single" w:sz="8" w:color="0000FF"/>
            </w:tcBorders>
          </w:tcPr>
          <w:p>
            <w:pPr>
              <w:ind w:left="20"/>
              <w:spacing w:after="0"/>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tcPr>
          <w:p>
            <w:pPr>
              <w:spacing w:after="0"/>
              <w:rPr>
                <w:sz w:val="21"/>
                <w:szCs w:val="21"/>
                <w:color w:val="auto"/>
              </w:rPr>
            </w:pPr>
          </w:p>
        </w:tc>
      </w:tr>
      <w:tr>
        <w:trPr>
          <w:trHeight w:val="2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September 30, 2019,</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Consolidated Balance Sheets at September 30, 2019 (unaudited) and</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2018, (ii) Consolidated Statements of Income (unaudited) for the three months and nine months ended September 30, 2019</w:t>
            </w:r>
          </w:p>
        </w:tc>
      </w:tr>
    </w:tbl>
    <w:p>
      <w:pPr>
        <w:ind w:left="1180" w:right="120"/>
        <w:spacing w:after="0" w:line="250" w:lineRule="auto"/>
        <w:rPr>
          <w:sz w:val="20"/>
          <w:szCs w:val="20"/>
          <w:color w:val="auto"/>
        </w:rPr>
      </w:pPr>
      <w:r>
        <w:rPr>
          <w:rFonts w:ascii="Times New Roman" w:cs="Times New Roman" w:eastAsia="Times New Roman" w:hAnsi="Times New Roman"/>
          <w:sz w:val="18"/>
          <w:szCs w:val="18"/>
          <w:color w:val="auto"/>
        </w:rPr>
        <w:t>and 2018, (iii) Consolidated Statements of Comprehensive Income (unaudited) for the three and nine months ended September 30, 2019 and 2018, (iv) Consolidated Statements of Changes in Equity (unaudited) for the three and nine months ended September 30, 2019 and 2018</w:t>
      </w:r>
    </w:p>
    <w:p>
      <w:pPr>
        <w:spacing w:after="0" w:line="1" w:lineRule="exact"/>
        <w:rPr>
          <w:sz w:val="20"/>
          <w:szCs w:val="20"/>
          <w:color w:val="auto"/>
        </w:rPr>
      </w:pPr>
    </w:p>
    <w:p>
      <w:pPr>
        <w:ind w:left="1180" w:right="540"/>
        <w:spacing w:after="0" w:line="255" w:lineRule="auto"/>
        <w:rPr>
          <w:sz w:val="20"/>
          <w:szCs w:val="20"/>
          <w:color w:val="auto"/>
        </w:rPr>
      </w:pPr>
      <w:r>
        <w:rPr>
          <w:rFonts w:ascii="Times New Roman" w:cs="Times New Roman" w:eastAsia="Times New Roman" w:hAnsi="Times New Roman"/>
          <w:sz w:val="18"/>
          <w:szCs w:val="18"/>
          <w:color w:val="auto"/>
        </w:rPr>
        <w:t>(v) Consolidated Statements of Cash Flows (unaudited) for the nine months ended September 30, 2019 and 2018, and (vi) Notes to the Unaudited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8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240" w:top="121" w:right="3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38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38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2019 as filed with the Securities and Exchange Commission on the date hereof (the “Report”), the undersigned hereby certifies,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2019</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2019 as filed with the Securities and Exchange Commission on the date hereof (the “Report”), the undersigned hereby certifies,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2019-12-28T02:22:33Z</dcterms:created>
  <dcterms:modified xsi:type="dcterms:W3CDTF">2019-12-28T02:22:33Z</dcterms:modified>
</cp:coreProperties>
</file>