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89" w:lineRule="exact"/>
        <w:rPr>
          <w:sz w:val="24"/>
          <w:szCs w:val="24"/>
          <w:color w:val="auto"/>
        </w:rPr>
      </w:pPr>
    </w:p>
    <w:p>
      <w:pPr>
        <w:ind w:left="520" w:hanging="2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65" w:lineRule="exact"/>
        <w:rPr>
          <w:rFonts w:ascii="MS PGothic" w:cs="MS PGothic" w:eastAsia="MS PGothic" w:hAnsi="MS PGothic"/>
          <w:sz w:val="18"/>
          <w:szCs w:val="18"/>
          <w:color w:val="auto"/>
        </w:rPr>
      </w:pPr>
    </w:p>
    <w:p>
      <w:pPr>
        <w:ind w:left="40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1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78" w:lineRule="exact"/>
        <w:rPr>
          <w:sz w:val="24"/>
          <w:szCs w:val="24"/>
          <w:color w:val="auto"/>
        </w:rPr>
      </w:pPr>
    </w:p>
    <w:p>
      <w:pPr>
        <w:ind w:left="520" w:hanging="215"/>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01" w:lineRule="exact"/>
        <w:rPr>
          <w:sz w:val="24"/>
          <w:szCs w:val="24"/>
          <w:color w:val="auto"/>
        </w:rPr>
      </w:pPr>
    </w:p>
    <w:p>
      <w:pPr>
        <w:ind w:left="3900"/>
        <w:spacing w:after="0"/>
        <w:tabs>
          <w:tab w:leader="none" w:pos="614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11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Commission File Number: 001-31648</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EURONET WORLDWIDE, INC.</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66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74-2806888</w:t>
            </w:r>
          </w:p>
        </w:tc>
      </w:tr>
      <w:tr>
        <w:trPr>
          <w:trHeight w:val="283"/>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660" w:type="dxa"/>
            <w:vAlign w:val="bottom"/>
          </w:tcPr>
          <w:p>
            <w:pPr>
              <w:jc w:val="center"/>
              <w:ind w:left="209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83"/>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Times New Roman" w:cs="Times New Roman" w:eastAsia="Times New Roman" w:hAnsi="Times New Roman"/>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660" w:type="dxa"/>
            <w:vAlign w:val="bottom"/>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97"/>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Times New Roman" w:cs="Times New Roman" w:eastAsia="Times New Roman" w:hAnsi="Times New Roman"/>
                <w:sz w:val="16"/>
                <w:szCs w:val="16"/>
                <w:b w:val="1"/>
                <w:bCs w:val="1"/>
                <w:color w:val="auto"/>
              </w:rPr>
              <w:t>(913) 327-4200</w:t>
            </w:r>
          </w:p>
        </w:tc>
      </w:tr>
    </w:tbl>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356"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Times New Roman" w:cs="Times New Roman" w:eastAsia="Times New Roman" w:hAnsi="Times New Roman"/>
                <w:sz w:val="16"/>
                <w:szCs w:val="16"/>
                <w:b w:val="1"/>
                <w:bCs w:val="1"/>
                <w:color w:val="auto"/>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Times New Roman" w:cs="Times New Roman" w:eastAsia="Times New Roman" w:hAnsi="Times New Roman"/>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Times New Roman" w:cs="Times New Roman" w:eastAsia="Times New Roman" w:hAnsi="Times New Roman"/>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54" w:lineRule="exact"/>
        <w:rPr>
          <w:sz w:val="24"/>
          <w:szCs w:val="24"/>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6"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o</w:t>
      </w:r>
    </w:p>
    <w:p>
      <w:pPr>
        <w:spacing w:after="0" w:line="140" w:lineRule="exact"/>
        <w:rPr>
          <w:sz w:val="24"/>
          <w:szCs w:val="24"/>
          <w:color w:val="auto"/>
        </w:rPr>
      </w:pPr>
    </w:p>
    <w:p>
      <w:pPr>
        <w:ind w:right="26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o</w:t>
      </w:r>
    </w:p>
    <w:p>
      <w:pPr>
        <w:spacing w:after="0" w:line="9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40" w:type="dxa"/>
        <w:tblCellMar>
          <w:top w:w="0" w:type="dxa"/>
          <w:left w:w="0" w:type="dxa"/>
          <w:bottom w:w="0" w:type="dxa"/>
          <w:right w:w="0" w:type="dxa"/>
        </w:tblCellMar>
      </w:tblPr>
      <w:tr>
        <w:trPr>
          <w:trHeight w:val="248"/>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Accelerated filer</w:t>
            </w:r>
          </w:p>
        </w:tc>
        <w:tc>
          <w:tcPr>
            <w:tcW w:w="12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o</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t>
            </w: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left="40" w:right="580"/>
        <w:spacing w:after="0" w:line="27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300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 August 2, 2022, Euronet Worldwide, Inc. had 49,581,198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1076"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Table of Contents </w:t>
      </w:r>
      <w:r>
        <w:rPr>
          <w:rFonts w:ascii="Times New Roman" w:cs="Times New Roman" w:eastAsia="Times New Roman" w:hAnsi="Times New Roman"/>
          <w:sz w:val="18"/>
          <w:szCs w:val="18"/>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gridSpan w:val="3"/>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I—FINANCIAL INFORMATION</w:t>
            </w:r>
          </w:p>
        </w:tc>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June 30, 2022 and December 31, 2021</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Consolidated Statements of Operations for the Three and Six Months Ended June 30, 2022 and 2021</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Three and Six Months Ended June 30, 2022 and 2021</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Consolidated Statements of Changes in Equity for the Three and Six Months Ended June 30, 2022 and 2021</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Six Months Ended June 30, 2022 and 2021</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Notes to the Unaudited Consolidated Financial Statements</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9"/>
              </w:rPr>
              <w:t>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38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EE"/>
              </w:rPr>
              <w:t>PART II—OTHER INFORMATION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19"/>
          </w:tcPr>
          <w:p>
            <w:pPr>
              <w:ind w:left="40"/>
              <w:spacing w:after="0" w:line="202" w:lineRule="exact"/>
              <w:rPr>
                <w:sz w:val="20"/>
                <w:szCs w:val="20"/>
                <w:color w:val="auto"/>
              </w:rPr>
            </w:pPr>
            <w:r>
              <w:rPr>
                <w:rFonts w:ascii="Times New Roman" w:cs="Times New Roman" w:eastAsia="Times New Roman" w:hAnsi="Times New Roman"/>
                <w:sz w:val="18"/>
                <w:szCs w:val="18"/>
                <w:color w:val="0000EE"/>
              </w:rPr>
              <w:t>Exhibits</w:t>
            </w:r>
          </w:p>
        </w:tc>
        <w:tc>
          <w:tcPr>
            <w:tcW w:w="600" w:type="dxa"/>
            <w:vAlign w:val="bottom"/>
            <w:gridSpan w:val="3"/>
          </w:tcPr>
          <w:p>
            <w:pPr>
              <w:jc w:val="center"/>
              <w:ind w:left="130"/>
              <w:spacing w:after="0" w:line="202" w:lineRule="exact"/>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0" w:type="dxa"/>
            <w:vAlign w:val="bottom"/>
            <w:vMerge w:val="continue"/>
          </w:tcPr>
          <w:p>
            <w:pPr>
              <w:spacing w:after="0"/>
              <w:rPr>
                <w:sz w:val="17"/>
                <w:szCs w:val="17"/>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0" w:type="dxa"/>
            <w:vAlign w:val="bottom"/>
            <w:tcBorders>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1"/>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1,014,859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1,260,466</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ATM cash</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543,422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assets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1,102,389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credit losses of $4,392 and $4,469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203,010</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195,443</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3,509,306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3,308,423</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right of use lease assets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$527,234 and $532,631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345,381</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641,605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$185,145 and $185,054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97,793</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assets, net of accumulated amortization of $64,197 and $62,349</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189,580</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5,195,518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4,744,276</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obligations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1,102,389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193,529</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367,692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52,136</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59,037</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77,037</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1,852,641</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1,420,085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111,355</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4,176,376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3,488,752</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shares issued 63,850,934 and 63,779,009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1,274,118</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at cost, shares issued 14,271,179 and 12,631,125</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(931,212)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1,083,882</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(172,582)</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1,255,481</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1,255,524</w:t>
            </w:r>
          </w:p>
        </w:tc>
        <w:tc>
          <w:tcPr>
            <w:tcW w:w="0" w:type="dxa"/>
            <w:vAlign w:val="bottom"/>
          </w:tcPr>
          <w:p>
            <w:pPr>
              <w:spacing w:after="0"/>
              <w:rPr>
                <w:sz w:val="1"/>
                <w:szCs w:val="1"/>
                <w:color w:val="auto"/>
              </w:rPr>
            </w:pPr>
          </w:p>
        </w:tc>
      </w:tr>
      <w:tr>
        <w:trPr>
          <w:trHeight w:val="209"/>
        </w:trPr>
        <w:tc>
          <w:tcPr>
            <w:tcW w:w="8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5,195,518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4,744,276</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90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8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9"/>
        </w:trPr>
        <w:tc>
          <w:tcPr>
            <w:tcW w:w="5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843,309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714,686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1,561,776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1,367,356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500,662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470,816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958,815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905,332</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121,071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258,073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236,739</w:t>
            </w:r>
          </w:p>
        </w:tc>
        <w:tc>
          <w:tcPr>
            <w:tcW w:w="60" w:type="dxa"/>
            <w:vAlign w:val="bottom"/>
          </w:tcPr>
          <w:p>
            <w:pPr>
              <w:spacing w:after="0"/>
              <w:rPr>
                <w:sz w:val="18"/>
                <w:szCs w:val="18"/>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74,249</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59,119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138,105</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117,895</w:t>
            </w:r>
          </w:p>
        </w:tc>
        <w:tc>
          <w:tcPr>
            <w:tcW w:w="60" w:type="dxa"/>
            <w:vAlign w:val="bottom"/>
            <w:shd w:val="clear" w:color="auto" w:fill="CCEEFF"/>
          </w:tcPr>
          <w:p>
            <w:pPr>
              <w:spacing w:after="0"/>
              <w:rPr>
                <w:sz w:val="19"/>
                <w:szCs w:val="19"/>
                <w:color w:val="auto"/>
              </w:rPr>
            </w:pPr>
          </w:p>
        </w:tc>
      </w:tr>
      <w:tr>
        <w:trPr>
          <w:trHeight w:val="216"/>
        </w:trPr>
        <w:tc>
          <w:tcPr>
            <w:tcW w:w="5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36,013</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33,559</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69,003</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66,820</w:t>
            </w:r>
          </w:p>
        </w:tc>
        <w:tc>
          <w:tcPr>
            <w:tcW w:w="60" w:type="dxa"/>
            <w:vAlign w:val="bottom"/>
            <w:tcBorders>
              <w:bottom w:val="single" w:sz="8" w:color="CCEEFF"/>
            </w:tcBorders>
          </w:tcPr>
          <w:p>
            <w:pPr>
              <w:spacing w:after="0"/>
              <w:rPr>
                <w:sz w:val="18"/>
                <w:szCs w:val="18"/>
                <w:color w:val="auto"/>
              </w:rPr>
            </w:pPr>
          </w:p>
        </w:tc>
      </w:tr>
      <w:tr>
        <w:trPr>
          <w:trHeight w:val="210"/>
        </w:trPr>
        <w:tc>
          <w:tcPr>
            <w:tcW w:w="5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742,232</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684,565</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1,423,996</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1,326,786</w:t>
            </w:r>
          </w:p>
        </w:tc>
        <w:tc>
          <w:tcPr>
            <w:tcW w:w="60" w:type="dxa"/>
            <w:vAlign w:val="bottom"/>
            <w:shd w:val="clear" w:color="auto" w:fill="CCEEFF"/>
          </w:tcPr>
          <w:p>
            <w:pPr>
              <w:spacing w:after="0"/>
              <w:rPr>
                <w:sz w:val="18"/>
                <w:szCs w:val="18"/>
                <w:color w:val="auto"/>
              </w:rPr>
            </w:pPr>
          </w:p>
        </w:tc>
      </w:tr>
      <w:tr>
        <w:trPr>
          <w:trHeight w:val="209"/>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101,077</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30,121</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137,780</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40,570</w:t>
            </w:r>
          </w:p>
        </w:tc>
        <w:tc>
          <w:tcPr>
            <w:tcW w:w="60" w:type="dxa"/>
            <w:vAlign w:val="bottom"/>
            <w:tcBorders>
              <w:bottom w:val="single" w:sz="8" w:color="CCEEFF"/>
            </w:tcBorders>
          </w:tcPr>
          <w:p>
            <w:pPr>
              <w:spacing w:after="0"/>
              <w:rPr>
                <w:sz w:val="18"/>
                <w:szCs w:val="18"/>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tcPr>
          <w:p>
            <w:pPr>
              <w:spacing w:after="0"/>
              <w:rPr>
                <w:sz w:val="18"/>
                <w:szCs w:val="18"/>
                <w:color w:val="auto"/>
              </w:rPr>
            </w:pPr>
          </w:p>
        </w:tc>
      </w:tr>
      <w:tr>
        <w:trPr>
          <w:trHeight w:val="27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60" w:type="dxa"/>
            <w:vAlign w:val="bottom"/>
            <w:shd w:val="clear" w:color="auto" w:fill="CCEEFF"/>
          </w:tcPr>
          <w:p>
            <w:pPr>
              <w:spacing w:after="0"/>
              <w:rPr>
                <w:sz w:val="23"/>
                <w:szCs w:val="23"/>
                <w:color w:val="auto"/>
              </w:rPr>
            </w:pPr>
          </w:p>
        </w:tc>
      </w:tr>
      <w:tr>
        <w:trPr>
          <w:trHeight w:val="24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60" w:type="dxa"/>
            <w:vAlign w:val="bottom"/>
          </w:tcPr>
          <w:p>
            <w:pPr>
              <w:spacing w:after="0"/>
              <w:rPr>
                <w:sz w:val="21"/>
                <w:szCs w:val="2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gains,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r>
      <w:tr>
        <w:trPr>
          <w:trHeight w:val="263"/>
        </w:trPr>
        <w:tc>
          <w:tcPr>
            <w:tcW w:w="59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(23,315)</w:t>
            </w:r>
          </w:p>
        </w:tc>
        <w:tc>
          <w:tcPr>
            <w:tcW w:w="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60" w:type="dxa"/>
            <w:vAlign w:val="bottom"/>
            <w:tcBorders>
              <w:bottom w:val="single" w:sz="8" w:color="CCEEFF"/>
            </w:tcBorders>
          </w:tcPr>
          <w:p>
            <w:pPr>
              <w:spacing w:after="0"/>
              <w:rPr>
                <w:sz w:val="22"/>
                <w:szCs w:val="22"/>
                <w:color w:val="auto"/>
              </w:rPr>
            </w:pPr>
          </w:p>
        </w:tc>
      </w:tr>
      <w:tr>
        <w:trPr>
          <w:trHeight w:val="20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103,206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18,425</w:t>
            </w:r>
          </w:p>
        </w:tc>
        <w:tc>
          <w:tcPr>
            <w:tcW w:w="60" w:type="dxa"/>
            <w:vAlign w:val="bottom"/>
            <w:shd w:val="clear" w:color="auto" w:fill="CCEEFF"/>
          </w:tcPr>
          <w:p>
            <w:pPr>
              <w:spacing w:after="0"/>
              <w:rPr>
                <w:sz w:val="18"/>
                <w:szCs w:val="18"/>
                <w:color w:val="auto"/>
              </w:rPr>
            </w:pPr>
          </w:p>
        </w:tc>
      </w:tr>
      <w:tr>
        <w:trPr>
          <w:trHeight w:val="27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(20,728)</w:t>
            </w:r>
          </w:p>
        </w:tc>
        <w:tc>
          <w:tcPr>
            <w:tcW w:w="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(37,882)</w:t>
            </w:r>
          </w:p>
        </w:tc>
        <w:tc>
          <w:tcPr>
            <w:tcW w:w="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60" w:type="dxa"/>
            <w:vAlign w:val="bottom"/>
            <w:tcBorders>
              <w:bottom w:val="single" w:sz="8" w:color="CCEEFF"/>
            </w:tcBorders>
          </w:tcPr>
          <w:p>
            <w:pPr>
              <w:spacing w:after="0"/>
              <w:rPr>
                <w:sz w:val="23"/>
                <w:szCs w:val="23"/>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65,324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r>
      <w:tr>
        <w:trPr>
          <w:trHeight w:val="270"/>
        </w:trPr>
        <w:tc>
          <w:tcPr>
            <w:tcW w:w="59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Borders>
              <w:bottom w:val="single" w:sz="8" w:color="CCEEFF"/>
            </w:tcBorders>
          </w:tcPr>
          <w:p>
            <w:pPr>
              <w:spacing w:after="0"/>
              <w:rPr>
                <w:sz w:val="23"/>
                <w:szCs w:val="23"/>
                <w:color w:val="auto"/>
              </w:rPr>
            </w:pPr>
          </w:p>
        </w:tc>
      </w:tr>
      <w:tr>
        <w:trPr>
          <w:trHeight w:val="209"/>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Euronet Worldwide,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8,635</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65,515</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56"/>
        </w:trPr>
        <w:tc>
          <w:tcPr>
            <w:tcW w:w="5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Borders>
              <w:bottom w:val="single" w:sz="8" w:color="CCEEFF"/>
            </w:tcBorders>
          </w:tcPr>
          <w:p>
            <w:pPr>
              <w:spacing w:after="0"/>
              <w:rPr>
                <w:sz w:val="22"/>
                <w:szCs w:val="22"/>
                <w:color w:val="auto"/>
              </w:rPr>
            </w:pPr>
          </w:p>
        </w:tc>
      </w:tr>
      <w:tr>
        <w:trPr>
          <w:trHeight w:val="197"/>
        </w:trPr>
        <w:tc>
          <w:tcPr>
            <w:tcW w:w="594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56"/>
        </w:trPr>
        <w:tc>
          <w:tcPr>
            <w:tcW w:w="5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50,394,610</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52,805,367</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50,726,281</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52,784,106</w:t>
            </w:r>
          </w:p>
        </w:tc>
        <w:tc>
          <w:tcPr>
            <w:tcW w:w="60" w:type="dxa"/>
            <w:vAlign w:val="bottom"/>
            <w:tcBorders>
              <w:bottom w:val="single" w:sz="8" w:color="CCEEFF"/>
            </w:tcBorders>
          </w:tcPr>
          <w:p>
            <w:pPr>
              <w:spacing w:after="0"/>
              <w:rPr>
                <w:sz w:val="22"/>
                <w:szCs w:val="22"/>
                <w:color w:val="auto"/>
              </w:rPr>
            </w:pPr>
          </w:p>
        </w:tc>
      </w:tr>
      <w:tr>
        <w:trPr>
          <w:trHeight w:val="197"/>
        </w:trPr>
        <w:tc>
          <w:tcPr>
            <w:tcW w:w="594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53,766,914</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54,008,839</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54,133,724</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52,784,106</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4"/>
        </w:trPr>
        <w:tc>
          <w:tcPr>
            <w:tcW w:w="5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8"/>
                <w:szCs w:val="18"/>
                <w:color w:val="auto"/>
              </w:rPr>
            </w:pPr>
          </w:p>
        </w:tc>
      </w:tr>
      <w:tr>
        <w:trPr>
          <w:trHeight w:val="250"/>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57,034</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65,324</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21"/>
                <w:szCs w:val="21"/>
                <w:color w:val="auto"/>
              </w:rPr>
            </w:pPr>
          </w:p>
        </w:tc>
      </w:tr>
      <w:tr>
        <w:trPr>
          <w:trHeight w:val="270"/>
        </w:trPr>
        <w:tc>
          <w:tcPr>
            <w:tcW w:w="5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Translation adjustment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(88,278)</w:t>
            </w:r>
          </w:p>
        </w:tc>
        <w:tc>
          <w:tcPr>
            <w:tcW w:w="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(109,392)</w:t>
            </w:r>
          </w:p>
        </w:tc>
        <w:tc>
          <w:tcPr>
            <w:tcW w:w="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(30,215)</w:t>
            </w:r>
          </w:p>
        </w:tc>
        <w:tc>
          <w:tcPr>
            <w:tcW w:w="60" w:type="dxa"/>
            <w:vAlign w:val="bottom"/>
            <w:tcBorders>
              <w:bottom w:val="single" w:sz="8" w:color="CCEEFF"/>
            </w:tcBorders>
          </w:tcPr>
          <w:p>
            <w:pPr>
              <w:spacing w:after="0"/>
              <w:rPr>
                <w:sz w:val="23"/>
                <w:szCs w:val="23"/>
                <w:color w:val="auto"/>
              </w:rPr>
            </w:pPr>
          </w:p>
        </w:tc>
      </w:tr>
      <w:tr>
        <w:trPr>
          <w:trHeight w:val="25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(31,244)</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(44,068)</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w:t>
            </w:r>
          </w:p>
        </w:tc>
        <w:tc>
          <w:tcPr>
            <w:tcW w:w="60" w:type="dxa"/>
            <w:vAlign w:val="bottom"/>
            <w:shd w:val="clear" w:color="auto" w:fill="CCEEFF"/>
          </w:tcPr>
          <w:p>
            <w:pPr>
              <w:spacing w:after="0"/>
              <w:rPr>
                <w:sz w:val="21"/>
                <w:szCs w:val="21"/>
                <w:color w:val="auto"/>
              </w:rPr>
            </w:pPr>
          </w:p>
        </w:tc>
      </w:tr>
      <w:tr>
        <w:trPr>
          <w:trHeight w:val="270"/>
        </w:trPr>
        <w:tc>
          <w:tcPr>
            <w:tcW w:w="59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tcPr>
          <w:p>
            <w:pPr>
              <w:spacing w:after="0"/>
              <w:rPr>
                <w:sz w:val="23"/>
                <w:szCs w:val="23"/>
                <w:color w:val="auto"/>
              </w:rPr>
            </w:pPr>
          </w:p>
        </w:tc>
      </w:tr>
      <w:tr>
        <w:trPr>
          <w:trHeight w:val="237"/>
        </w:trPr>
        <w:tc>
          <w:tcPr>
            <w:tcW w:w="5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Comprehensive income (loss)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(31,507)</w:t>
            </w: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Treasury</w:t>
            </w:r>
          </w:p>
        </w:tc>
      </w:tr>
      <w:tr>
        <w:trPr>
          <w:trHeight w:val="195"/>
        </w:trPr>
        <w:tc>
          <w:tcPr>
            <w:tcW w:w="58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52,734,049</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1,228,446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(703,032</w:t>
            </w:r>
            <w:r>
              <w:rPr>
                <w:rFonts w:ascii="Times New Roman" w:cs="Times New Roman" w:eastAsia="Times New Roman" w:hAnsi="Times New Roman"/>
                <w:sz w:val="17"/>
                <w:szCs w:val="17"/>
                <w:color w:val="auto"/>
              </w:rPr>
              <w:t>)</w:t>
            </w:r>
          </w:p>
        </w:tc>
      </w:tr>
      <w:tr>
        <w:trPr>
          <w:trHeight w:val="22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62,436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482)</w:t>
            </w:r>
          </w:p>
        </w:tc>
      </w:tr>
      <w:tr>
        <w:trPr>
          <w:trHeight w:val="27"/>
        </w:trPr>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37"/>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March 31, 2021</w:t>
            </w:r>
          </w:p>
        </w:tc>
        <w:tc>
          <w:tcPr>
            <w:tcW w:w="6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52,796,485</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1,240,273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(703,514</w:t>
            </w:r>
            <w:r>
              <w:rPr>
                <w:rFonts w:ascii="Times New Roman" w:cs="Times New Roman" w:eastAsia="Times New Roman" w:hAnsi="Times New Roman"/>
                <w:sz w:val="17"/>
                <w:szCs w:val="17"/>
                <w:color w:val="auto"/>
              </w:rPr>
              <w:t>)</w:t>
            </w:r>
          </w:p>
        </w:tc>
      </w:tr>
      <w:tr>
        <w:trPr>
          <w:trHeight w:val="27"/>
        </w:trPr>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4"/>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52,822,254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1,252,456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(703,247)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89"/>
        </w:trPr>
        <w:tc>
          <w:tcPr>
            <w:tcW w:w="5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Treasury</w:t>
            </w:r>
          </w:p>
        </w:tc>
      </w:tr>
      <w:tr>
        <w:trPr>
          <w:trHeight w:val="195"/>
        </w:trPr>
        <w:tc>
          <w:tcPr>
            <w:tcW w:w="58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51,147,884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1,274,118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(931,212</w:t>
            </w:r>
            <w:r>
              <w:rPr>
                <w:rFonts w:ascii="Times New Roman" w:cs="Times New Roman" w:eastAsia="Times New Roman" w:hAnsi="Times New Roman"/>
                <w:sz w:val="17"/>
                <w:szCs w:val="17"/>
                <w:color w:val="auto"/>
              </w:rPr>
              <w:t>)</w:t>
            </w:r>
          </w:p>
        </w:tc>
      </w:tr>
      <w:tr>
        <w:trPr>
          <w:trHeight w:val="224"/>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40,173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shares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(639,535)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(70,351)</w:t>
            </w:r>
          </w:p>
        </w:tc>
      </w:tr>
      <w:tr>
        <w:trPr>
          <w:trHeight w:val="27"/>
        </w:trPr>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Adoption of ASU 2020-06</w:t>
            </w:r>
          </w:p>
        </w:tc>
        <w:tc>
          <w:tcPr>
            <w:tcW w:w="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(74,080)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r>
      <w:tr>
        <w:trPr>
          <w:trHeight w:val="237"/>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50,548,522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1,211,830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(1,001,421</w:t>
            </w:r>
            <w:r>
              <w:rPr>
                <w:rFonts w:ascii="Times New Roman" w:cs="Times New Roman" w:eastAsia="Times New Roman" w:hAnsi="Times New Roman"/>
                <w:sz w:val="17"/>
                <w:szCs w:val="17"/>
                <w:color w:val="auto"/>
              </w:rPr>
              <w:t>)</w:t>
            </w:r>
          </w:p>
        </w:tc>
      </w:tr>
      <w:tr>
        <w:trPr>
          <w:trHeight w:val="27"/>
        </w:trPr>
        <w:tc>
          <w:tcPr>
            <w:tcW w:w="5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shares</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(104,600)</w:t>
            </w:r>
          </w:p>
        </w:tc>
      </w:tr>
      <w:tr>
        <w:trPr>
          <w:trHeight w:val="257"/>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Balance as of </w:t>
            </w:r>
            <w:r>
              <w:rPr>
                <w:rFonts w:ascii="Times New Roman" w:cs="Times New Roman" w:eastAsia="Times New Roman" w:hAnsi="Times New Roman"/>
                <w:sz w:val="17"/>
                <w:szCs w:val="17"/>
                <w:color w:val="auto"/>
              </w:rPr>
              <w:t>June 30, 2022</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49,579,755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1,223,294</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(1,106,094)</w:t>
            </w:r>
          </w:p>
        </w:tc>
      </w:tr>
      <w:tr>
        <w:trPr>
          <w:trHeight w:val="20"/>
        </w:trPr>
        <w:tc>
          <w:tcPr>
            <w:tcW w:w="5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consolidated financial statements.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EURONET WORLDWIDE,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4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8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1,013,155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1,445,903</w:t>
            </w:r>
          </w:p>
        </w:tc>
        <w:tc>
          <w:tcPr>
            <w:tcW w:w="0" w:type="dxa"/>
            <w:vAlign w:val="bottom"/>
          </w:tcPr>
          <w:p>
            <w:pPr>
              <w:spacing w:after="0"/>
              <w:rPr>
                <w:sz w:val="1"/>
                <w:szCs w:val="1"/>
                <w:color w:val="auto"/>
              </w:rPr>
            </w:pPr>
          </w:p>
        </w:tc>
      </w:tr>
      <w:tr>
        <w:trPr>
          <w:trHeight w:val="33"/>
        </w:trPr>
        <w:tc>
          <w:tcPr>
            <w:tcW w:w="5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42,845</w:t>
            </w: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56</w:t>
            </w: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42,901</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196"/>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March 31, 2021</w:t>
            </w: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1,004,490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(137,059)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1,405,727</w:t>
            </w: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1,439,496</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8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1,083,882</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(172,582</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1,255,524</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8,290</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(21,114</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9,803</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shares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Adoption of ASU 2020-06</w:t>
            </w: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(40,690)</w:t>
            </w:r>
          </w:p>
        </w:tc>
        <w:tc>
          <w:tcPr>
            <w:tcW w:w="0" w:type="dxa"/>
            <w:vAlign w:val="bottom"/>
          </w:tcPr>
          <w:p>
            <w:pPr>
              <w:spacing w:after="0"/>
              <w:rPr>
                <w:sz w:val="1"/>
                <w:szCs w:val="1"/>
                <w:color w:val="auto"/>
              </w:rPr>
            </w:pPr>
          </w:p>
        </w:tc>
      </w:tr>
      <w:tr>
        <w:trPr>
          <w:trHeight w:val="237"/>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1,125,569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(193,659</w:t>
            </w: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1,143,594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57,034</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(88,278)</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issued under employee stock plans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shares</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(104,600)</w:t>
            </w:r>
          </w:p>
        </w:tc>
        <w:tc>
          <w:tcPr>
            <w:tcW w:w="0" w:type="dxa"/>
            <w:vAlign w:val="bottom"/>
          </w:tcPr>
          <w:p>
            <w:pPr>
              <w:spacing w:after="0"/>
              <w:rPr>
                <w:sz w:val="1"/>
                <w:szCs w:val="1"/>
                <w:color w:val="auto"/>
              </w:rPr>
            </w:pP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1,182,787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(281,858)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1,019,142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4"/>
        </w:trPr>
        <w:tc>
          <w:tcPr>
            <w:tcW w:w="8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66,820</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 and amortization of debt issuance costs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8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 including amounts in settlement assets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136,121</w:t>
            </w:r>
          </w:p>
        </w:tc>
      </w:tr>
      <w:tr>
        <w:trPr>
          <w:trHeight w:val="216"/>
        </w:trPr>
        <w:tc>
          <w:tcPr>
            <w:tcW w:w="8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in settlement 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136,331</w:t>
            </w:r>
          </w:p>
        </w:tc>
      </w:tr>
      <w:tr>
        <w:trPr>
          <w:trHeight w:val="216"/>
        </w:trPr>
        <w:tc>
          <w:tcPr>
            <w:tcW w:w="8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 including amounts in settlement obligations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(213,158)</w:t>
            </w:r>
          </w:p>
        </w:tc>
      </w:tr>
      <w:tr>
        <w:trPr>
          <w:trHeight w:val="216"/>
        </w:trPr>
        <w:tc>
          <w:tcPr>
            <w:tcW w:w="8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including amounts in settlement obligations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10"/>
        </w:trPr>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173,307</w:t>
            </w:r>
          </w:p>
        </w:tc>
      </w:tr>
      <w:tr>
        <w:trPr>
          <w:trHeight w:val="216"/>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(45,076)</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09"/>
        </w:trPr>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(48,332)</w:t>
            </w: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shares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from revolving credit agreements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1,606,100</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revolving credit agreements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(3,385,400)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(1,855,700)</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borrowings (repayments) from short-term debt obligations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64"/>
        </w:trPr>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(248,553)</w:t>
            </w:r>
          </w:p>
        </w:tc>
      </w:tr>
      <w:tr>
        <w:trPr>
          <w:trHeight w:val="216"/>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(43,278)</w:t>
            </w:r>
          </w:p>
        </w:tc>
      </w:tr>
      <w:tr>
        <w:trPr>
          <w:trHeight w:val="216"/>
        </w:trPr>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(166,856)</w:t>
            </w:r>
          </w:p>
        </w:tc>
      </w:tr>
      <w:tr>
        <w:trPr>
          <w:trHeight w:val="216"/>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2,099,508</w:t>
            </w:r>
          </w:p>
        </w:tc>
      </w:tr>
      <w:tr>
        <w:trPr>
          <w:trHeight w:val="175"/>
        </w:trPr>
        <w:tc>
          <w:tcPr>
            <w:tcW w:w="86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10"/>
        </w:trPr>
        <w:tc>
          <w:tcPr>
            <w:tcW w:w="8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2,175,798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1,932,652</w:t>
            </w: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6"/>
        </w:trPr>
        <w:tc>
          <w:tcPr>
            <w:tcW w:w="8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6"/>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w:t>
            </w:r>
          </w:p>
        </w:tc>
      </w:tr>
      <w:tr>
        <w:trPr>
          <w:trHeight w:val="216"/>
        </w:trPr>
        <w:tc>
          <w:tcPr>
            <w:tcW w:w="8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w:t>
            </w:r>
          </w:p>
        </w:tc>
      </w:tr>
      <w:tr>
        <w:trPr>
          <w:trHeight w:val="234"/>
        </w:trPr>
        <w:tc>
          <w:tcPr>
            <w:tcW w:w="86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1"/>
        </w:trPr>
        <w:tc>
          <w:tcPr>
            <w:tcW w:w="86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8"/>
        </w:trPr>
        <w:tc>
          <w:tcPr>
            <w:tcW w:w="8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Worldwide, Inc. (the "Company", "Euronet", "we" and "us")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POS, card outsourcing, card issuing and merchant acquiring services, electronic distribution of prepaid mobile airtime and other electronic payment products, and international payment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our audited consolidated financial statements for the year ended December 31, 2021, including the notes thereto, set forth in our 2021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Euronet’s EFT Processing Segment normally experiences its heaviest demand for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RECENTLY ISSUED AND ADOPTED ACCOUNTING PRONOUNCEMENTS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ASU 2020-06, </w:t>
      </w:r>
      <w:r>
        <w:rPr>
          <w:rFonts w:ascii="Times New Roman" w:cs="Times New Roman" w:eastAsia="Times New Roman" w:hAnsi="Times New Roman"/>
          <w:sz w:val="18"/>
          <w:szCs w:val="18"/>
          <w:i w:val="1"/>
          <w:iCs w:val="1"/>
          <w:color w:val="auto"/>
        </w:rPr>
        <w:t>"Accounting for Convertible Instruments and Contracts in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w:t>
      </w:r>
      <w:r>
        <w:rPr>
          <w:rFonts w:ascii="Times New Roman" w:cs="Times New Roman" w:eastAsia="Times New Roman" w:hAnsi="Times New Roman"/>
          <w:sz w:val="18"/>
          <w:szCs w:val="18"/>
          <w:color w:val="auto"/>
        </w:rPr>
        <w:t>which simplifies the accounting for convertible instruments by eliminating certain accounting models when the conversion features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We adopted this standard on January 1, 2022 using the modified retrospective approach, which resulted in our Convertible Senior Notes Due 2049 being recognized as a single liability. As a result of the adoption of this standard we recorded a $99.7 million decrease to additional paid-in capital, a $56.8 million decrease in debt discounts and a $42.9 million increase in retained earnings. The adoption of this standard also impacted our deferred tax liability by decreasing our deferred tax liability by $15.0 million, decreasing retained earnings by $10.6 million, and increasing additional paid-in capital by $25.6 million. Additionally, the elimination of the treasury stock method will increase the number of dilutive shares used in the diluted earnings per share calculation, if dilutive, by 2.8 million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2022 we completed the acquisition of the Merchant Acquiring Business of Piraeus Bank ("PBMA"). The acquisition includes 205,000 POS terminals at 170,000 merchants throughout Greece, as well as Piraeus Bank’s online merchant acquiring business and expands our omnichannel payments strategy where we use our proprietary technology to provide cash, card-based acquiring solutions, alternative payment acquiring, online acquiring, tokenized payment services and other payment products. Additionally, the acquisition includes a long-term commercial framework agreement between Piraeus Bank and Euronet which includes collaborative product distribution, processing and customer referrals.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was €313.8 million, or approximately $346.2 million, which includes $331 million cash paid at closing plus $15.2 million of estimated contingent consideration for a ten-year earnout contingent on performance targets outlined in the commercial framework agreement. The contingent consideration is related to a percentage of the net fee income received during the ten-year period of the commercial framework agreement and there is no contractual maximum amount of consideration under this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accounting for this acquisition is not complete as of June 30, 2022. The purchase price was preliminarily allocated to the assets acquired and liabilities assumed, including identifiable intangible assets, based on their respective provisional fair values at the date of acquisition. Additional time is needed to refine and review the results of the valuation of assets and liabilities. The acquisition has been accounted for as a business combination in accordance with U.S. GAAP and the results of operations have been included from the date of acquisition in the EFT Processing Segment.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the assets acquired and liabilities assumed as of the acquisition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15,</w:t>
            </w:r>
          </w:p>
        </w:tc>
        <w:tc>
          <w:tcPr>
            <w:tcW w:w="0" w:type="dxa"/>
            <w:vAlign w:val="bottom"/>
          </w:tcPr>
          <w:p>
            <w:pPr>
              <w:spacing w:after="0"/>
              <w:rPr>
                <w:sz w:val="1"/>
                <w:szCs w:val="1"/>
                <w:color w:val="auto"/>
              </w:rPr>
            </w:pPr>
          </w:p>
        </w:tc>
      </w:tr>
      <w:tr>
        <w:trPr>
          <w:trHeight w:val="195"/>
        </w:trPr>
        <w:tc>
          <w:tcPr>
            <w:tcW w:w="99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1"/>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7"/>
        </w:trPr>
        <w:tc>
          <w:tcPr>
            <w:tcW w:w="9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78,718</w:t>
            </w:r>
          </w:p>
        </w:tc>
        <w:tc>
          <w:tcPr>
            <w:tcW w:w="0" w:type="dxa"/>
            <w:vAlign w:val="bottom"/>
          </w:tcPr>
          <w:p>
            <w:pPr>
              <w:spacing w:after="0"/>
              <w:rPr>
                <w:sz w:val="1"/>
                <w:szCs w:val="1"/>
                <w:color w:val="auto"/>
              </w:rPr>
            </w:pPr>
          </w:p>
        </w:tc>
      </w:tr>
      <w:tr>
        <w:trPr>
          <w:trHeight w:val="243"/>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7"/>
        </w:trPr>
        <w:tc>
          <w:tcPr>
            <w:tcW w:w="9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122,455</w:t>
            </w:r>
          </w:p>
        </w:tc>
        <w:tc>
          <w:tcPr>
            <w:tcW w:w="0" w:type="dxa"/>
            <w:vAlign w:val="bottom"/>
          </w:tcPr>
          <w:p>
            <w:pPr>
              <w:spacing w:after="0"/>
              <w:rPr>
                <w:sz w:val="1"/>
                <w:szCs w:val="1"/>
                <w:color w:val="auto"/>
              </w:rPr>
            </w:pPr>
          </w:p>
        </w:tc>
      </w:tr>
      <w:tr>
        <w:trPr>
          <w:trHeight w:val="237"/>
        </w:trPr>
        <w:tc>
          <w:tcPr>
            <w:tcW w:w="9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208,975</w:t>
            </w:r>
          </w:p>
        </w:tc>
        <w:tc>
          <w:tcPr>
            <w:tcW w:w="0" w:type="dxa"/>
            <w:vAlign w:val="bottom"/>
          </w:tcPr>
          <w:p>
            <w:pPr>
              <w:spacing w:after="0"/>
              <w:rPr>
                <w:sz w:val="1"/>
                <w:szCs w:val="1"/>
                <w:color w:val="auto"/>
              </w:rPr>
            </w:pPr>
          </w:p>
        </w:tc>
      </w:tr>
      <w:tr>
        <w:trPr>
          <w:trHeight w:val="27"/>
        </w:trPr>
        <w:tc>
          <w:tcPr>
            <w:tcW w:w="9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9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7"/>
        </w:trPr>
        <w:tc>
          <w:tcPr>
            <w:tcW w:w="9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66,925</w:t>
            </w:r>
          </w:p>
        </w:tc>
        <w:tc>
          <w:tcPr>
            <w:tcW w:w="0" w:type="dxa"/>
            <w:vAlign w:val="bottom"/>
          </w:tcPr>
          <w:p>
            <w:pPr>
              <w:spacing w:after="0"/>
              <w:rPr>
                <w:sz w:val="1"/>
                <w:szCs w:val="1"/>
                <w:color w:val="auto"/>
              </w:rPr>
            </w:pPr>
          </w:p>
        </w:tc>
      </w:tr>
      <w:tr>
        <w:trPr>
          <w:trHeight w:val="243"/>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0" w:type="dxa"/>
            <w:vAlign w:val="bottom"/>
          </w:tcPr>
          <w:p>
            <w:pPr>
              <w:spacing w:after="0"/>
              <w:rPr>
                <w:sz w:val="1"/>
                <w:szCs w:val="1"/>
                <w:color w:val="auto"/>
              </w:rPr>
            </w:pPr>
          </w:p>
        </w:tc>
      </w:tr>
      <w:tr>
        <w:trPr>
          <w:trHeight w:val="27"/>
        </w:trPr>
        <w:tc>
          <w:tcPr>
            <w:tcW w:w="9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9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9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74,952</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212,183</w:t>
            </w:r>
          </w:p>
        </w:tc>
        <w:tc>
          <w:tcPr>
            <w:tcW w:w="0" w:type="dxa"/>
            <w:vAlign w:val="bottom"/>
          </w:tcPr>
          <w:p>
            <w:pPr>
              <w:spacing w:after="0"/>
              <w:rPr>
                <w:sz w:val="1"/>
                <w:szCs w:val="1"/>
                <w:color w:val="auto"/>
              </w:rPr>
            </w:pPr>
          </w:p>
        </w:tc>
      </w:tr>
      <w:tr>
        <w:trPr>
          <w:trHeight w:val="270"/>
        </w:trPr>
        <w:tc>
          <w:tcPr>
            <w:tcW w:w="99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346,206</w:t>
            </w:r>
          </w:p>
        </w:tc>
        <w:tc>
          <w:tcPr>
            <w:tcW w:w="0" w:type="dxa"/>
            <w:vAlign w:val="bottom"/>
          </w:tcPr>
          <w:p>
            <w:pPr>
              <w:spacing w:after="0"/>
              <w:rPr>
                <w:sz w:val="1"/>
                <w:szCs w:val="1"/>
                <w:color w:val="auto"/>
              </w:rPr>
            </w:pPr>
          </w:p>
        </w:tc>
      </w:tr>
      <w:tr>
        <w:trPr>
          <w:trHeight w:val="27"/>
        </w:trPr>
        <w:tc>
          <w:tcPr>
            <w:tcW w:w="9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acquired, liabilities assumed, and consideration transferred were recorded at their estimated fair values on the acquisition date. The fair value measurements of intangible assets were based on significant inputs not observable in the market and represent Level 3 measurements within the fair value hierarchy. Level 3 inputs include discount rates that would be used by a market participant in valuing these assets, projections of revenues and cash flows, and customer attrition rates, among others.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acquired a customer relationship intangible asset with a preliminary fair value of $112.2 million that is being amortized on a straight-line basis over 15 years and a contract related intangible asset of $10.3 million that is being amortized on a straight-line basis over 10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with a preliminary value of $212.2 million, arising from the acquisition was included in the EFT Processing Segment. The factors that make up goodwill include synergies from combining PBMA operations and intangible assets that do not qualify for separate recognition. Goodwill and intangible assets associated with this acquisition are deductible for tax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PBMA operations are included in our consolidated results of operation, as part of our EFT Processing business segment, beginning on March 16, 2022. For the three and six months ended June 30, 2022, PBMA had $27.5 million and $31.2 million in revenue. The PBMA business is impacted by higher transaction volumes during the tourism season in the second and third quarters.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SETTLEMENT ASSETS AND OBLIGATIONS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We record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We use our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us.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both"/>
        <w:spacing w:after="0" w:line="259" w:lineRule="auto"/>
        <w:rPr>
          <w:sz w:val="20"/>
          <w:szCs w:val="20"/>
          <w:color w:val="auto"/>
        </w:rPr>
      </w:pPr>
      <w:r>
        <w:rPr>
          <w:rFonts w:ascii="Times New Roman" w:cs="Times New Roman" w:eastAsia="Times New Roman" w:hAnsi="Times New Roman"/>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14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203,624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49,840</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74,897</w:t>
            </w:r>
          </w:p>
        </w:tc>
        <w:tc>
          <w:tcPr>
            <w:tcW w:w="0" w:type="dxa"/>
            <w:vAlign w:val="bottom"/>
          </w:tcPr>
          <w:p>
            <w:pPr>
              <w:spacing w:after="0"/>
              <w:rPr>
                <w:sz w:val="1"/>
                <w:szCs w:val="1"/>
                <w:color w:val="auto"/>
              </w:rPr>
            </w:pPr>
          </w:p>
        </w:tc>
      </w:tr>
      <w:tr>
        <w:trPr>
          <w:trHeight w:val="243"/>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credit losses of $30,009 and $27,341</w:t>
            </w: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593,738</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619,738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200,196</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204,130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6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settlement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1,057,423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1,102,389</w:t>
            </w: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 payables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383,652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461,135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673,771</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641,254</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1,102,389</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12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994,488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1,420,255</w:t>
            </w:r>
          </w:p>
        </w:tc>
        <w:tc>
          <w:tcPr>
            <w:tcW w:w="0" w:type="dxa"/>
            <w:vAlign w:val="bottom"/>
          </w:tcPr>
          <w:p>
            <w:pPr>
              <w:spacing w:after="0"/>
              <w:rPr>
                <w:sz w:val="1"/>
                <w:szCs w:val="1"/>
                <w:color w:val="auto"/>
              </w:rPr>
            </w:pPr>
          </w:p>
        </w:tc>
      </w:tr>
      <w:tr>
        <w:trPr>
          <w:trHeight w:val="243"/>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ATM cash</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565,084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411,054</w:t>
            </w:r>
          </w:p>
        </w:tc>
        <w:tc>
          <w:tcPr>
            <w:tcW w:w="0" w:type="dxa"/>
            <w:vAlign w:val="bottom"/>
          </w:tcPr>
          <w:p>
            <w:pPr>
              <w:spacing w:after="0"/>
              <w:rPr>
                <w:sz w:val="1"/>
                <w:szCs w:val="1"/>
                <w:color w:val="auto"/>
              </w:rPr>
            </w:pPr>
          </w:p>
        </w:tc>
      </w:tr>
      <w:tr>
        <w:trPr>
          <w:trHeight w:val="243"/>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188,191</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2,175,798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2,086,102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1,932,652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2,099,508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our common stock, assumed vesting of restricted stock and the assumed conversion of our convertible debt, if such conversion would be dilutive.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provides the computation of diluted earnings and diluted weighted average number of common shares outstanding: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1"/>
        </w:trPr>
        <w:tc>
          <w:tcPr>
            <w:tcW w:w="5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248"/>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Computation of diluted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6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65,515</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Interest expense from assumed conversion of convertible notes,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37"/>
        </w:trPr>
        <w:tc>
          <w:tcPr>
            <w:tcW w:w="5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 (loss) for diluted earnings per share calculation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67,628</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5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50,394,610</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52,805,367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50,726,281</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52,784,106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5"/>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stock</w:t>
            </w:r>
          </w:p>
        </w:tc>
        <w:tc>
          <w:tcPr>
            <w:tcW w:w="2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590,486</w:t>
            </w:r>
          </w:p>
        </w:tc>
        <w:tc>
          <w:tcPr>
            <w:tcW w:w="3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1,203,472</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625,625</w:t>
            </w:r>
          </w:p>
        </w:tc>
        <w:tc>
          <w:tcPr>
            <w:tcW w:w="30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debt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2,781,818</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2,781,818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53,766,914</w:t>
            </w:r>
          </w:p>
        </w:tc>
        <w:tc>
          <w:tcPr>
            <w:tcW w:w="3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54,008,839</w:t>
            </w:r>
          </w:p>
        </w:tc>
        <w:tc>
          <w:tcPr>
            <w:tcW w:w="2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54,133,724</w:t>
            </w:r>
          </w:p>
        </w:tc>
        <w:tc>
          <w:tcPr>
            <w:tcW w:w="3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52,784,106</w:t>
            </w:r>
          </w:p>
        </w:tc>
        <w:tc>
          <w:tcPr>
            <w:tcW w:w="80" w:type="dxa"/>
            <w:vAlign w:val="bottom"/>
          </w:tcPr>
          <w:p>
            <w:pPr>
              <w:spacing w:after="0"/>
              <w:rPr>
                <w:sz w:val="22"/>
                <w:szCs w:val="22"/>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includes all stock options and restricted stock that are dilutive to our weighted average common shares outstanding during the period. The calculation of diluted earnings (loss) per share excludes stock options or shares of restricted stock that are anti-dilutive to our weighted average common shares outstanding of approximately 2,971,768 and 2,972,786 for the three and six months ended June 30, 2022 and 1,239,000 and 2,429,000 for the three and six months ended June 30, 2021, respectively.</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issued Convertible Senior Notes ("Convertible Notes") due March 2049 on March 18, 2019. Our Convertible Notes currently have a settlement feature requiring us upon conversion to settle the principal amount of the debt and any conversion value in excess of the principal value ("conversion premium"), for cash or shares of our common stock or a combination thereof, at our option. We have stated our intent to settle any conversion of these notes by paying cash for the principal value and issuing common stock for any conversion premium; however, after adopting ASU 2020-06, 2.8 million incremental shares assumed for conversion of convertible notes shall be included in the dilutive earnings per share calculation, if dilutive, regardless of whether the market price trigger has been met. Therefore, our Convertible Notes were included in the calculation of diluted earnings (loss) per share if their inclusion was dilutive. The dilutive effect increases the more the market price exceeds the conversion price of $188.73 per share. See Note 9, Debt Obligations, to the consolidated financial statements for more information about the Convertible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26, 2020, we put a repurchase program in place to repurchase up to $250 million in value, but not more than 5.0 million shares of common stock through February 28, 2022. On December 8, 2021, we put a repurchase program in place to repurchase up to $300 million in value, but not more than 5.0 million shares of common stock through December 8, 2023. Under the repurchase programs we repurchased $104.6 million and $175.0 million of stock, for the three and six months ended June 30, 2022, respectively. Repurchases under the current program may take place in the open market or in privately negotiated transactions, including derivative transactions, and may be made under a Rule 10b5-1 plan.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consists entirely of foreign currency translation adjustments. We recorded foreign currency translation losses of $88.3 million and $109.4 million for the three and six months ended June 30, 2022, respectively, and gain of $12.7 million and loss of $30.2 million for the same periods in 2021. There were no reclassifications of foreign currency translation into the consolidated statements of income for the three and six months ended June 30, 2022 and 2021.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acquired intangible assets and goodwill activity for the six months ended June 30, 2022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0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73"/>
        </w:trPr>
        <w:tc>
          <w:tcPr>
            <w:tcW w:w="6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641,605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(decreases):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122,455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212,183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(13,325)</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(13,325)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(9,642)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(45,940)</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(55,582)</w:t>
            </w:r>
          </w:p>
        </w:tc>
        <w:tc>
          <w:tcPr>
            <w:tcW w:w="0" w:type="dxa"/>
            <w:vAlign w:val="bottom"/>
          </w:tcPr>
          <w:p>
            <w:pPr>
              <w:spacing w:after="0"/>
              <w:rPr>
                <w:sz w:val="1"/>
                <w:szCs w:val="1"/>
                <w:color w:val="auto"/>
              </w:rPr>
            </w:pPr>
          </w:p>
        </w:tc>
      </w:tr>
      <w:tr>
        <w:trPr>
          <w:trHeight w:val="209"/>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197,281</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807,848</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1,005,129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total goodwill balance of $807.8 million as of June 30, 2022, $371.5 million relates to the Money Transfer Segment, $315.1 million relates to the EFT Processing Segment and the remaining $121.2 million relates to the epay Segment. Estimated amortization expense on acquired intangible assets with finite lives as of June 30, 2022, is expected to total $13.9 million for the remainder of 2022, $23.7 million for 2023, $17.6 million for 2024, $14.4 million for 2025, $14.0 million for 2026 and $12.8 million for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3"/>
        </w:trPr>
        <w:tc>
          <w:tcPr>
            <w:tcW w:w="8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376,386</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51,074</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48,098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55,162</w:t>
            </w:r>
          </w:p>
        </w:tc>
        <w:tc>
          <w:tcPr>
            <w:tcW w:w="0" w:type="dxa"/>
            <w:vAlign w:val="bottom"/>
          </w:tcPr>
          <w:p>
            <w:pPr>
              <w:spacing w:after="0"/>
              <w:rPr>
                <w:sz w:val="1"/>
                <w:szCs w:val="1"/>
                <w:color w:val="auto"/>
              </w:rPr>
            </w:pPr>
          </w:p>
        </w:tc>
      </w:tr>
      <w:tr>
        <w:trPr>
          <w:trHeight w:val="216"/>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3,262</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deferred revenues when cash payments are received or due in advance of our performance. The decrease in the deferred revenue balance for the six months ended June 30, 2022 is the result of $20.2 million of cash payments received in the current year for which we have not yet satisfied the performance obligations, offset by $34.0 million of revenues recognized that were included in the deferred revenue balance as of December 31, 2021.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9)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11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06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8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Uncommitted Credit Agreements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Debt: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0.75% convertible notes, unsecured, due 2049</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468,235</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682,080</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83"/>
        </w:trPr>
        <w:tc>
          <w:tcPr>
            <w:tcW w:w="8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debt obligations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2,101,416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1,434,635</w:t>
            </w:r>
          </w:p>
        </w:tc>
        <w:tc>
          <w:tcPr>
            <w:tcW w:w="0" w:type="dxa"/>
            <w:vAlign w:val="bottom"/>
          </w:tcPr>
          <w:p>
            <w:pPr>
              <w:spacing w:after="0"/>
              <w:rPr>
                <w:sz w:val="1"/>
                <w:szCs w:val="1"/>
                <w:color w:val="auto"/>
              </w:rPr>
            </w:pPr>
          </w:p>
        </w:tc>
      </w:tr>
      <w:tr>
        <w:trPr>
          <w:trHeight w:val="209"/>
        </w:trPr>
        <w:tc>
          <w:tcPr>
            <w:tcW w:w="8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0" w:type="dxa"/>
            <w:vAlign w:val="bottom"/>
          </w:tcPr>
          <w:p>
            <w:pPr>
              <w:spacing w:after="0"/>
              <w:rPr>
                <w:sz w:val="1"/>
                <w:szCs w:val="1"/>
                <w:color w:val="auto"/>
              </w:rPr>
            </w:pPr>
          </w:p>
        </w:tc>
      </w:tr>
      <w:tr>
        <w:trPr>
          <w:trHeight w:val="210"/>
        </w:trPr>
        <w:tc>
          <w:tcPr>
            <w:tcW w:w="8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value of debt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2,088,982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1,420,906</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09"/>
        </w:trPr>
        <w:tc>
          <w:tcPr>
            <w:tcW w:w="8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1,638,663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1,420,085</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17, 2018, the Company entered into an unsecured revolving credit agreement (the "Credit Facility") for $1.0 billion that expires on October 17, 2023. Fees and interest on borrowings are based upon the Company's corporate credit rating and are based, in the case of letter of credit fees, on a margin, and in the case of interest, on a margin over London Inter-Bank Offered Rate (“LIBOR”) or a margin over the base rate, as selected by the Company, with the applicable margin ranging from 1.125% to 2.0% (or 0.175% to 1.0% for base rate loans).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 The Credit Facility contains customary affirmative and negative covenants, events of default and financial covenants. The Company was in compliance with all debt covenants as of June 30,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25, 2022, the Company entered into an Uncommitted Credit Agreement for $300 million, fully drawn and outstanding at June 30, 2022, for the sole purpose of providing vault cash for ATMs, that expires no later than November 30, 2022. Each loan bears interest at the rate per annum equal to the secured overnight financing rate (“SOFR”) plus 1.00%. The weighted-average interest rate from the loan inception date to June 30, 2022 was 1.900%.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2022, the Company entered into an Uncommitted Loan Agreement for $150 million, fully drawn and outstanding at June 30, 2022, for the sole purpose of providing vault cash for ATMs, that expires no later than June 23, 2023. Each loan is a Prime rate loan, a Bloomberg Short-term Bank Yield ("BSBY") rate loan or bears interest at the rate agreed to by the Bank and the Company at the time such loan is made. The weighted-average interest rate from the loan inception date to June 30, 2022 was 2.317%.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Prior to the adoption of ASU 2020-06 as of January 1, 2022, in accordance with ASC 470-20-30-27, proceeds from the issuance of convertible debt was allocated between debt and equity components so that debt was discounted to reflect our nonconvertible debt borrowing rate. ASC 470-20-35-13 required the debt discount to be amortized over the period the convertible debt was expected to be outstanding as additional non-cash interest expense. The allocation resulted in an increase to additional paid-in capital of $99.7 million for the Convertible Notes. Contractual interest expense for the Convertible Notes was $1.0 million and $2.0 million for the three and six months ended June 30, 2021, respectively. Accretion expense for the Convertible Notes was $4.0 million and $7.9 million for the three and six months ended June 30, 2021. See Footnote 2, </w:t>
      </w:r>
      <w:r>
        <w:rPr>
          <w:rFonts w:ascii="Times New Roman" w:cs="Times New Roman" w:eastAsia="Times New Roman" w:hAnsi="Times New Roman"/>
          <w:sz w:val="18"/>
          <w:szCs w:val="18"/>
          <w:i w:val="1"/>
          <w:iCs w:val="1"/>
          <w:color w:val="auto"/>
        </w:rPr>
        <w:t>Recently Issued and Adopted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Pronouncements, </w:t>
      </w:r>
      <w:r>
        <w:rPr>
          <w:rFonts w:ascii="Times New Roman" w:cs="Times New Roman" w:eastAsia="Times New Roman" w:hAnsi="Times New Roman"/>
          <w:sz w:val="18"/>
          <w:szCs w:val="18"/>
          <w:color w:val="auto"/>
        </w:rPr>
        <w:t>for more information regarding this adoption.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1.375% </w:t>
      </w:r>
      <w:r>
        <w:rPr>
          <w:rFonts w:ascii="Times New Roman" w:cs="Times New Roman" w:eastAsia="Times New Roman" w:hAnsi="Times New Roman"/>
          <w:sz w:val="18"/>
          <w:szCs w:val="18"/>
          <w:i w:val="1"/>
          <w:iCs w:val="1"/>
          <w:color w:val="auto"/>
        </w:rPr>
        <w:t>Senior Notes due</w:t>
      </w:r>
      <w:r>
        <w:rPr>
          <w:rFonts w:ascii="Times New Roman" w:cs="Times New Roman" w:eastAsia="Times New Roman" w:hAnsi="Times New Roman"/>
          <w:sz w:val="18"/>
          <w:szCs w:val="18"/>
          <w:color w:val="auto"/>
        </w:rPr>
        <w:t xml:space="preserve"> 2026</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2019, the Company completed the sale of €600 million ($669.9 million) aggregate principal amount of Senior Notes that are due in May 2026 (the “Senior Notes”). The Senior Notes accrue interest at a rate of 1.375% per year, payable annually in arrears commencing May 22, 2020, until maturity or earlier redemption. As of June 30, 2022, the Company has outstanding €600 million ($628.9 million) principal amount of the Senior Notes. In addition, the Company may redeem some or all of these notes on or after February 22, 2026 at their principal amount plus any accrued and unpaid interest.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subsidiaries have available lines of credit and overdraft credit facilities that generally provide for short-term borrowings that are used from time to time for working capital purposes. As of June 30, 2022 and December 31, 2021, borrowings under these arrangements were $0.4 million and $0.9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we had unamortized debt issuance costs of $1.8 million for the Credit Facility, $5.9 million for the Convertible Notes and $4.7 million for the Senior Notes that will be amortized through October 2023, March 2025 and May 2026, respectively.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2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$304.5 million and $222.1 million as of June 30, 2022 and December 31, 2021, respectively. The foreign currency forward contracts consist primarily in Australian dollars, Canadian dollars, British pounds sterling, euro and Mexican pesos.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$304.5 million and $216.1 million as of June 30, 2022 and December 31, 2021, respectively, primarily in euro.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xe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$21.7 million and $44.2 million for the three and six months ended June 30, 2022, respectively, compared to $19.9 million and $38.4 million for the same periods in 2021, respectively. All of the derivative contracts used in the Company's xe operations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duration of these derivative contracts is generally less than one year.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currency derivative customer contracts held by the Company in its xe operations as of June 30, 2022 and December 31, 2021 was approximately $0.9 billion and $1.0 billion, respectively. The significant majority of customer contracts are written in major currencies such as the euro, U.S. dollar, British pounds sterling, Australian dollar and New Zealand dollar.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tcBorders>
              <w:bottom w:val="single" w:sz="8" w:color="auto"/>
            </w:tcBorders>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360" w:type="dxa"/>
            <w:vAlign w:val="bottom"/>
            <w:tcBorders>
              <w:bottom w:val="single" w:sz="8" w:color="auto"/>
            </w:tcBorders>
            <w:gridSpan w:val="5"/>
          </w:tcPr>
          <w:p>
            <w:pPr>
              <w:ind w:left="158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7"/>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96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2080" w:type="dxa"/>
            <w:vAlign w:val="bottom"/>
            <w:vMerge w:val="restart"/>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960" w:type="dxa"/>
            <w:vAlign w:val="bottom"/>
          </w:tcPr>
          <w:p>
            <w:pPr>
              <w:jc w:val="center"/>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900" w:type="dxa"/>
            <w:vAlign w:val="bottom"/>
            <w:gridSpan w:val="2"/>
            <w:vMerge w:val="continue"/>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7"/>
        </w:trPr>
        <w:tc>
          <w:tcPr>
            <w:tcW w:w="284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w:t>
            </w:r>
          </w:p>
        </w:tc>
        <w:tc>
          <w:tcPr>
            <w:tcW w:w="6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current assets  $</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65,802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60" w:type="dxa"/>
            <w:vAlign w:val="bottom"/>
          </w:tcPr>
          <w:p>
            <w:pPr>
              <w:spacing w:after="0"/>
              <w:rPr>
                <w:sz w:val="20"/>
                <w:szCs w:val="20"/>
                <w:color w:val="auto"/>
              </w:rPr>
            </w:pPr>
          </w:p>
        </w:tc>
        <w:tc>
          <w:tcPr>
            <w:tcW w:w="208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(51,074)</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June 30, 2022 and December 31, 2021 (in thousands):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tbl>
      <w:tblPr>
        <w:tblLayout w:type="fixed"/>
        <w:tblInd w:w="0" w:type="dxa"/>
        <w:tblCellMar>
          <w:top w:w="0" w:type="dxa"/>
          <w:left w:w="0" w:type="dxa"/>
          <w:bottom w:w="0" w:type="dxa"/>
          <w:right w:w="0" w:type="dxa"/>
        </w:tblCellMar>
      </w:tblPr>
      <w:tr>
        <w:trPr>
          <w:trHeight w:val="153"/>
        </w:trPr>
        <w:tc>
          <w:tcPr>
            <w:tcW w:w="3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4"/>
          </w:tcPr>
          <w:p>
            <w:pPr>
              <w:jc w:val="right"/>
              <w:ind w:right="219"/>
              <w:spacing w:after="0" w:line="153" w:lineRule="exact"/>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2"/>
                <w:szCs w:val="12"/>
                <w:color w:val="auto"/>
              </w:rPr>
            </w:pPr>
          </w:p>
        </w:tc>
        <w:tc>
          <w:tcPr>
            <w:tcW w:w="11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5"/>
                <w:szCs w:val="15"/>
                <w:color w:val="auto"/>
              </w:rPr>
            </w:pP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w:t>
            </w: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4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65,802</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65,802</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0" w:type="dxa"/>
            <w:vAlign w:val="bottom"/>
          </w:tcPr>
          <w:p>
            <w:pPr>
              <w:spacing w:after="0"/>
              <w:rPr>
                <w:sz w:val="1"/>
                <w:szCs w:val="1"/>
                <w:color w:val="auto"/>
              </w:rPr>
            </w:pPr>
          </w:p>
        </w:tc>
      </w:tr>
      <w:tr>
        <w:trPr>
          <w:trHeight w:val="324"/>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4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0" w:type="dxa"/>
            <w:vAlign w:val="bottom"/>
          </w:tcPr>
          <w:p>
            <w:pPr>
              <w:spacing w:after="0"/>
              <w:rPr>
                <w:sz w:val="1"/>
                <w:szCs w:val="1"/>
                <w:color w:val="auto"/>
              </w:rPr>
            </w:pPr>
          </w:p>
        </w:tc>
      </w:tr>
      <w:tr>
        <w:trPr>
          <w:trHeight w:val="459"/>
        </w:trPr>
        <w:tc>
          <w:tcPr>
            <w:tcW w:w="3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tbl>
      <w:tblPr>
        <w:tblLayout w:type="fixed"/>
        <w:tblInd w:w="0" w:type="dxa"/>
        <w:tblCellMar>
          <w:top w:w="0" w:type="dxa"/>
          <w:left w:w="0" w:type="dxa"/>
          <w:bottom w:w="0" w:type="dxa"/>
          <w:right w:w="0" w:type="dxa"/>
        </w:tblCellMar>
      </w:tblPr>
      <w:tr>
        <w:trPr>
          <w:trHeight w:val="153"/>
        </w:trPr>
        <w:tc>
          <w:tcPr>
            <w:tcW w:w="3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5"/>
          </w:tcPr>
          <w:p>
            <w:pPr>
              <w:jc w:val="center"/>
              <w:ind w:right="240"/>
              <w:spacing w:after="0" w:line="153" w:lineRule="exact"/>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5"/>
                <w:szCs w:val="15"/>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80" w:type="dxa"/>
            <w:vAlign w:val="bottom"/>
          </w:tcPr>
          <w:p>
            <w:pPr>
              <w:spacing w:after="0"/>
              <w:rPr>
                <w:sz w:val="15"/>
                <w:szCs w:val="15"/>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8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Collateral Paid</w:t>
            </w: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3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6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w:t>
            </w:r>
          </w:p>
        </w:tc>
        <w:tc>
          <w:tcPr>
            <w:tcW w:w="0" w:type="dxa"/>
            <w:vAlign w:val="bottom"/>
          </w:tcPr>
          <w:p>
            <w:pPr>
              <w:spacing w:after="0"/>
              <w:rPr>
                <w:sz w:val="1"/>
                <w:szCs w:val="1"/>
                <w:color w:val="auto"/>
              </w:rPr>
            </w:pPr>
          </w:p>
        </w:tc>
      </w:tr>
      <w:tr>
        <w:trPr>
          <w:trHeight w:val="499"/>
        </w:trPr>
        <w:tc>
          <w:tcPr>
            <w:tcW w:w="3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6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arrangement or similar agreement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Fair Value Measurements, for the determination of the fair values of derivatives.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Presentation</w:t>
      </w: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amount of losses on derivatives in the Consolidated Statements of Income for the three and six months ended June 30, 2022 and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Loss Recognized in Income on Derivative Contracts (a)</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660" w:type="dxa"/>
            <w:vAlign w:val="bottom"/>
            <w:gridSpan w:val="3"/>
            <w:vMerge w:val="restart"/>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3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Loss</w:t>
            </w: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gridSpan w:val="3"/>
            <w:vMerge w:val="restart"/>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60" w:type="dxa"/>
            <w:vAlign w:val="bottom"/>
            <w:gridSpan w:val="3"/>
            <w:vMerge w:val="restart"/>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Income on</w:t>
            </w:r>
          </w:p>
        </w:tc>
        <w:tc>
          <w:tcPr>
            <w:tcW w:w="3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3"/>
            <w:vMerge w:val="continue"/>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3"/>
            <w:vMerge w:val="continue"/>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vMerge w:val="restart"/>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vMerge w:val="restart"/>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line="20" w:lineRule="exact"/>
              <w:rPr>
                <w:sz w:val="1"/>
                <w:szCs w:val="1"/>
                <w:color w:val="auto"/>
              </w:rPr>
            </w:pPr>
          </w:p>
        </w:tc>
      </w:tr>
      <w:tr>
        <w:trPr>
          <w:trHeight w:val="173"/>
        </w:trPr>
        <w:tc>
          <w:tcPr>
            <w:tcW w:w="3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Foreign currency exchange contracts - Ria</w:t>
            </w: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Foreign currency</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exchange loss,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8,064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12,369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2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-80645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80" w:right="60"/>
        <w:spacing w:after="0" w:line="250"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-234315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80" w:right="60"/>
        <w:spacing w:after="0" w:line="260" w:lineRule="auto"/>
        <w:rPr>
          <w:sz w:val="20"/>
          <w:szCs w:val="20"/>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-245110</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table details financial assets and liabilities measured and recorded at fair value on a recurring basis: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Level 2</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0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Other current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assets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65,802</w:t>
            </w:r>
          </w:p>
        </w:tc>
        <w:tc>
          <w:tcPr>
            <w:tcW w:w="0" w:type="dxa"/>
            <w:vAlign w:val="bottom"/>
          </w:tcPr>
          <w:p>
            <w:pPr>
              <w:spacing w:after="0"/>
              <w:rPr>
                <w:sz w:val="1"/>
                <w:szCs w:val="1"/>
                <w:color w:val="auto"/>
              </w:rPr>
            </w:pPr>
          </w:p>
        </w:tc>
      </w:tr>
      <w:tr>
        <w:trPr>
          <w:trHeight w:val="243"/>
        </w:trPr>
        <w:tc>
          <w:tcPr>
            <w:tcW w:w="4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Other current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(51,074)</w:t>
            </w:r>
          </w:p>
        </w:tc>
        <w:tc>
          <w:tcPr>
            <w:tcW w:w="0" w:type="dxa"/>
            <w:vAlign w:val="bottom"/>
          </w:tcPr>
          <w:p>
            <w:pPr>
              <w:spacing w:after="0"/>
              <w:rPr>
                <w:sz w:val="1"/>
                <w:szCs w:val="1"/>
                <w:color w:val="auto"/>
              </w:rPr>
            </w:pPr>
          </w:p>
        </w:tc>
      </w:tr>
      <w:tr>
        <w:trPr>
          <w:trHeight w:val="398"/>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Level 3</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Other current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assets</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27,582</w:t>
            </w:r>
          </w:p>
        </w:tc>
        <w:tc>
          <w:tcPr>
            <w:tcW w:w="0" w:type="dxa"/>
            <w:vAlign w:val="bottom"/>
          </w:tcPr>
          <w:p>
            <w:pPr>
              <w:spacing w:after="0"/>
              <w:rPr>
                <w:sz w:val="1"/>
                <w:szCs w:val="1"/>
                <w:color w:val="auto"/>
              </w:rPr>
            </w:pPr>
          </w:p>
        </w:tc>
      </w:tr>
      <w:tr>
        <w:trPr>
          <w:trHeight w:val="243"/>
        </w:trPr>
        <w:tc>
          <w:tcPr>
            <w:tcW w:w="4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Other current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0" w:type="dxa"/>
            <w:vAlign w:val="bottom"/>
          </w:tcPr>
          <w:p>
            <w:pPr>
              <w:spacing w:after="0"/>
              <w:rPr>
                <w:sz w:val="1"/>
                <w:szCs w:val="1"/>
                <w:color w:val="auto"/>
              </w:rPr>
            </w:pPr>
          </w:p>
        </w:tc>
      </w:tr>
      <w:tr>
        <w:trPr>
          <w:trHeight w:val="27"/>
        </w:trPr>
        <w:tc>
          <w:tcPr>
            <w:tcW w:w="4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Disclosures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and Senior Notes using quoted prices in inactive markets for identical liabilities (Level 2). </w:t>
      </w:r>
      <w:r>
        <w:rPr>
          <w:rFonts w:ascii="Times New Roman" w:cs="Times New Roman" w:eastAsia="Times New Roman" w:hAnsi="Times New Roman"/>
          <w:sz w:val="18"/>
          <w:szCs w:val="18"/>
          <w:color w:val="252525"/>
        </w:rPr>
        <w:t>As of June 30, 2022,</w:t>
      </w:r>
      <w:r>
        <w:rPr>
          <w:rFonts w:ascii="Times New Roman" w:cs="Times New Roman" w:eastAsia="Times New Roman" w:hAnsi="Times New Roman"/>
          <w:sz w:val="18"/>
          <w:szCs w:val="18"/>
          <w:color w:val="auto"/>
        </w:rPr>
        <w:t xml:space="preserve"> the fair values of the Convertible Notes and Senior Notes were $513.6 million and $550.0 million, respectively, with carrying values of $525.0 million and $628.9 million,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41"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8"/>
          <w:szCs w:val="18"/>
          <w:color w:val="auto"/>
        </w:rPr>
        <w:t xml:space="preserve">Our reportable operating segments have been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currently operate in the following three reportable operating segments:</w:t>
      </w:r>
    </w:p>
    <w:p>
      <w:pPr>
        <w:spacing w:after="0" w:line="147" w:lineRule="exact"/>
        <w:rPr>
          <w:sz w:val="20"/>
          <w:szCs w:val="20"/>
          <w:color w:val="auto"/>
        </w:rPr>
      </w:pPr>
    </w:p>
    <w:p>
      <w:pPr>
        <w:jc w:val="both"/>
        <w:ind w:firstLine="278"/>
        <w:spacing w:after="0" w:line="275" w:lineRule="auto"/>
        <w:tabs>
          <w:tab w:leader="none" w:pos="4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we process transactions for a network of ATMs and POS terminals across Europe, the Middle East, Africa, Asia Pacific and the United States. We provide comprehensive electronic payment solutions consisting of ATM cash withdrawal services, ATM network participation, outsourced ATM and POS management solutions, credit, debit and prepaid card outsourcing, dynamic currency conversion, domestic and international surcharges and other value added services. Through this segment, we also offer a suite of integrated electronic financial transaction software solutions for electronic payment and transaction delivery systems.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9" w:name="page20"/>
    <w:bookmarkEnd w:id="19"/>
    <w:p>
      <w:pPr>
        <w:ind w:firstLine="278"/>
        <w:spacing w:after="0" w:line="313" w:lineRule="auto"/>
        <w:tabs>
          <w:tab w:leader="none" w:pos="4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we provide distribution, processing and collection services for electronic payment products, and prepaid mobile airtime in Europe, the Middle East, Asia Pacific, the U.S., South America and North America.</w:t>
      </w:r>
    </w:p>
    <w:p>
      <w:pPr>
        <w:spacing w:after="0" w:line="148" w:lineRule="exact"/>
        <w:rPr>
          <w:rFonts w:ascii="Times New Roman" w:cs="Times New Roman" w:eastAsia="Times New Roman" w:hAnsi="Times New Roman"/>
          <w:sz w:val="18"/>
          <w:szCs w:val="18"/>
          <w:color w:val="auto"/>
        </w:rPr>
      </w:pPr>
    </w:p>
    <w:p>
      <w:pPr>
        <w:jc w:val="both"/>
        <w:ind w:firstLine="278"/>
        <w:spacing w:after="0" w:line="276" w:lineRule="auto"/>
        <w:tabs>
          <w:tab w:leader="none" w:pos="4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Money Transfer Segment, we provide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We also offer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addition, we account for non-operating activity, share-based compensation expense, certain intersegment eliminations and the costs of providing corporate and other administrative services in our administrative division, "Corporate Services, Eliminations and Other." These services are not directly identifiable with our reportable operating segments.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reportable segment results for the three and six months ended June 30,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EFT</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0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249,030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227,706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368,459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843,309</w:t>
            </w:r>
          </w:p>
        </w:tc>
        <w:tc>
          <w:tcPr>
            <w:tcW w:w="0" w:type="dxa"/>
            <w:vAlign w:val="bottom"/>
          </w:tcPr>
          <w:p>
            <w:pPr>
              <w:spacing w:after="0"/>
              <w:rPr>
                <w:sz w:val="1"/>
                <w:szCs w:val="1"/>
                <w:color w:val="auto"/>
              </w:rPr>
            </w:pPr>
          </w:p>
        </w:tc>
      </w:tr>
      <w:tr>
        <w:trPr>
          <w:trHeight w:val="237"/>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123,758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173,655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500,662</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27,693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131,308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74,249</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25,745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36,013</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194,200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203,320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327,947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742,232</w:t>
            </w:r>
          </w:p>
        </w:tc>
        <w:tc>
          <w:tcPr>
            <w:tcW w:w="0" w:type="dxa"/>
            <w:vAlign w:val="bottom"/>
          </w:tcPr>
          <w:p>
            <w:pPr>
              <w:spacing w:after="0"/>
              <w:rPr>
                <w:sz w:val="1"/>
                <w:szCs w:val="1"/>
                <w:color w:val="auto"/>
              </w:rPr>
            </w:pPr>
          </w:p>
        </w:tc>
      </w:tr>
      <w:tr>
        <w:trPr>
          <w:trHeight w:val="257"/>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54,830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24,386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40,512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101,077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1"/>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2021</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EFT</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113,482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243,918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359,308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714,686</w:t>
            </w:r>
          </w:p>
        </w:tc>
        <w:tc>
          <w:tcPr>
            <w:tcW w:w="0" w:type="dxa"/>
            <w:vAlign w:val="bottom"/>
          </w:tcPr>
          <w:p>
            <w:pPr>
              <w:spacing w:after="0"/>
              <w:rPr>
                <w:sz w:val="1"/>
                <w:szCs w:val="1"/>
                <w:color w:val="auto"/>
              </w:rPr>
            </w:pPr>
          </w:p>
        </w:tc>
      </w:tr>
      <w:tr>
        <w:trPr>
          <w:trHeight w:val="237"/>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82,681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184,989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470,816</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24,098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121,071</w:t>
            </w:r>
          </w:p>
        </w:tc>
        <w:tc>
          <w:tcPr>
            <w:tcW w:w="0" w:type="dxa"/>
            <w:vAlign w:val="bottom"/>
          </w:tcPr>
          <w:p>
            <w:pPr>
              <w:spacing w:after="0"/>
              <w:rPr>
                <w:sz w:val="1"/>
                <w:szCs w:val="1"/>
                <w:color w:val="auto"/>
              </w:rPr>
            </w:pPr>
          </w:p>
        </w:tc>
      </w:tr>
      <w:tr>
        <w:trPr>
          <w:trHeight w:val="27"/>
        </w:trPr>
        <w:tc>
          <w:tcPr>
            <w:tcW w:w="4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59,119</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33,559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138,818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216,683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315,226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684,565</w:t>
            </w:r>
          </w:p>
        </w:tc>
        <w:tc>
          <w:tcPr>
            <w:tcW w:w="0" w:type="dxa"/>
            <w:vAlign w:val="bottom"/>
          </w:tcPr>
          <w:p>
            <w:pPr>
              <w:spacing w:after="0"/>
              <w:rPr>
                <w:sz w:val="1"/>
                <w:szCs w:val="1"/>
                <w:color w:val="auto"/>
              </w:rPr>
            </w:pPr>
          </w:p>
        </w:tc>
      </w:tr>
      <w:tr>
        <w:trPr>
          <w:trHeight w:val="264"/>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27,235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44,082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30,121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1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EFT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Money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Services,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394,601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463,544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707,425</w:t>
            </w:r>
          </w:p>
        </w:tc>
        <w:tc>
          <w:tcPr>
            <w:tcW w:w="300" w:type="dxa"/>
            <w:vAlign w:val="bottom"/>
            <w:tcBorders>
              <w:bottom w:val="single" w:sz="8" w:color="CCEEFF"/>
            </w:tcBorders>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1,561,776</w:t>
            </w:r>
          </w:p>
        </w:tc>
        <w:tc>
          <w:tcPr>
            <w:tcW w:w="0" w:type="dxa"/>
            <w:vAlign w:val="bottom"/>
          </w:tcPr>
          <w:p>
            <w:pPr>
              <w:spacing w:after="0"/>
              <w:rPr>
                <w:sz w:val="1"/>
                <w:szCs w:val="1"/>
                <w:color w:val="auto"/>
              </w:rPr>
            </w:pPr>
          </w:p>
        </w:tc>
      </w:tr>
      <w:tr>
        <w:trPr>
          <w:trHeight w:val="237"/>
        </w:trPr>
        <w:tc>
          <w:tcPr>
            <w:tcW w:w="4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217,095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351,975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393,460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958,815</w:t>
            </w:r>
          </w:p>
        </w:tc>
        <w:tc>
          <w:tcPr>
            <w:tcW w:w="0" w:type="dxa"/>
            <w:vAlign w:val="bottom"/>
          </w:tcPr>
          <w:p>
            <w:pPr>
              <w:spacing w:after="0"/>
              <w:rPr>
                <w:sz w:val="1"/>
                <w:szCs w:val="1"/>
                <w:color w:val="auto"/>
              </w:rPr>
            </w:pPr>
          </w:p>
        </w:tc>
      </w:tr>
      <w:tr>
        <w:trPr>
          <w:trHeight w:val="243"/>
        </w:trPr>
        <w:tc>
          <w:tcPr>
            <w:tcW w:w="4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52,937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39,949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135,202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29,985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258,073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28,118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87,398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138,105</w:t>
            </w:r>
          </w:p>
        </w:tc>
        <w:tc>
          <w:tcPr>
            <w:tcW w:w="0" w:type="dxa"/>
            <w:vAlign w:val="bottom"/>
          </w:tcPr>
          <w:p>
            <w:pPr>
              <w:spacing w:after="0"/>
              <w:rPr>
                <w:sz w:val="1"/>
                <w:szCs w:val="1"/>
                <w:color w:val="auto"/>
              </w:rPr>
            </w:pPr>
          </w:p>
        </w:tc>
      </w:tr>
      <w:tr>
        <w:trPr>
          <w:trHeight w:val="243"/>
        </w:trPr>
        <w:tc>
          <w:tcPr>
            <w:tcW w:w="4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48,088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17,388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69,003</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346,238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412,953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633,448</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31,357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1,423,996</w:t>
            </w:r>
          </w:p>
        </w:tc>
        <w:tc>
          <w:tcPr>
            <w:tcW w:w="0" w:type="dxa"/>
            <w:vAlign w:val="bottom"/>
          </w:tcPr>
          <w:p>
            <w:pPr>
              <w:spacing w:after="0"/>
              <w:rPr>
                <w:sz w:val="1"/>
                <w:szCs w:val="1"/>
                <w:color w:val="auto"/>
              </w:rPr>
            </w:pPr>
          </w:p>
        </w:tc>
      </w:tr>
      <w:tr>
        <w:trPr>
          <w:trHeight w:val="257"/>
        </w:trPr>
        <w:tc>
          <w:tcPr>
            <w:tcW w:w="46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48,363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50,591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73,977</w:t>
            </w:r>
          </w:p>
        </w:tc>
        <w:tc>
          <w:tcPr>
            <w:tcW w:w="100" w:type="dxa"/>
            <w:vAlign w:val="bottom"/>
            <w:gridSpan w:val="3"/>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137,780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Money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Corporate Services,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684,208</w:t>
            </w:r>
          </w:p>
        </w:tc>
        <w:tc>
          <w:tcPr>
            <w:tcW w:w="30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1,367,356</w:t>
            </w:r>
          </w:p>
        </w:tc>
        <w:tc>
          <w:tcPr>
            <w:tcW w:w="0" w:type="dxa"/>
            <w:vAlign w:val="bottom"/>
          </w:tcPr>
          <w:p>
            <w:pPr>
              <w:spacing w:after="0"/>
              <w:rPr>
                <w:sz w:val="1"/>
                <w:szCs w:val="1"/>
                <w:color w:val="auto"/>
              </w:rPr>
            </w:pPr>
          </w:p>
        </w:tc>
      </w:tr>
      <w:tr>
        <w:trPr>
          <w:trHeight w:val="237"/>
        </w:trPr>
        <w:tc>
          <w:tcPr>
            <w:tcW w:w="4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389,042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905,332</w:t>
            </w:r>
          </w:p>
        </w:tc>
        <w:tc>
          <w:tcPr>
            <w:tcW w:w="0" w:type="dxa"/>
            <w:vAlign w:val="bottom"/>
          </w:tcPr>
          <w:p>
            <w:pPr>
              <w:spacing w:after="0"/>
              <w:rPr>
                <w:sz w:val="1"/>
                <w:szCs w:val="1"/>
                <w:color w:val="auto"/>
              </w:rPr>
            </w:pPr>
          </w:p>
        </w:tc>
      </w:tr>
      <w:tr>
        <w:trPr>
          <w:trHeight w:val="243"/>
        </w:trPr>
        <w:tc>
          <w:tcPr>
            <w:tcW w:w="4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26,676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236,739</w:t>
            </w: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117,895</w:t>
            </w:r>
          </w:p>
        </w:tc>
        <w:tc>
          <w:tcPr>
            <w:tcW w:w="0" w:type="dxa"/>
            <w:vAlign w:val="bottom"/>
          </w:tcPr>
          <w:p>
            <w:pPr>
              <w:spacing w:after="0"/>
              <w:rPr>
                <w:sz w:val="1"/>
                <w:szCs w:val="1"/>
                <w:color w:val="auto"/>
              </w:rPr>
            </w:pPr>
          </w:p>
        </w:tc>
      </w:tr>
      <w:tr>
        <w:trPr>
          <w:trHeight w:val="243"/>
        </w:trPr>
        <w:tc>
          <w:tcPr>
            <w:tcW w:w="4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66,820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265,990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604,723</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26,244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1,326,786</w:t>
            </w:r>
          </w:p>
        </w:tc>
        <w:tc>
          <w:tcPr>
            <w:tcW w:w="0" w:type="dxa"/>
            <w:vAlign w:val="bottom"/>
          </w:tcPr>
          <w:p>
            <w:pPr>
              <w:spacing w:after="0"/>
              <w:rPr>
                <w:sz w:val="1"/>
                <w:szCs w:val="1"/>
                <w:color w:val="auto"/>
              </w:rPr>
            </w:pPr>
          </w:p>
        </w:tc>
      </w:tr>
      <w:tr>
        <w:trPr>
          <w:trHeight w:val="257"/>
        </w:trPr>
        <w:tc>
          <w:tcPr>
            <w:tcW w:w="45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(65,432)</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79,485</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3"/>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40,570</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table presents our total assets by reportable segment:</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0" w:type="dxa"/>
            <w:vAlign w:val="bottom"/>
          </w:tcPr>
          <w:p>
            <w:pPr>
              <w:spacing w:after="0"/>
              <w:rPr>
                <w:sz w:val="1"/>
                <w:szCs w:val="1"/>
                <w:color w:val="auto"/>
              </w:rPr>
            </w:pPr>
          </w:p>
        </w:tc>
      </w:tr>
      <w:tr>
        <w:trPr>
          <w:trHeight w:val="149"/>
        </w:trPr>
        <w:tc>
          <w:tcPr>
            <w:tcW w:w="4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46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5"/>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1,682,680</w:t>
            </w:r>
          </w:p>
        </w:tc>
        <w:tc>
          <w:tcPr>
            <w:tcW w:w="0" w:type="dxa"/>
            <w:vAlign w:val="bottom"/>
          </w:tcPr>
          <w:p>
            <w:pPr>
              <w:spacing w:after="0"/>
              <w:rPr>
                <w:sz w:val="1"/>
                <w:szCs w:val="1"/>
                <w:color w:val="auto"/>
              </w:rPr>
            </w:pPr>
          </w:p>
        </w:tc>
      </w:tr>
      <w:tr>
        <w:trPr>
          <w:trHeight w:val="243"/>
        </w:trPr>
        <w:tc>
          <w:tcPr>
            <w:tcW w:w="4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1,234,074</w:t>
            </w:r>
          </w:p>
        </w:tc>
        <w:tc>
          <w:tcPr>
            <w:tcW w:w="0" w:type="dxa"/>
            <w:vAlign w:val="bottom"/>
          </w:tcPr>
          <w:p>
            <w:pPr>
              <w:spacing w:after="0"/>
              <w:rPr>
                <w:sz w:val="1"/>
                <w:szCs w:val="1"/>
                <w:color w:val="auto"/>
              </w:rPr>
            </w:pPr>
          </w:p>
        </w:tc>
      </w:tr>
      <w:tr>
        <w:trPr>
          <w:trHeight w:val="27"/>
        </w:trPr>
        <w:tc>
          <w:tcPr>
            <w:tcW w:w="46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1,621,726</w:t>
            </w:r>
          </w:p>
        </w:tc>
        <w:tc>
          <w:tcPr>
            <w:tcW w:w="0" w:type="dxa"/>
            <w:vAlign w:val="bottom"/>
          </w:tcPr>
          <w:p>
            <w:pPr>
              <w:spacing w:after="0"/>
              <w:rPr>
                <w:sz w:val="1"/>
                <w:szCs w:val="1"/>
                <w:color w:val="auto"/>
              </w:rPr>
            </w:pPr>
          </w:p>
        </w:tc>
      </w:tr>
      <w:tr>
        <w:trPr>
          <w:trHeight w:val="243"/>
        </w:trPr>
        <w:tc>
          <w:tcPr>
            <w:tcW w:w="4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205,796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gridSpan w:val="3"/>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00" w:type="dxa"/>
            <w:vAlign w:val="bottom"/>
            <w:gridSpan w:val="5"/>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5,195,518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4,744,276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our revenues disaggregated by segment and region. Sales and usage-based taxes are excluded from revenues. We believe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1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1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260" w:type="dxa"/>
            <w:vAlign w:val="bottom"/>
          </w:tcPr>
          <w:p>
            <w:pPr>
              <w:spacing w:after="0"/>
              <w:rPr>
                <w:sz w:val="12"/>
                <w:szCs w:val="12"/>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epay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52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148,561</w:t>
            </w:r>
          </w:p>
        </w:tc>
        <w:tc>
          <w:tcPr>
            <w:tcW w:w="6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488,129</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296,474</w:t>
            </w:r>
          </w:p>
        </w:tc>
        <w:tc>
          <w:tcPr>
            <w:tcW w:w="2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290,687</w:t>
            </w:r>
          </w:p>
        </w:tc>
        <w:tc>
          <w:tcPr>
            <w:tcW w:w="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288,670</w:t>
            </w:r>
          </w:p>
        </w:tc>
        <w:tc>
          <w:tcPr>
            <w:tcW w:w="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875,831</w:t>
            </w:r>
          </w:p>
        </w:tc>
        <w:tc>
          <w:tcPr>
            <w:tcW w:w="0" w:type="dxa"/>
            <w:vAlign w:val="bottom"/>
          </w:tcPr>
          <w:p>
            <w:pPr>
              <w:spacing w:after="0"/>
              <w:rPr>
                <w:sz w:val="1"/>
                <w:szCs w:val="1"/>
                <w:color w:val="auto"/>
              </w:rPr>
            </w:pPr>
          </w:p>
        </w:tc>
      </w:tr>
      <w:tr>
        <w:trPr>
          <w:trHeight w:val="270"/>
        </w:trPr>
        <w:tc>
          <w:tcPr>
            <w:tcW w:w="2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179,656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229,251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65,604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338,388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437,795</w:t>
            </w:r>
          </w:p>
        </w:tc>
        <w:tc>
          <w:tcPr>
            <w:tcW w:w="0" w:type="dxa"/>
            <w:vAlign w:val="bottom"/>
          </w:tcPr>
          <w:p>
            <w:pPr>
              <w:spacing w:after="0"/>
              <w:rPr>
                <w:sz w:val="1"/>
                <w:szCs w:val="1"/>
                <w:color w:val="auto"/>
              </w:rPr>
            </w:pPr>
          </w:p>
        </w:tc>
      </w:tr>
      <w:tr>
        <w:trPr>
          <w:trHeight w:val="270"/>
        </w:trPr>
        <w:tc>
          <w:tcPr>
            <w:tcW w:w="252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27,091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62,751</w:t>
            </w:r>
          </w:p>
        </w:tc>
        <w:tc>
          <w:tcPr>
            <w:tcW w:w="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81,783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53,709</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198,243</w:t>
            </w:r>
          </w:p>
        </w:tc>
        <w:tc>
          <w:tcPr>
            <w:tcW w:w="0" w:type="dxa"/>
            <w:vAlign w:val="bottom"/>
          </w:tcPr>
          <w:p>
            <w:pPr>
              <w:spacing w:after="0"/>
              <w:rPr>
                <w:sz w:val="1"/>
                <w:szCs w:val="1"/>
                <w:color w:val="auto"/>
              </w:rPr>
            </w:pPr>
          </w:p>
        </w:tc>
      </w:tr>
      <w:tr>
        <w:trPr>
          <w:trHeight w:val="270"/>
        </w:trPr>
        <w:tc>
          <w:tcPr>
            <w:tcW w:w="2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13,151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25,470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53,701</w:t>
            </w:r>
          </w:p>
        </w:tc>
        <w:tc>
          <w:tcPr>
            <w:tcW w:w="0" w:type="dxa"/>
            <w:vAlign w:val="bottom"/>
          </w:tcPr>
          <w:p>
            <w:pPr>
              <w:spacing w:after="0"/>
              <w:rPr>
                <w:sz w:val="1"/>
                <w:szCs w:val="1"/>
                <w:color w:val="auto"/>
              </w:rPr>
            </w:pPr>
          </w:p>
        </w:tc>
      </w:tr>
      <w:tr>
        <w:trPr>
          <w:trHeight w:val="270"/>
        </w:trPr>
        <w:tc>
          <w:tcPr>
            <w:tcW w:w="252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249,030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227,706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368,459</w:t>
            </w:r>
          </w:p>
        </w:tc>
        <w:tc>
          <w:tcPr>
            <w:tcW w:w="6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843,309</w:t>
            </w:r>
          </w:p>
        </w:tc>
        <w:tc>
          <w:tcPr>
            <w:tcW w:w="4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394,601</w:t>
            </w:r>
          </w:p>
        </w:tc>
        <w:tc>
          <w:tcPr>
            <w:tcW w:w="80" w:type="dxa"/>
            <w:vAlign w:val="bottom"/>
          </w:tcPr>
          <w:p>
            <w:pPr>
              <w:spacing w:after="0"/>
              <w:rPr>
                <w:sz w:val="22"/>
                <w:szCs w:val="22"/>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463,544</w:t>
            </w:r>
          </w:p>
        </w:tc>
        <w:tc>
          <w:tcPr>
            <w:tcW w:w="60" w:type="dxa"/>
            <w:vAlign w:val="bottom"/>
            <w:gridSpan w:val="2"/>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707,425</w:t>
            </w: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1,561,776</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2021</w:t>
            </w: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2021</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260" w:type="dxa"/>
            <w:vAlign w:val="bottom"/>
          </w:tcPr>
          <w:p>
            <w:pPr>
              <w:spacing w:after="0"/>
              <w:rPr>
                <w:sz w:val="12"/>
                <w:szCs w:val="12"/>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EFT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Money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52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160,560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149,606</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383,275</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119,971</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23"/>
                <w:szCs w:val="23"/>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325,468</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282,445</w:t>
            </w: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727,884</w:t>
            </w:r>
          </w:p>
        </w:tc>
        <w:tc>
          <w:tcPr>
            <w:tcW w:w="0" w:type="dxa"/>
            <w:vAlign w:val="bottom"/>
          </w:tcPr>
          <w:p>
            <w:pPr>
              <w:spacing w:after="0"/>
              <w:rPr>
                <w:sz w:val="1"/>
                <w:szCs w:val="1"/>
                <w:color w:val="auto"/>
              </w:rPr>
            </w:pPr>
          </w:p>
        </w:tc>
      </w:tr>
      <w:tr>
        <w:trPr>
          <w:trHeight w:val="270"/>
        </w:trPr>
        <w:tc>
          <w:tcPr>
            <w:tcW w:w="2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34,601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220,128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29,669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68,442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322,626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420,737</w:t>
            </w:r>
          </w:p>
        </w:tc>
        <w:tc>
          <w:tcPr>
            <w:tcW w:w="0" w:type="dxa"/>
            <w:vAlign w:val="bottom"/>
          </w:tcPr>
          <w:p>
            <w:pPr>
              <w:spacing w:after="0"/>
              <w:rPr>
                <w:sz w:val="1"/>
                <w:szCs w:val="1"/>
                <w:color w:val="auto"/>
              </w:rPr>
            </w:pPr>
          </w:p>
        </w:tc>
      </w:tr>
      <w:tr>
        <w:trPr>
          <w:trHeight w:val="270"/>
        </w:trPr>
        <w:tc>
          <w:tcPr>
            <w:tcW w:w="252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38,377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26,524</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89,936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50,729</w:t>
            </w:r>
          </w:p>
        </w:tc>
        <w:tc>
          <w:tcPr>
            <w:tcW w:w="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72,695</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54,993</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178,417</w:t>
            </w:r>
          </w:p>
        </w:tc>
        <w:tc>
          <w:tcPr>
            <w:tcW w:w="0" w:type="dxa"/>
            <w:vAlign w:val="bottom"/>
          </w:tcPr>
          <w:p>
            <w:pPr>
              <w:spacing w:after="0"/>
              <w:rPr>
                <w:sz w:val="1"/>
                <w:szCs w:val="1"/>
                <w:color w:val="auto"/>
              </w:rPr>
            </w:pPr>
          </w:p>
        </w:tc>
      </w:tr>
      <w:tr>
        <w:trPr>
          <w:trHeight w:val="270"/>
        </w:trPr>
        <w:tc>
          <w:tcPr>
            <w:tcW w:w="2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23,369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43,949</w:t>
            </w:r>
          </w:p>
        </w:tc>
        <w:tc>
          <w:tcPr>
            <w:tcW w:w="0" w:type="dxa"/>
            <w:vAlign w:val="bottom"/>
          </w:tcPr>
          <w:p>
            <w:pPr>
              <w:spacing w:after="0"/>
              <w:rPr>
                <w:sz w:val="1"/>
                <w:szCs w:val="1"/>
                <w:color w:val="auto"/>
              </w:rPr>
            </w:pPr>
          </w:p>
        </w:tc>
      </w:tr>
      <w:tr>
        <w:trPr>
          <w:trHeight w:val="270"/>
        </w:trPr>
        <w:tc>
          <w:tcPr>
            <w:tcW w:w="252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right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63"/>
        </w:trPr>
        <w:tc>
          <w:tcPr>
            <w:tcW w:w="2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243,918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359,308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714,686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200,558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486,221</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684,208</w:t>
            </w: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1,367,356</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effective income tax rate was 26.7% and 36.7% for the three and six months ended </w:t>
      </w:r>
      <w:r>
        <w:rPr>
          <w:rFonts w:ascii="Times New Roman" w:cs="Times New Roman" w:eastAsia="Times New Roman" w:hAnsi="Times New Roman"/>
          <w:sz w:val="18"/>
          <w:szCs w:val="18"/>
          <w:color w:val="252525"/>
        </w:rPr>
        <w:t>June 30, 2022</w:t>
      </w:r>
      <w:r>
        <w:rPr>
          <w:rFonts w:ascii="Times New Roman" w:cs="Times New Roman" w:eastAsia="Times New Roman" w:hAnsi="Times New Roman"/>
          <w:sz w:val="18"/>
          <w:szCs w:val="18"/>
          <w:color w:val="auto"/>
        </w:rPr>
        <w:t xml:space="preserve">, respectively, compared to 58.9% and 99.9% for the three and six months ended June 30, 2021, respectively. Our effective income tax rate for the three and six months ended </w:t>
      </w:r>
      <w:r>
        <w:rPr>
          <w:rFonts w:ascii="Times New Roman" w:cs="Times New Roman" w:eastAsia="Times New Roman" w:hAnsi="Times New Roman"/>
          <w:sz w:val="18"/>
          <w:szCs w:val="18"/>
          <w:color w:val="252525"/>
        </w:rPr>
        <w:t>June 30, 2022</w:t>
      </w:r>
      <w:r>
        <w:rPr>
          <w:rFonts w:ascii="Times New Roman" w:cs="Times New Roman" w:eastAsia="Times New Roman" w:hAnsi="Times New Roman"/>
          <w:sz w:val="18"/>
          <w:szCs w:val="18"/>
          <w:color w:val="auto"/>
        </w:rPr>
        <w:t xml:space="preserve"> was higher than the applicable statutory income tax rate of 21% as a result of certain foreign earnings being subject to higher local statutory tax rates, the non-recognition of tax benefits from losses in certain foreign countries where we have a limited history of profitable earnings and as a result of an increase in the valuation allowance in certain jurisdictions relating to the reversal of tax benefits recognized in the first quarter of 2021 for continuing net operating losses.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we had $80.4 million of stand-by letters of credit/bank guarantees issued on our behalf, of which $53.8 million are outstanding under the Credit Facility. The remaining stand-by letters of credit/bank guarantees are collateralized by $3.4 million of cash deposits held by the respective issuing banks.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we grant guarantees in support of obligations of subsidiaries. As of June 30, 2022, we had granted off balance sheet guarantees for cash in various ATM networks amounting to $10.5 million over the terms of the cash supply agreements and performance guarantees amounting to approximately $41.2 million over the terms of agreements with our customers.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agreements with commercial counterparties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39" w:lineRule="exact"/>
        <w:rPr>
          <w:sz w:val="20"/>
          <w:szCs w:val="20"/>
          <w:color w:val="auto"/>
        </w:rPr>
      </w:pPr>
    </w:p>
    <w:p>
      <w:pPr>
        <w:jc w:val="both"/>
        <w:ind w:left="540"/>
        <w:spacing w:after="0" w:line="257"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we are responsible for damage to ATMs and theft of ATM network cash. As of June 30, 2022, the balance of such cash used in our ATM networks for which we were responsible was approximately $477.9 million. We maintain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we are responsible for losses suffered by our customers and other parties as a result of the breach of our computer systems, including in particular, losses arising from fraudulent transactions made using information stolen through our processing systems. We maintain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the license of proprietary systems to customers, we provide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We have entered into purchase and service agreements with vendors and consulting agreements with providers of consulting services, pursuant to which we have agreed to indemnify certain of such vendors and consultants, respectively, against third-party claims arising from our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acquisitions and dispositions of subsidiaries, operating units and business assets, we have entered into agreements containing indemnification provisions, which can be generally described as follows: (i) in connection with acquisitions of operating units or assets made by us, we have agreed to indemnify the seller against third party claims made against the seller relating to the operating unit or asset and arising after the closing of the transaction, and (ii) in connection with dispositions made by us, we have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-782320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5" w:lineRule="auto"/>
        <w:rPr>
          <w:sz w:val="20"/>
          <w:szCs w:val="20"/>
          <w:color w:val="auto"/>
        </w:rPr>
      </w:pPr>
      <w:r>
        <w:rPr>
          <w:rFonts w:ascii="Times New Roman" w:cs="Times New Roman" w:eastAsia="Times New Roman" w:hAnsi="Times New Roman"/>
          <w:sz w:val="18"/>
          <w:szCs w:val="18"/>
          <w:color w:val="auto"/>
        </w:rPr>
        <w:t>We have entered into agreements with certain third parties, including banks that provide fiduciary and other services to us or our benefit plans. Under such agreements, we have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-379730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required to meet minimum capitalization and cash requirements of various regulatory authorities in the jurisdictions in which we have operations. We have obtained surety bonds in compliance with money transfer licensing requirements of the applicable governmental authorities.</w:t>
      </w:r>
    </w:p>
    <w:p>
      <w:pPr>
        <w:spacing w:after="0" w:line="162"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To date, we are not aware of any significant claims made by the indemnified parties or third parties to guarantee agreements with us and, accordingly, no liabilities were recorded as of June 30, 2022 or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LITIGATION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legal or regulatory proceedings arising in the ordinary course of our business. Currently, there are no legal proceedings or regulatory findings that management believes, either individually or in the aggregate, would have a material adverse effect on our consolidated financial condition or results of operations.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operating leases for ATM sites, office spaces, retail stores and equipment. Our finance leases are immaterial. Right of use assets and lease liabilities are recognized at the lease commencement date based on the present value of the lease payments over the lease terms.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value of lease payments is determined using the incremental borrowing rate based on information available at the lease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lease expense for these leases on a straight-line basis over the lease term.</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leases include an option to renew, with renewal terms that can extend the lease terms. The exercise of lease renewal options is at our sole discretion. The depreciable life of assets and leasehold improvements are limited by the expected lease terms. We also have a unilateral termination right for most of the ATM site leases. Since we are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our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as of June 30, 2022 are: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0" w:type="dxa"/>
            <w:vAlign w:val="bottom"/>
          </w:tcPr>
          <w:p>
            <w:pPr>
              <w:spacing w:after="0"/>
              <w:rPr>
                <w:sz w:val="1"/>
                <w:szCs w:val="1"/>
                <w:color w:val="auto"/>
              </w:rPr>
            </w:pPr>
          </w:p>
        </w:tc>
      </w:tr>
      <w:tr>
        <w:trPr>
          <w:trHeight w:val="149"/>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Maturity of Lease Liabilities </w:t>
            </w:r>
            <w:r>
              <w:rPr>
                <w:rFonts w:ascii="Times New Roman" w:cs="Times New Roman" w:eastAsia="Times New Roman" w:hAnsi="Times New Roman"/>
                <w:sz w:val="14"/>
                <w:szCs w:val="14"/>
                <w:i w:val="1"/>
                <w:iCs w:val="1"/>
                <w:color w:val="auto"/>
              </w:rPr>
              <w:t>(in thousands)</w:t>
            </w: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95"/>
        </w:trPr>
        <w:tc>
          <w:tcPr>
            <w:tcW w:w="6520" w:type="dxa"/>
            <w:vAlign w:val="bottom"/>
            <w:tcBorders>
              <w:bottom w:val="single" w:sz="8" w:color="auto"/>
            </w:tcBorders>
            <w:vMerge w:val="continue"/>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2022</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0" w:type="dxa"/>
            <w:vAlign w:val="bottom"/>
          </w:tcPr>
          <w:p>
            <w:pPr>
              <w:spacing w:after="0"/>
              <w:rPr>
                <w:sz w:val="1"/>
                <w:szCs w:val="1"/>
                <w:color w:val="auto"/>
              </w:rPr>
            </w:pPr>
          </w:p>
        </w:tc>
      </w:tr>
      <w:tr>
        <w:trPr>
          <w:trHeight w:val="216"/>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30,569</w:t>
            </w:r>
          </w:p>
        </w:tc>
        <w:tc>
          <w:tcPr>
            <w:tcW w:w="0" w:type="dxa"/>
            <w:vAlign w:val="bottom"/>
          </w:tcPr>
          <w:p>
            <w:pPr>
              <w:spacing w:after="0"/>
              <w:rPr>
                <w:sz w:val="1"/>
                <w:szCs w:val="1"/>
                <w:color w:val="auto"/>
              </w:rPr>
            </w:pPr>
          </w:p>
        </w:tc>
      </w:tr>
      <w:tr>
        <w:trPr>
          <w:trHeight w:val="216"/>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156,942</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540" w:right="3420" w:hanging="5208"/>
        <w:spacing w:after="0" w:line="313" w:lineRule="auto"/>
        <w:tabs>
          <w:tab w:leader="none" w:pos="6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reflect our current fixed obligations under the operating lease agreements.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Lease expense recognized in the Consolidated Statements of Income is summarized as follows:</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Expense</w:t>
            </w:r>
          </w:p>
        </w:tc>
        <w:tc>
          <w:tcPr>
            <w:tcW w:w="34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1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7"/>
        </w:trPr>
        <w:tc>
          <w:tcPr>
            <w:tcW w:w="2380" w:type="dxa"/>
            <w:vAlign w:val="bottom"/>
            <w:vMerge w:val="continue"/>
          </w:tcPr>
          <w:p>
            <w:pPr>
              <w:spacing w:after="0"/>
              <w:rPr>
                <w:sz w:val="12"/>
                <w:szCs w:val="12"/>
                <w:color w:val="auto"/>
              </w:rPr>
            </w:pPr>
          </w:p>
        </w:tc>
        <w:tc>
          <w:tcPr>
            <w:tcW w:w="346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3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14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1100" w:type="dxa"/>
            <w:vAlign w:val="bottom"/>
          </w:tcPr>
          <w:p>
            <w:pPr>
              <w:jc w:val="center"/>
              <w:ind w:left="188"/>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6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45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5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Selling, general and</w:t>
            </w:r>
          </w:p>
        </w:tc>
      </w:tr>
      <w:tr>
        <w:trPr>
          <w:trHeight w:val="216"/>
        </w:trPr>
        <w:tc>
          <w:tcPr>
            <w:tcW w:w="3260" w:type="dxa"/>
            <w:vAlign w:val="bottom"/>
          </w:tcPr>
          <w:p>
            <w:pPr>
              <w:spacing w:after="0"/>
              <w:rPr>
                <w:sz w:val="18"/>
                <w:szCs w:val="18"/>
                <w:color w:val="auto"/>
              </w:rPr>
            </w:pPr>
          </w:p>
        </w:tc>
        <w:tc>
          <w:tcPr>
            <w:tcW w:w="25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administrative and Direct</w:t>
            </w:r>
          </w:p>
        </w:tc>
      </w:tr>
      <w:tr>
        <w:trPr>
          <w:trHeight w:val="234"/>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25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operating costs</w:t>
            </w:r>
          </w:p>
        </w:tc>
      </w:tr>
      <w:tr>
        <w:trPr>
          <w:trHeight w:val="252"/>
        </w:trPr>
        <w:tc>
          <w:tcPr>
            <w:tcW w:w="3260" w:type="dxa"/>
            <w:vAlign w:val="bottom"/>
          </w:tcPr>
          <w:p>
            <w:pPr>
              <w:spacing w:after="0"/>
              <w:rPr>
                <w:sz w:val="21"/>
                <w:szCs w:val="21"/>
                <w:color w:val="auto"/>
              </w:rPr>
            </w:pPr>
          </w:p>
        </w:tc>
        <w:tc>
          <w:tcPr>
            <w:tcW w:w="25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Selling, general and</w:t>
            </w:r>
          </w:p>
        </w:tc>
      </w:tr>
      <w:tr>
        <w:trPr>
          <w:trHeight w:val="216"/>
        </w:trPr>
        <w:tc>
          <w:tcPr>
            <w:tcW w:w="3260" w:type="dxa"/>
            <w:vAlign w:val="bottom"/>
          </w:tcPr>
          <w:p>
            <w:pPr>
              <w:spacing w:after="0"/>
              <w:rPr>
                <w:sz w:val="18"/>
                <w:szCs w:val="18"/>
                <w:color w:val="auto"/>
              </w:rPr>
            </w:pPr>
          </w:p>
        </w:tc>
        <w:tc>
          <w:tcPr>
            <w:tcW w:w="25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administrative and Direct</w:t>
            </w:r>
          </w:p>
        </w:tc>
      </w:tr>
      <w:tr>
        <w:trPr>
          <w:trHeight w:val="234"/>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and variable lease expense</w:t>
            </w:r>
          </w:p>
        </w:tc>
        <w:tc>
          <w:tcPr>
            <w:tcW w:w="25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operating costs</w:t>
            </w:r>
          </w:p>
        </w:tc>
      </w:tr>
      <w:tr>
        <w:trPr>
          <w:trHeight w:val="27"/>
        </w:trPr>
        <w:tc>
          <w:tcPr>
            <w:tcW w:w="3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50"/>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expense</w:t>
            </w:r>
          </w:p>
        </w:tc>
        <w:tc>
          <w:tcPr>
            <w:tcW w:w="2520" w:type="dxa"/>
            <w:vAlign w:val="bottom"/>
          </w:tcPr>
          <w:p>
            <w:pPr>
              <w:spacing w:after="0"/>
              <w:rPr>
                <w:sz w:val="21"/>
                <w:szCs w:val="2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26,544</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28,004</w:t>
            </w:r>
          </w:p>
        </w:tc>
      </w:tr>
      <w:tr>
        <w:trPr>
          <w:trHeight w:val="702"/>
        </w:trPr>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48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59,935</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49,471</w:t>
            </w:r>
          </w:p>
        </w:tc>
      </w:tr>
      <w:tr>
        <w:trPr>
          <w:trHeight w:val="27"/>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43,239</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86,479</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77,475</w:t>
            </w:r>
          </w:p>
        </w:tc>
      </w:tr>
      <w:tr>
        <w:trPr>
          <w:trHeight w:val="27"/>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120"/>
            <w:col w:w="5340"/>
          </w:cols>
          <w:pgMar w:left="320" w:top="607"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about lease amounts recognized in the consolidated financial statements is summarized as follows:</w:t>
      </w:r>
    </w:p>
    <w:p>
      <w:pPr>
        <w:sectPr>
          <w:pgSz w:w="11900" w:h="16838" w:orient="portrait"/>
          <w:cols w:equalWidth="0" w:num="1">
            <w:col w:w="11240"/>
          </w:cols>
          <w:pgMar w:left="320" w:top="607"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(years)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4.9</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2.3%</w:t>
      </w:r>
    </w:p>
    <w:p>
      <w:pPr>
        <w:spacing w:after="0" w:line="200" w:lineRule="exact"/>
        <w:rPr>
          <w:sz w:val="20"/>
          <w:szCs w:val="20"/>
          <w:color w:val="auto"/>
        </w:rPr>
      </w:pPr>
    </w:p>
    <w:p>
      <w:pPr>
        <w:sectPr>
          <w:pgSz w:w="11900" w:h="16838" w:orient="portrait"/>
          <w:cols w:equalWidth="0" w:num="2">
            <w:col w:w="9560" w:space="720"/>
            <w:col w:w="960"/>
          </w:cols>
          <w:pgMar w:left="320" w:top="607" w:right="33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Other Information </w:t>
            </w:r>
            <w:r>
              <w:rPr>
                <w:rFonts w:ascii="Times New Roman" w:cs="Times New Roman" w:eastAsia="Times New Roman" w:hAnsi="Times New Roman"/>
                <w:sz w:val="14"/>
                <w:szCs w:val="14"/>
                <w:i w:val="1"/>
                <w:iCs w:val="1"/>
                <w:color w:val="auto"/>
              </w:rPr>
              <w:t>(in thousands)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7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68"/>
        </w:trPr>
        <w:tc>
          <w:tcPr>
            <w:tcW w:w="7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Cash paid for amounts included in the measurement of lease liabilities </w:t>
            </w:r>
            <w:r>
              <w:rPr>
                <w:rFonts w:ascii="Times New Roman" w:cs="Times New Roman" w:eastAsia="Times New Roman" w:hAnsi="Times New Roman"/>
                <w:sz w:val="18"/>
                <w:szCs w:val="18"/>
                <w:i w:val="1"/>
                <w:iCs w:val="1"/>
                <w:color w:val="auto"/>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26,116</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0" w:type="dxa"/>
            <w:vAlign w:val="bottom"/>
          </w:tcPr>
          <w:p>
            <w:pPr>
              <w:spacing w:after="0"/>
              <w:rPr>
                <w:sz w:val="1"/>
                <w:szCs w:val="1"/>
                <w:color w:val="auto"/>
              </w:rPr>
            </w:pPr>
          </w:p>
        </w:tc>
      </w:tr>
      <w:tr>
        <w:trPr>
          <w:trHeight w:val="243"/>
        </w:trPr>
        <w:tc>
          <w:tcPr>
            <w:tcW w:w="7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Supplemental non-cash information on lease liabilities arising from obtaining ROU assets:</w:t>
            </w: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21,492</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49,270</w:t>
            </w:r>
          </w:p>
        </w:tc>
        <w:tc>
          <w:tcPr>
            <w:tcW w:w="0" w:type="dxa"/>
            <w:vAlign w:val="bottom"/>
          </w:tcPr>
          <w:p>
            <w:pPr>
              <w:spacing w:after="0"/>
              <w:rPr>
                <w:sz w:val="1"/>
                <w:szCs w:val="1"/>
                <w:color w:val="auto"/>
              </w:rPr>
            </w:pPr>
          </w:p>
        </w:tc>
      </w:tr>
      <w:tr>
        <w:trPr>
          <w:trHeight w:val="335"/>
        </w:trPr>
        <w:tc>
          <w:tcPr>
            <w:tcW w:w="73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i w:val="1"/>
                <w:iCs w:val="1"/>
                <w:color w:val="auto"/>
              </w:rPr>
              <w:t>(a) Included in Net cash provided by operating activities on our Consolidated Statements of Cash Flows.</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73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pandemic; the war in the Ukraine and related economic sanctions; our ability to successfully integrate the operations of Piraeus Merchant Services; inflation;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European Union's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2021.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spacing w:after="0" w:line="205" w:lineRule="exact"/>
        <w:rPr>
          <w:sz w:val="20"/>
          <w:szCs w:val="20"/>
          <w:color w:val="auto"/>
        </w:rPr>
      </w:pPr>
    </w:p>
    <w:p>
      <w:pPr>
        <w:jc w:val="both"/>
        <w:ind w:firstLine="8"/>
        <w:spacing w:after="0" w:line="277" w:lineRule="auto"/>
        <w:tabs>
          <w:tab w:leader="none" w:pos="2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processes transactions for a network of 50,178 ATMs and approximately 569,000 POS terminals across Europe, the Middle East, Africa, Asia Pacific, and the United States. We provide comprehensive electronic payment solutions consisting of ATM cash withdrawal and deposit services, ATM network participation, outsourced ATM and POS management solutions, credit, debit and prepaid card outsourcing, DCC, and other value added services. Through this segment, we also offer a suite of integrated electronic financial transaction software solutions for electronic payment and transaction delivery systems.</w:t>
      </w:r>
    </w:p>
    <w:p>
      <w:pPr>
        <w:spacing w:after="0" w:line="196" w:lineRule="exact"/>
        <w:rPr>
          <w:rFonts w:ascii="Times New Roman" w:cs="Times New Roman" w:eastAsia="Times New Roman" w:hAnsi="Times New Roman"/>
          <w:sz w:val="18"/>
          <w:szCs w:val="18"/>
          <w:color w:val="auto"/>
        </w:rPr>
      </w:pPr>
    </w:p>
    <w:p>
      <w:pPr>
        <w:jc w:val="both"/>
        <w:ind w:firstLine="8"/>
        <w:spacing w:after="0" w:line="289" w:lineRule="auto"/>
        <w:tabs>
          <w:tab w:leader="none" w:pos="1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which provides distribution, processing and collection services for prepaid mobile airtime and other electronic content. We operate a network of approximately 762,000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197" w:lineRule="exact"/>
        <w:rPr>
          <w:rFonts w:ascii="Times New Roman" w:cs="Times New Roman" w:eastAsia="Times New Roman" w:hAnsi="Times New Roman"/>
          <w:sz w:val="18"/>
          <w:szCs w:val="18"/>
          <w:color w:val="auto"/>
        </w:rPr>
      </w:pPr>
    </w:p>
    <w:p>
      <w:pPr>
        <w:jc w:val="both"/>
        <w:ind w:firstLine="8"/>
        <w:spacing w:after="0" w:line="273" w:lineRule="auto"/>
        <w:tabs>
          <w:tab w:leader="none" w:pos="2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which provides global consumer-to-consumer money transfer services, primarily under the brand names Ria, IME, AFEX, and xe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504,000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small-to-medium-sized businesses.</w:t>
      </w:r>
    </w:p>
    <w:p>
      <w:pPr>
        <w:spacing w:after="0" w:line="2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73%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25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30% and 25% of total consolidated revenues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six months ended June 30, 2022, respectively,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27% and 30% of total consolidated revenues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2022, respectively, are primarily derived from commissions earned from the distribution of electronic content, vouchers, and physical gifts and commissions or processing fees received from mobile phone operators for the processing and distribution of prepaid mobile airtime. Branded payments, which includes the distribution of digital media content, were 62% and 64% of epay Segment revenues for the three and six months ended June 30, 2022. Branded payments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w:t>
      </w:r>
      <w:r>
        <w:rPr>
          <w:rFonts w:ascii="Times New Roman" w:cs="Times New Roman" w:eastAsia="Times New Roman" w:hAnsi="Times New Roman"/>
          <w:sz w:val="18"/>
          <w:szCs w:val="18"/>
          <w:color w:val="auto"/>
        </w:rPr>
        <w:t>— Revenues in the Money Transfer Segment, which represented approximately 44% and 45% of total consolidated revenues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six months ended June 30, 2022,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2026. Thereafter, it will automatically renew for subsequent one-year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87" w:lineRule="exact"/>
        <w:rPr>
          <w:sz w:val="20"/>
          <w:szCs w:val="20"/>
          <w:color w:val="auto"/>
        </w:rPr>
      </w:pPr>
    </w:p>
    <w:p>
      <w:pPr>
        <w:jc w:val="both"/>
        <w:ind w:firstLine="8"/>
        <w:spacing w:after="0" w:line="258" w:lineRule="auto"/>
        <w:tabs>
          <w:tab w:leader="none" w:pos="1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opportunities include physical expansion into target markets, developing value added products or services, increasing high value DCC and surcharge transactions and efficiently leveraging our portfolio of software solutions. Our opportunities are dependent on renewing and expanding our card acceptance, ATM and POS management and outsourcing, cash supply and other commercial agreements with customers and financial institutions. Operational challenges in the EFT Processing Segment include obtaining and maintaining the required licenses and sponsorship agreements in</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markets in which we operate and navigating frequently changing rules imposed by international card organizations, such as Visa</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or manage them internally.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8" w:name="page29"/>
    <w:bookmarkEnd w:id="28"/>
    <w:p>
      <w:pPr>
        <w:jc w:val="both"/>
        <w:ind w:firstLine="8"/>
        <w:spacing w:after="0" w:line="256" w:lineRule="auto"/>
        <w:tabs>
          <w:tab w:leader="none" w:pos="1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78" w:lineRule="exact"/>
        <w:rPr>
          <w:rFonts w:ascii="Times New Roman" w:cs="Times New Roman" w:eastAsia="Times New Roman" w:hAnsi="Times New Roman"/>
          <w:sz w:val="18"/>
          <w:szCs w:val="18"/>
          <w:color w:val="auto"/>
        </w:rPr>
      </w:pPr>
    </w:p>
    <w:p>
      <w:pPr>
        <w:jc w:val="both"/>
        <w:ind w:firstLine="8"/>
        <w:spacing w:after="0" w:line="257" w:lineRule="auto"/>
        <w:tabs>
          <w:tab w:leader="none" w:pos="2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inherit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outbreak of the COVID-19 (coronavirus) pandemic has resulted in varying degrees of border and business closures, travel restrictions and other social distancing orders in most of the countries where we operate during the six months ended June 30, 2022 and 2021. As the number and rate of new cases has fluctuated in various locations around the globe, the closures, restrictions and other social distancing orders have been modified, rescinded and/or re-imposed. Although vaccines for COVID-19 are widely available, a significant portion of the population remains unvaccinated and long term effectiveness of the vaccines, especially against new variants, is still unknown. The EFT Segment has experienced declines in certain transaction volumes due to these restrictions, especially high-margin cross-border transactions. The epay Segment has experienced the impacts of consumer movement restrictions in certain markets, while other markets have been positively impacted where we have a higher mix of digital distribution or a higher concentration of retailers that are deemed essential and have remained open during the pandemic. The Money Transfer Segment continues to be impacted by the pandemic-related restrictions in certain markets that limit customers' ability to access our network of company-owned stores and agents as well as certain restrictions that may impact immigrant laborers.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operating income by segment for the three and six months ended June 30, 2022 and 2021 are summarized in the tables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Revenues for the Three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6"/>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84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Revenues for the Six Months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Months Ended June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top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920" w:type="dxa"/>
            <w:vAlign w:val="bottom"/>
            <w:tcBorders>
              <w:top w:val="single" w:sz="8" w:color="auto"/>
            </w:tcBorders>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2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gridSpan w:val="2"/>
            <w:vMerge w:val="restart"/>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2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249,030</w:t>
            </w:r>
          </w:p>
        </w:tc>
        <w:tc>
          <w:tcPr>
            <w:tcW w:w="20" w:type="dxa"/>
            <w:vAlign w:val="bottom"/>
            <w:shd w:val="clear" w:color="auto" w:fill="CCEEFF"/>
          </w:tcPr>
          <w:p>
            <w:pPr>
              <w:spacing w:after="0"/>
              <w:rPr>
                <w:sz w:val="23"/>
                <w:szCs w:val="23"/>
                <w:color w:val="auto"/>
              </w:rPr>
            </w:pPr>
          </w:p>
        </w:tc>
        <w:tc>
          <w:tcPr>
            <w:tcW w:w="2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60" w:type="dxa"/>
            <w:vAlign w:val="bottom"/>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119%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394,601</w:t>
            </w: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200,558</w:t>
            </w:r>
          </w:p>
        </w:tc>
        <w:tc>
          <w:tcPr>
            <w:tcW w:w="4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194,043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227,706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463,544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(22,677)</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368,459</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359,308</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707,425</w:t>
            </w:r>
          </w:p>
        </w:tc>
        <w:tc>
          <w:tcPr>
            <w:tcW w:w="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684,208</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845,195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1,565,570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1,370,987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843,309</w:t>
            </w:r>
          </w:p>
        </w:tc>
        <w:tc>
          <w:tcPr>
            <w:tcW w:w="20" w:type="dxa"/>
            <w:vAlign w:val="bottom"/>
          </w:tcPr>
          <w:p>
            <w:pPr>
              <w:spacing w:after="0"/>
              <w:rPr>
                <w:sz w:val="22"/>
                <w:szCs w:val="22"/>
                <w:color w:val="auto"/>
              </w:rPr>
            </w:pPr>
          </w:p>
        </w:tc>
        <w:tc>
          <w:tcPr>
            <w:tcW w:w="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714,686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18% $ 1,561,776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$ 1,367,356</w:t>
            </w:r>
          </w:p>
        </w:tc>
        <w:tc>
          <w:tcPr>
            <w:tcW w:w="40" w:type="dxa"/>
            <w:vAlign w:val="bottom"/>
          </w:tcPr>
          <w:p>
            <w:pPr>
              <w:spacing w:after="0"/>
              <w:rPr>
                <w:sz w:val="22"/>
                <w:szCs w:val="22"/>
                <w:color w:val="auto"/>
              </w:rPr>
            </w:pPr>
          </w:p>
        </w:tc>
        <w:tc>
          <w:tcPr>
            <w:tcW w:w="2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Income (Loss) for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Income (Loss) for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the Three Months Ended June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0" w:type="dxa"/>
            <w:vAlign w:val="bottom"/>
          </w:tcPr>
          <w:p>
            <w:pPr>
              <w:spacing w:after="0"/>
              <w:rPr>
                <w:sz w:val="12"/>
                <w:szCs w:val="12"/>
                <w:color w:val="auto"/>
              </w:rPr>
            </w:pPr>
          </w:p>
        </w:tc>
        <w:tc>
          <w:tcPr>
            <w:tcW w:w="182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Six Months Ended June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8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2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54,830</w:t>
            </w: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80,166</w:t>
            </w:r>
          </w:p>
        </w:tc>
        <w:tc>
          <w:tcPr>
            <w:tcW w:w="40" w:type="dxa"/>
            <w:vAlign w:val="bottom"/>
            <w:shd w:val="clear" w:color="auto" w:fill="CCEEFF"/>
          </w:tcPr>
          <w:p>
            <w:pPr>
              <w:spacing w:after="0"/>
              <w:rPr>
                <w:sz w:val="23"/>
                <w:szCs w:val="23"/>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48,363</w:t>
            </w: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(65,432)</w:t>
            </w:r>
          </w:p>
        </w:tc>
        <w:tc>
          <w:tcPr>
            <w:tcW w:w="4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24,386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40" w:type="dxa"/>
            <w:vAlign w:val="bottom"/>
          </w:tcPr>
          <w:p>
            <w:pPr>
              <w:spacing w:after="0"/>
              <w:rPr>
                <w:sz w:val="23"/>
                <w:szCs w:val="23"/>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40,512</w:t>
            </w:r>
          </w:p>
        </w:tc>
        <w:tc>
          <w:tcPr>
            <w:tcW w:w="6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44,082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4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73,977</w:t>
            </w:r>
          </w:p>
        </w:tc>
        <w:tc>
          <w:tcPr>
            <w:tcW w:w="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79,485</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119,728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73,747</w:t>
            </w:r>
          </w:p>
        </w:tc>
        <w:tc>
          <w:tcPr>
            <w:tcW w:w="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(35,151)</w:t>
            </w: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(29,875)</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101,077</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30,121</w:t>
            </w:r>
          </w:p>
        </w:tc>
        <w:tc>
          <w:tcPr>
            <w:tcW w:w="20" w:type="dxa"/>
            <w:vAlign w:val="bottom"/>
          </w:tcPr>
          <w:p>
            <w:pPr>
              <w:spacing w:after="0"/>
              <w:rPr>
                <w:sz w:val="22"/>
                <w:szCs w:val="22"/>
                <w:color w:val="auto"/>
              </w:rPr>
            </w:pP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70,956</w:t>
            </w:r>
          </w:p>
        </w:tc>
        <w:tc>
          <w:tcPr>
            <w:tcW w:w="40" w:type="dxa"/>
            <w:vAlign w:val="bottom"/>
          </w:tcPr>
          <w:p>
            <w:pPr>
              <w:spacing w:after="0"/>
              <w:rPr>
                <w:sz w:val="22"/>
                <w:szCs w:val="22"/>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137,780</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40,570</w:t>
            </w:r>
          </w:p>
        </w:tc>
        <w:tc>
          <w:tcPr>
            <w:tcW w:w="40" w:type="dxa"/>
            <w:vAlign w:val="bottom"/>
          </w:tcPr>
          <w:p>
            <w:pPr>
              <w:spacing w:after="0"/>
              <w:rPr>
                <w:sz w:val="22"/>
                <w:szCs w:val="22"/>
                <w:color w:val="auto"/>
              </w:rPr>
            </w:pPr>
          </w:p>
        </w:tc>
        <w:tc>
          <w:tcPr>
            <w:tcW w:w="2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9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220" w:type="dxa"/>
            <w:vAlign w:val="bottom"/>
            <w:gridSpan w:val="2"/>
          </w:tcPr>
          <w:p>
            <w:pPr>
              <w:ind w:left="280"/>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080" w:type="dxa"/>
            <w:vAlign w:val="bottom"/>
          </w:tcPr>
          <w:p>
            <w:pPr>
              <w:jc w:val="right"/>
              <w:ind w:right="173"/>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0.7151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0.7695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0.7710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British pounds sterling</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1.2574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1.2994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0.7837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0.8141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0.7866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0.8020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1.0656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Hungarian forint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0.0028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0.0034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0.0029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0.0034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0.0130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0.0136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0.0131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0.0136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Malaysian ringgit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0.2302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0.2424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0.2443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Zealand dollar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0.6510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0.7146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0.6636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0.7167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Polish zloty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0.2296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0.2662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0.2364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0.2659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32"/>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59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1" w:name="page32"/>
    <w:bookmarkEnd w:id="31"/>
    <w:p>
      <w:pPr>
        <w:ind w:right="2980"/>
        <w:spacing w:after="0" w:line="412" w:lineRule="auto"/>
        <w:rPr>
          <w:sz w:val="20"/>
          <w:szCs w:val="20"/>
          <w:color w:val="auto"/>
        </w:rPr>
      </w:pPr>
      <w:r>
        <w:rPr>
          <w:rFonts w:ascii="Times New Roman" w:cs="Times New Roman" w:eastAsia="Times New Roman" w:hAnsi="Times New Roman"/>
          <w:sz w:val="18"/>
          <w:szCs w:val="18"/>
          <w:b w:val="1"/>
          <w:bCs w:val="1"/>
          <w:color w:val="auto"/>
        </w:rPr>
        <w:t>COMPARISON OF OPERATING RESULTS FOR THE SIX MONTHS ENDED JUNE 30, 2022 AND 2021 EFT PROCESSING SEGMENT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our EFT Processing Segment for the three and six months ended June 30,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8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00" w:type="dxa"/>
            <w:vAlign w:val="bottom"/>
          </w:tcPr>
          <w:p>
            <w:pPr>
              <w:spacing w:after="0"/>
              <w:rPr>
                <w:sz w:val="13"/>
                <w:szCs w:val="13"/>
                <w:color w:val="auto"/>
              </w:rPr>
            </w:pPr>
          </w:p>
        </w:tc>
        <w:tc>
          <w:tcPr>
            <w:tcW w:w="172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2"/>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2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113,482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135,548</w:t>
            </w:r>
          </w:p>
        </w:tc>
        <w:tc>
          <w:tcPr>
            <w:tcW w:w="1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394,601</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200,558</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194,043</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7"/>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41,077</w:t>
            </w:r>
          </w:p>
        </w:tc>
        <w:tc>
          <w:tcPr>
            <w:tcW w:w="1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217,095</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152,293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64,802</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70"/>
        </w:trPr>
        <w:tc>
          <w:tcPr>
            <w:tcW w:w="2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0"/>
        </w:trPr>
        <w:tc>
          <w:tcPr>
            <w:tcW w:w="2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28,118</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70"/>
        </w:trPr>
        <w:tc>
          <w:tcPr>
            <w:tcW w:w="29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12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48,088</w:t>
            </w:r>
          </w:p>
        </w:tc>
        <w:tc>
          <w:tcPr>
            <w:tcW w:w="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44,267</w:t>
            </w: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44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63"/>
        </w:trPr>
        <w:tc>
          <w:tcPr>
            <w:tcW w:w="2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138,818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55,382</w:t>
            </w:r>
          </w:p>
        </w:tc>
        <w:tc>
          <w:tcPr>
            <w:tcW w:w="1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346,238</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265,990</w:t>
            </w:r>
          </w:p>
        </w:tc>
        <w:tc>
          <w:tcPr>
            <w:tcW w:w="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80,248</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304"/>
        </w:trPr>
        <w:tc>
          <w:tcPr>
            <w:tcW w:w="2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54,830</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80,166</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48,363</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113,795</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120" w:type="dxa"/>
            <w:vAlign w:val="bottom"/>
            <w:tcBorders>
              <w:top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44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70"/>
        </w:trPr>
        <w:tc>
          <w:tcPr>
            <w:tcW w:w="2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Active ATMs as of June 30,</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0"/>
        </w:trPr>
        <w:tc>
          <w:tcPr>
            <w:tcW w:w="2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Active ATMs</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46,166</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EFT Processing Segment total revenues were $249.0 million for the three months ended June 30, 2022, an increase of $135.5 million or 119% compared to the same period in 2021. EFT Processing Segment total revenues were $394.6 million for the six months ended June 30, 2022, an increase of $194.0 million or 97%. The increase in revenues was primarily due to the increase in domestic and international cash withdrawal transactions resulting from the reduction of travel restrictions across Europe, the increase in low-value point-of-sale transactions in Europe and low-value payment processing transactions in Asia Pacific. Foreign currency movements decreased revenues by approximately $28.5 million and $37.0 million for the three and six months ended June 30, 2022, respectively, compared to the same period in 2021.</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monthly revenues per ATM increased to $1,696 for the three months ended June 30, 2022 compared to $934 for the same period in 2021. Average monthly revenues per ATM increased to $1,425 for the six months ended June 30, 2022 compared to $867 for the same period in 2021. Revenues per transaction increased to $0.16 for the three months ended June 30, 2022 compared to $0.11 for the same period in 2021. Revenues per transaction increased to $0.14 for the six months ended June 30, 2022 compared to $0.10 for the same period in 2021. The increases in average monthly revenues per ATM and revenues per transaction were primarily due to the increase in domestic and international cash withdrawal transactions resulting from the reduction in travel restrictions across Europe, partially offset by the increase in volume of low-value point-of-sale transactions in Europe and low-value payment processing transactions in Asia Pacific.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EFT Processing Segment direct operating costs were $123.8 million for the three months ended June 30, 2022, an increase of $41.1 million or 50% compared to the same period in 2021. EFT Processing Segment direct operating costs were $217.1 million for the six months ended June 30, 2022, an increase of $64.8 million or 43% compared to the same period in 2021.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direct operating costs was primarily due to the increase in the number of ATMs under management as there were fewer deactivated ATMs during the six months ended June 30, 2022 compared to the same period in 2021 resulting in an increase in ATM site rental fees and cash delivery costs. Foreign currency movements decreased direct operating costs by approximately $13.9 million and $19.5 million for the three and six months ended June 30, 2022 , respectively, compared to the same periods in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$125.3 million for the three months ended June 30, 2022, an increase of $94.5 million or 307% compared to $30.8 million for the same period in 2021. Gross profit, was $177.5 million for the six months ended June 30, 2022, an increase of $129.2 million or 267% compared to $48.3 million for the same period in 2021. Gross profit as a percentage of revenues (“gross margin”) increased to 50.3% and 45.0% for the three and six months ended June 30, 2022, respectively, compared to 27.1% and 24.1% for the same periods in 2021. The increase in gross profit and gross margin were primarily due to the incremental volume of transactions that were processed on our network relative to the fixed costs incurred, and the higher proportion of high value and high margin DCC transactions due to reduction of travel restrictions.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Salaries and benefits expenses were $27.7 million for the three months ended June 30, 2022, an increase of $3.6 million or 15% compared to the same period in 2021. Salaries and benefits expenses were $52.9 million for the six months ended June 30, 2022, an increase of $5.3 million or 11% compared to the same period in 2021. The increase is primarily due to an increase in headcount to support the growth of the business. Foreign currency movements in the countries in which we employ our workforce reduced these expenses by $3.5 million and $5.0 million for the three and six months ended June 30, 2022, respectively, compared to the same period in 2021. As a percentage of revenues, these expenses decreased to 11.1% and 13.4% for the three and six months ended June 30, 2022, respectively, compared to 21.2% and 23.8% for the same periods in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$17.0 million for the three months ended June 30, 2022, an increase of $7.2 million or 74% compared to the same period in 2021. Selling, general and administrative expenses were $28.1 million for the six months ended June 30, 2022, an increase of $6.4 million or 29% compared to the same period in 2021. As a percentage of revenues, these expenses decreased to 6.8% and 7.1% for the three and six months ended June 30, 2022, respectively, compared to 8.6% and 10.9% for the same periods in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$25.7 million for the three months ended June 30, 2022, an increase of $3.5 million or 16% compared to the same period in 2021. Depreciation and amortization expenses were $48.1 million for the six months ended June 30, 2022, an increase of $3.8 million or 9% compared to the same period in 2021. As a percentage of revenues, these expenses decreased to 10.3% and 12.2% for the three and six months ended June 30, 2022, respectively, compared to 19.6% and 22.1% for the same periods in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EFT Processing Segment had operating income of $54.8 million for the three months ended June 30, 2022, an increase of $80.2 million or 316% compared to the same period in 2021. EFT Processing Segment had operating income of $48.4 million for the six months ended June 30, 2022, an increase of $113.8 million or 174% compared to the same period in 2021. Operating income as a percentage of revenues (“operating margin”) increased to 22.0% and 12.3% for the three and six months ended June 30, 2022, respectively, compared to (22.3%) and (32.6%) for the same periods in 2021, respectively. Operating income per transaction was less than $0.04 and $0.02 for the three and six months ended June 30, 2022, compared to operating losses of ($0.03) for the same periods in 2021. The increase in operating income, improved operating margin and increase in operating income per transaction were primarily due to increased volumes processed on our network, and associated revenues, compared to the same periods in 2021.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six months ended June 30, 2022 and 2021 for our epay Segment: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00" w:type="dxa"/>
            <w:vAlign w:val="bottom"/>
            <w:gridSpan w:val="3"/>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20" w:type="dxa"/>
            <w:vAlign w:val="bottom"/>
          </w:tcPr>
          <w:p>
            <w:pPr>
              <w:spacing w:after="0"/>
              <w:rPr>
                <w:sz w:val="13"/>
                <w:szCs w:val="13"/>
                <w:color w:val="auto"/>
              </w:rPr>
            </w:pPr>
          </w:p>
        </w:tc>
        <w:tc>
          <w:tcPr>
            <w:tcW w:w="18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1900" w:type="dxa"/>
            <w:vAlign w:val="bottom"/>
            <w:gridSpan w:val="2"/>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8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110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463,544</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486,221</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(22,677)</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6"/>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110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351,975</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367,622</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1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97"/>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10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7"/>
        </w:trPr>
        <w:tc>
          <w:tcPr>
            <w:tcW w:w="3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11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412,953</w:t>
            </w: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429,829</w:t>
            </w: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(16,876)</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1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50,591</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1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epay Segment total revenues were $227.7 million for the three months ended June 30, 2022, a decrease of ($16.2) million or (7%) compared to the same period in 2021. epay Segment total revenues were $463.5 million for the six months ended June 30, 2022, a decrease of ($22.7) million or (5%) compared to the same period in 2021. Foreign currency movements decreased revenue by approximately $20.5 million and $33.7 million for the three and six months ended June 30, 2022, respectively, compared to the same periods in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per transaction decreased to $0.20 and $0.23 for the three and six months ended June 30, 2022, respectively, compared to $0.31 and $0.33 for the same periods in 2021. The decrease in revenues per transaction was primarily due to the increase in the number of transactions processed in a region where we generally earn lower revenues per transaction.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epay Segment direct operating costs were $173.7 million for the three months ended June 30, 2022, a decrease of ($11.3) million or (6%) compared to the same period in 2021. epay Segment direct operating costs were $352.0 million for the six months ended June 30, 2022, a decrease of ($15.6) million or (4%) compared to the same period in 2021. Direct operating costs primarily consist of the commissions paid to retail merchants for the distribution and sale of prepaid mobile airtime and other prepaid products, expenses incurred to operate POS terminals and the cost of vouchers sold and physical gifts fulfilled. The decrease in direct operating costs was primarily due to the $15.1 million and $24.6 million decrease caused by foreign currency movements for the three and six months ended June 30, 2022, respectively, compared to the same periods in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$54.1 million for the three months ended June 30, 2022, a decrease of ($4.9 million) or (8.3%) compared to $58.9 million for the same period in 2021. Gross profit was $111.6 million for the six months ended June 30, 2022, a decrease of ($7.0 million) or (5.9%) compared to $118.6 million for the same period in 2021. Gross margin decreased to 23.7% and 24.1% for the three and six months ended June 30, 2022, respectively, compared to 24.2% and 24.4% for the same periods in 2021. The decrease in gross profit and gross margin is primarily due to decrease in revenues associated with the shift in mix of transactions processed.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Salaries and benefits expenses were $19.8 million for the three months ended June 30, 2022, no change compared to the same period in 2021. Salaries and benefits expenses were $39.9 million for the six months ended June 30, 2022, an increase of $0.8 million or 2% compared to the same period in 2021. The increase in salaries and benefits was driven by an increase in headcount to support the growth of the business, partially offset by a $1.8 million and $2.9 million decrease from foreign currency movements for the three and six months ended June 30, 2022, respectively, compared to the same periods in 2021. As a percentage of revenues, these expenses increased to 8.7% and 8.6% for the three and six months ended June 30, 2022, respectively, compared to 8.1% for both of the same periods in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$8.3 million for the three months ended June 30, 2022, a decrease of ($1.5 million) or (15%) compared to the same period in 2021. Selling, general and administrative expenses were $17.7 million for the six months ended June 30, 2022, a decrease of ($1.1 million) or (6%) compared to the same period in 2021.As a percentage of revenues, these expenses increased to 3.6% and 3.8% for the three and six months ended June 30, 2022, respectively, compared to 4.0% and 3.9% for the same period in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expenses were $1.6 million for the three months ended June 30, 2022, a decrease of ($0.5 million) or (25%) compared to the same period in 2021. Depreciation and amortization expenses were $3.3 million for the six months ended June 30, 2022, a decrease of ($1.0 million) or (22%) compared to the same period in 2021. Depreciation and amortization expense primarily represents depreciation of POS terminals we install in retail stores and amortization of acquired intangible assets. As a percentage of revenues, these expenses decreased to 0.7% for both the three and six months ended June 30, 2022, respectively, compared to 0.9% for the same periods in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epay Segment operating income was $24.4 million for the three months ended June 30, 2022, a decrease of ($2.8 million) or (10%) compared to the same period in 2021. epay Segment operating income was $50.6 million for the six months ended June 30, 2022, a decrease of ($5.8 million) or (10%) compared to the same period in 2021. Operating margin decreased to 10.7% and 10.9% for the three and six months ended June 30, 2022, respectively, compared to 11.2% and 11.6% for the same periods in 2021. Operating income per transaction decreased to $0.02 and $0.03 for the three and six months ended June 30, 2022, respectively compared to $0.03 and $0.04 for same period in 2021. The decreases in operating income, operating margin and operating income per transaction for the three months ended June 30, 2022 compared to the same period in 2021 were primarily due to the shift in mix of transactions processed.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six months ended June 30, 2022 and 2021 for the Money Transfer Segment: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9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2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8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7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2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368,459</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359,308</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205,063</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205,164</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62,710</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38,326</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2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327,947</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315,226</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9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40,512</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44,082</w:t>
            </w: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3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Money Transfer Segment total revenues were $368.5 million for the three months ended June 30, 2022, an increase of $9.2 million or 3% compared to the same period in 2021. Money Transfer Segment total revenues were $707.4 million for the six months ended June 30, 2022, an increase of $23.2 million or 3% compared to the same period in 2021. The increase in revenues was primarily due to the increase in international-originated money transfers, U.S. outbound transactions, and direct-to-consumer digital transactions, partially offset by a decrease in U.S. domestic transactions. Revenues per transaction decreased to $9.88 and $10.00 for the three and six months ended June 30, 2022, respectively, compared to $10.51 and $10.48 for the same periods in 2021 due to a shift in the mix of transactions processed. Foreign currency movements decreased revenues by approximately $22.5 million and $34.4 million for the three and six months ended June 30, 2022, respectively, compared to the same periods in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Money Transfer Segment direct operating costs were $205.1 million for the three months ended June 30, 2022, were essentially flat compared to the same period in 2021. Money Transfer Segment direct operating costs were $393.5 million for the six months ended June 30, 2022, an increase of $4.4 million or 1% compared to the same period in 2021.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international-originated and U.S. outbound money transfer transactions, partially offset by foreign currency movements that decreased direct operating costs by approximately $11.4 million and $17.3 million for the three and six months ended June 30, 2022, respectively, compared to the same periods in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$163.4 million for the three months ended June 30, 2022, an increase of $9.3 million or 6.0% compared to $154.1 million for the same period in 2021. Gross profit was $314.0 million for the six months ended June 30, 2022, an increase of $18.8 million or 6.4% compared to $295.2 million for the same period in 2021. Gross margin increased to 44.3% and 44.4% for the three and six months ended June 30, 2022, respectively, compared to 42.9% and 43.1% for the same periods in 2021. The increase in gross profit and gross margin was primarily due to increases in international-originated money transfers, U.S. outbound money transfers and direct-to-consumer digital transactions.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$68.0 million for the three months ended June 30, 2022, an increase of $5.3 million or 8% compared to the same period in 2021. Salaries and benefits expenses were $135.2 million for the six months ended June 30, 2022, an increase of $12.0 million or 10% compared to the same period in 2021. The increase in salaries and benefits was primarily driven by an increase in headcount to support the growth of the business. As a percentage of revenues, these expenses increased to 18.4% and 19.1% for the three and six months ended June 30, 2022, respectively, compared to 17.5% and 18.4% for the same periods in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$46.4 million for the three months ended June 30, 2022, an increase of $8.0 million or 21% compared to the same period in 2021. Selling, general and administrative expenses were $87.4 million for the six months ended June 30, 2022, an increase of $13.0 million or 17% compared to the same period in 2021. The increase was primarily due to an increase in marketing expenses and travel related expenses. As a percentage of revenues, these expenses increased to 12.6% and 12.4% for the three and six months ended June 30, 2022, respectively, compared to 10.7% and 10.9% for the same periods in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Depreciation and amortization expenses were $8.5 million for the three months ended June 30, 2022, a decrease of ($0.5 million) or (5%) compared to the same period in 2021. Depreciation and amortization expenses were $17.4 million for the six months ended June 30, 2022, a decrease of ($0.6 million) or (3%) compared to the same period in 2021. Depreciation and amortization primarily represents amortization of acquired intangible assets and depreciation of money transfer terminals, computers and software, leasehold improvements and office equipment. As a percentage of revenues, these expenses decreased to 2.3% and 2.5% for the three and six months ended June 30, 2022, respectively, compared to 2.5% and 2.6% for the same periods in 2021.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Money Transfer Segment operating income was $40.5 million for the three months ended June 30, 2022, a decrease of ($3.6 million) or (8%) compared to the same period in 2021. Money Transfer Segment operating income was $74.0 million for the six months ended June 30, 2022, a decrease of ($5.5 million) or (7%) compared to the same period in 2021. Operating margin decreased to 11.0% and 10.5% for the three and six months ended June 30, 2022, respectively, compared to 12.3% and 11.6% for the same periods in 2021. The decreases in operating income and operating margin were primarily driven by the increase in salaries and selling, general and administrative expenses incurred. Operating income per transaction decreased to $1.09 and $1.05 for the three and six months ended June 30, 2022, respectively, compared to $1.29 and $1.22 for the same periods in 2021 due to a shift in the mix of transactions processed.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expenses for the three and six months ended June 30, 2022 and 2021 for Corporate Services: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Three-Month Ended</w:t>
            </w:r>
          </w:p>
        </w:tc>
        <w:tc>
          <w:tcPr>
            <w:tcW w:w="140" w:type="dxa"/>
            <w:vAlign w:val="bottom"/>
          </w:tcPr>
          <w:p>
            <w:pPr>
              <w:spacing w:after="0"/>
              <w:rPr>
                <w:sz w:val="13"/>
                <w:szCs w:val="13"/>
                <w:color w:val="auto"/>
              </w:rPr>
            </w:pPr>
          </w:p>
        </w:tc>
        <w:tc>
          <w:tcPr>
            <w:tcW w:w="1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780" w:type="dxa"/>
            <w:vAlign w:val="bottom"/>
            <w:gridSpan w:val="4"/>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3"/>
                <w:szCs w:val="13"/>
                <w:color w:val="auto"/>
              </w:rPr>
            </w:pPr>
          </w:p>
        </w:tc>
        <w:tc>
          <w:tcPr>
            <w:tcW w:w="180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17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4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55"/>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3"/>
                <w:szCs w:val="13"/>
                <w:color w:val="auto"/>
              </w:rPr>
            </w:pPr>
          </w:p>
        </w:tc>
        <w:tc>
          <w:tcPr>
            <w:tcW w:w="7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7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880" w:type="dxa"/>
            <w:vAlign w:val="bottom"/>
          </w:tcPr>
          <w:p>
            <w:pPr>
              <w:jc w:val="center"/>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5"/>
        </w:trPr>
        <w:tc>
          <w:tcPr>
            <w:tcW w:w="3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15,866</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14,488</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1,378</w:t>
            </w: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3,309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2,607</w:t>
            </w:r>
          </w:p>
        </w:tc>
        <w:tc>
          <w:tcPr>
            <w:tcW w:w="2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8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8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CCEEFF"/>
          </w:tcPr>
          <w:p>
            <w:pPr>
              <w:spacing w:after="0"/>
              <w:rPr>
                <w:sz w:val="23"/>
                <w:szCs w:val="23"/>
                <w:color w:val="auto"/>
              </w:rPr>
            </w:pPr>
          </w:p>
        </w:tc>
        <w:tc>
          <w:tcPr>
            <w:tcW w:w="880" w:type="dxa"/>
            <w:vAlign w:val="bottom"/>
            <w:tcBorders>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1,966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18,579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15,860</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2,719</w:t>
            </w:r>
          </w:p>
        </w:tc>
        <w:tc>
          <w:tcPr>
            <w:tcW w:w="11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17 % $</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5,197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Corporate operating expenses were $18.6 million and $35.1 million for the three and six months ended June 30, 2022, respectively, an increase of $2.7 million or 17% and $5.2 million or 17% compared to the same periods in 2021. The increase is primarily due to an increase in short-term compensation expense of $2.2 million and $2.3 million for the three and six months ended June 30, 2022, respectively, compared to the same periods in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 Ended June 30,</w:t>
            </w:r>
          </w:p>
        </w:tc>
        <w:tc>
          <w:tcPr>
            <w:tcW w:w="120" w:type="dxa"/>
            <w:vAlign w:val="bottom"/>
          </w:tcPr>
          <w:p>
            <w:pPr>
              <w:spacing w:after="0"/>
              <w:rPr>
                <w:sz w:val="16"/>
                <w:szCs w:val="16"/>
                <w:color w:val="auto"/>
              </w:rPr>
            </w:pPr>
          </w:p>
        </w:tc>
        <w:tc>
          <w:tcPr>
            <w:tcW w:w="194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8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 Ended June 30,</w:t>
            </w:r>
          </w:p>
        </w:tc>
        <w:tc>
          <w:tcPr>
            <w:tcW w:w="100" w:type="dxa"/>
            <w:vAlign w:val="bottom"/>
          </w:tcPr>
          <w:p>
            <w:pPr>
              <w:spacing w:after="0"/>
              <w:rPr>
                <w:sz w:val="16"/>
                <w:szCs w:val="16"/>
                <w:color w:val="auto"/>
              </w:rPr>
            </w:pPr>
          </w:p>
        </w:tc>
        <w:tc>
          <w:tcPr>
            <w:tcW w:w="1800" w:type="dxa"/>
            <w:vAlign w:val="bottom"/>
            <w:gridSpan w:val="2"/>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(8,862)</w:t>
            </w:r>
          </w:p>
        </w:tc>
        <w:tc>
          <w:tcPr>
            <w:tcW w:w="20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(18,646)</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(14,698)</w:t>
            </w:r>
          </w:p>
        </w:tc>
        <w:tc>
          <w:tcPr>
            <w:tcW w:w="2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(14,814)</w:t>
            </w:r>
          </w:p>
        </w:tc>
        <w:tc>
          <w:tcPr>
            <w:tcW w:w="106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(12,771) %</w:t>
            </w:r>
          </w:p>
        </w:tc>
        <w:tc>
          <w:tcPr>
            <w:tcW w:w="18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gains (losses)</w:t>
            </w:r>
          </w:p>
        </w:tc>
        <w:tc>
          <w:tcPr>
            <w:tcW w:w="20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(23,315) $</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(14,178)</w:t>
            </w:r>
          </w:p>
        </w:tc>
        <w:tc>
          <w:tcPr>
            <w:tcW w:w="106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155 %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was $8.9 million for the three months ended June 30, 2022, a decrease of ($0.6 million) or (6%) compared to the same period in 2021. Interest expense was $15.0 million for the six months ended June 30, 2022, a decrease of ($3.7 million) or (20%) compared to the same period in 2021. The decrease in interest expense relates to the $7.9 million accretion expense incurred for the six months ended June 30, 2021, which was eliminated for the six months ended June 30, 2022 as a result of the adoption of ASU 2020-06, partially offset by increased interest rates and borrowings on the revolving Credit Facility for the six months ended June 30, 2022 compared to the same period in 2021. See Footnote 2, </w:t>
      </w:r>
      <w:r>
        <w:rPr>
          <w:rFonts w:ascii="Times New Roman" w:cs="Times New Roman" w:eastAsia="Times New Roman" w:hAnsi="Times New Roman"/>
          <w:sz w:val="18"/>
          <w:szCs w:val="18"/>
          <w:i w:val="1"/>
          <w:iCs w:val="1"/>
          <w:color w:val="auto"/>
        </w:rPr>
        <w:t>Recently Issued and Adopted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Pronouncements, </w:t>
      </w:r>
      <w:r>
        <w:rPr>
          <w:rFonts w:ascii="Times New Roman" w:cs="Times New Roman" w:eastAsia="Times New Roman" w:hAnsi="Times New Roman"/>
          <w:sz w:val="18"/>
          <w:szCs w:val="18"/>
          <w:color w:val="auto"/>
        </w:rPr>
        <w:t>for more information on the impact of this adoption.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net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net foreign currency exchange losses of $14.7 million and $20.2 million for the three and six months ended June 30, 2022, respectively, compared to a net foreign currency exchange gain of $0.1 million and loss of $3.9 million for the same periods in 2021, respectively. These realized and unrealized foreign currency exchange losses reflect the fluctuation in the value of the U.S. dollar against the currencies of the countries in which we operated during the respective periods.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effective income tax rate was 26.7% and 36.7% for the three and six months ended June 30, 2022, respectively, compared to 58.9% and 99.9% for the same periods ended June 30, 2021, respectively. Our effective income tax rate for the three and six months ended June 30, 2022 was higher than the applicable statutory income tax rate of 21% as a result of certain foreign earnings being subject to higher statutory tax rates. Our effective income tax rate for the three and six months ended June 30, 2021 was higher than the applicable statutory income tax rate of 21% as a result of certain foreign earnings being subject to higher local tax rates, the non-recognition of tax benefits from losses in certain foreign countries where we have a limited history of profitable earnings and as a result of an increase in the valuation allowance in certain jurisdictions relating to the reversal of tax benefits recognized in the first quarter of 2021 for continuing net operating losses.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elimination of net income or loss attributable to the minority shareholders’ portion of the following consolidated subsidiaries that are not wholly owned: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 Country</w:t>
            </w:r>
          </w:p>
        </w:tc>
      </w:tr>
      <w:tr>
        <w:trPr>
          <w:trHeight w:val="248"/>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epay - Spain</w:t>
            </w:r>
          </w:p>
        </w:tc>
      </w:tr>
      <w:tr>
        <w:trPr>
          <w:trHeight w:val="243"/>
        </w:trPr>
        <w:tc>
          <w:tcPr>
            <w:tcW w:w="8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China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EFT - Pakistan</w:t>
            </w:r>
          </w:p>
        </w:tc>
      </w:tr>
      <w:tr>
        <w:trPr>
          <w:trHeight w:val="243"/>
        </w:trPr>
        <w:tc>
          <w:tcPr>
            <w:tcW w:w="8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Infinitium Solutions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India</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EURONET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attributable to Euronet was $57.2 million for the three months ended June 30, 2022, an increase of $48.6 million or 563% compared to the same period in 2021. The increase in net income was primarily attributable to the $128.6 million increase in revenues, largely driven by the increases within the EFT Segment as tourism and cross-border travel increased during the second quarter of 2022 compared to the second quarter of 2021. The increased revenues led to a $98.8 million increase in gross profit, with $94.5 million of this increase within the EFT Segment. The increase in gross profit was partially offset by $10.2 million increase in salaries and benefits expense, an $8.4 million increase in income tax expense and a $14.7 million increase in selling, general and administrative expense.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attributable to Euronet was $65.5 million for the six months ended June 30, 2022, an increase of $65.5 million, compared to the net loss of ($0.03 million) in the same period in 2021. The increase in net income was primarily attributable to the $194.4 million increase in revenues, largely driven by the increases within the EFT Segment as tourism and cross-border travel increased during the second quarter of 2022 compared to the second quarter of 2021. The increased revenues led to a $140.9 million increase in gross profit, with $129.2 million of this increase within the EFT Segment. The increase in gross profit was partially offset by an $21.3 million increase in salaries and benefits expense, a $19.5 million increase in income tax expense and a $20.2 million increase in selling, general and administrative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we had working capital of $1,179.8 million, which is calculated as the difference between total current assets and total current liabilities, compared to working capital of $1,455.8 million as of December 31, 2021. The decrease in working capital was primarily due to the $330.0 million acquisition of PBMA and the $175.0 million of share repurchases, partially offset by a $213.7 million increase in borrowing on the Credit Facility as of June 30, 2022 compared to December 31, 2021. Our ratio of current assets to current liabilities was 1.51 and 1.79 at June 30, 2022 and December 31, 2021, respectively.</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As of June 30, 2022, we had $890.8 million of our own cash in use or designated for use in our ATM network, which is recorded in ATM cash on Euronet's Consolidated Balance Sheet. ATM cash increased $347.4 million from $543.4 million as of December 31, 2021 to $890.8 million as of June 30, 2022 as a result of the increase in number of active ATMs as of June 30, 2022 compared to December 31, 2021.The Company has $1,014.9 million of unrestricted cash as of June 30, 2022 compared to $1,260.5 million as of December 31, 2021. The decrease in unrestricted cash was primarily due to the $346.2 million acquisition of PBMA, the $101.0 million allocated from unrestricted cash to ATM cash and the $175.0 million of share repurchases during the six months ended June 30, 2022, partially offset by the $213.7 million increase in borrowings on the Credit Facility. Including the $890.8 million of cash in ATMs at June 30, 2022, we have access to $1,905.7 million in available cash, and $479.1 million available under the Credit Facility with no significant long-term debt principal payments until October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operating,  investing</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and  financing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activities  for</w:t>
            </w: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six months ended June 30, 2022 and 2021 (in thousands):</w:t>
            </w: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48"/>
        </w:trPr>
        <w:tc>
          <w:tcPr>
            <w:tcW w:w="7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12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8"/>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provided by (used in):</w:t>
            </w: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180,659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173,307</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(48,332)</w:t>
            </w:r>
          </w:p>
        </w:tc>
      </w:tr>
      <w:tr>
        <w:trPr>
          <w:trHeight w:val="26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491,242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(248,553)</w:t>
            </w:r>
          </w:p>
        </w:tc>
      </w:tr>
      <w:tr>
        <w:trPr>
          <w:trHeight w:val="27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 and restricted cash</w:t>
            </w:r>
          </w:p>
        </w:tc>
        <w:tc>
          <w:tcPr>
            <w:tcW w:w="1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(195,239)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(43,278)</w:t>
            </w: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12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89,696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(166,856)</w:t>
            </w:r>
          </w:p>
        </w:tc>
      </w:tr>
      <w:tr>
        <w:trPr>
          <w:trHeight w:val="20"/>
        </w:trPr>
        <w:tc>
          <w:tcPr>
            <w:tcW w:w="7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activity cash flow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were $180.7 million for the three months ended June 30, 2022 compared to cash flows used in operating activities of $173.3 million for the same period in 2021. The increase in operating cash flows was primarily due to the $65.3 million increase in net income, partially offset by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used in investing activities were $387.0 million for the six months ended June 30, 2022 compared to $48.3 million for the same period in 2021. The increase in cash used in investing activities is primarily due to the $331.0 million of cash paid at the closing of PBMA in March 2022. Additionally, we used $53.1 million for purchases of property and equipment for the six months ended June 30, 2022 compared to $45.1 million for the same period in 2021. The increase in purchases of property and equipment is primarily due to the prior period expenditures being reduced by the COVID-19 related impacts to the EFT segment. Cash used for software development and other investing activities totaled $3.8 million and $3.3 million for the six months ended June 30,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flows provided by financing activities were $491.2 million for the six months ended June 30, 2022 compared to cash flows used in financing activities of $248.6 million for the same period in 2021. Our borrowing activities on the Credit Facility for the six months ended June 30, 2022 consisted of net borrowings of $663.7million compared to net repayments of $249.6 million for the same period in 2021. The increase in net borrowings on the Credit Facility, during the six months ended June 30, 2022, is primarily the result of treasury management relating to settlement requirements across currencies as well as increased funding requirements for acquisitions and share repurchases. We repurchased $175.3 million of common stock during the six months ended June 30, 2022 compared to repurchases of $0.9 million during the same period of 2021. We received proceeds of $3.7 million and $5.3 million during the six months ended June 30, 2022 and 2021, respectively, for the issuance of stock in connection with our Stock Incentive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 on cash, cash equivalents and restricted cash</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42424"/>
        </w:rPr>
        <w:t>F</w:t>
      </w:r>
      <w:r>
        <w:rPr>
          <w:rFonts w:ascii="Times New Roman" w:cs="Times New Roman" w:eastAsia="Times New Roman" w:hAnsi="Times New Roman"/>
          <w:sz w:val="18"/>
          <w:szCs w:val="18"/>
          <w:color w:val="000000"/>
        </w:rPr>
        <w:t>oreign currency exchange rates for the six months ended June 30, 2022 and 2021 had a negative impact of $195.2 million and $43.3 million, respectively,</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on cash, cash equivalents, and restricted cash. The negative impact on cash, cash equivalents, and restricted cash for the six months ended June 30, 2022 was due primarily to the negative impact in the exchange rate of the U.S. dollar to the Euro.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 On October 17, 2018, we entered into a $1.0 billion unsecured credit agreement (the "Credit Facility") that expires on October 17, 2023.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loans.As of June 30, 2022, fees and interest on borrowings are based upon our corporate credit rating (as defined in the credit agreement)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25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June 30, 2022, we had $497.1 million of borrowings and $53.8 million of stand-by letters of credit outstanding under the Credit Facility. The remaining $449.1 million under the Credit Facility was available for borrowing.</w:t>
      </w:r>
    </w:p>
    <w:p>
      <w:pPr>
        <w:spacing w:after="0" w:line="16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June 30, 2022, we have outstanding €600 million ($628.9 million) principal amount of the Senior Notes. In addition, we may redeem some or all of these notes on or after February 22, 2026 at their principal amount plus any accrued and unpaid interest.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Uncommitted Loans</w:t>
      </w:r>
      <w:r>
        <w:rPr>
          <w:rFonts w:ascii="Times New Roman" w:cs="Times New Roman" w:eastAsia="Times New Roman" w:hAnsi="Times New Roman"/>
          <w:sz w:val="18"/>
          <w:szCs w:val="18"/>
          <w:color w:val="auto"/>
        </w:rPr>
        <w:t xml:space="preserve"> - On May 25, 2022 and June 24, 2022, we entered into two separate uncommitted credit agreements for $300 million and $150 million, respectively, that expire no later than November 30, 2022 and June 23, 2023, respectively. Both credit agreements are fully drawn and outstanding at June 30, 2022. The credit agreements were entered into for the sole purpose of providing vault cash for ATMs. Each loan entered into under the $300 million agreement accrues interest at the rate per annum equal to the secured overnight financing rate (“SOFR”) plus 1.00%. Each loan entered into under the $150 million agreement is a Prime rate loan, a Bloomberg Short-term Bank Yield ("BSBY") rate loan or bears interest at the rate agreed to by the lender and the Company at the time such loan is made.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1" w:name="page42"/>
    <w:bookmarkEnd w:id="41"/>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our subsidiaries have available credit lines and overdraft facilities to generally supplement short-term working capital requirements, when necessary. There were $0.4 million and $0.9 million outstanding under these other obligation arrangements as of June 30, 2022 and December 31, 2021,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xml:space="preserve"> - Total capital expenditures for the six months ended June 30, 2022 were $53.1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2022 are currently estimated to range from approximately $115 million to $120 million. 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countries in which we operate have experienced low and stable inflation. Therefore, the local currency in each of these markets is the functional currency. We have seen indications that the current inflationary period will put pressure on our results of operations and our financial position. We have seen some signs of inflation impacting discretionary spend items, such as gaming products, in our epay business as well as some pressure on send amounts in money transfer. As a consequence of this inflationary period, we expect to see increasing expenses forthcoming. We continually review inflation and the functional currency in each of the countries where we operate.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2022, there were no material changes from the disclosure in our Annual Report on Form 10-K for the year ended December 31, 2021. To date, we are not aware of any significant claims made by the indemnified parties or parties to whom we have provided guarantees on behalf of our subsidiaries and, accordingly, no liabilities have been recorded as of June 30, 2022. See also Note 14,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there have been no material changes outside the ordinary course of business in our future contractual obligations from the amounts reported within our Annual Report on Form 10-K for the year ended December 31, 2021.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2022, our total debt outstanding, excluding unamortized debt issuance costs, was $2,101.4 million. Of this amount, $525.0 million, net of debt discounts, or 25%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June 30, 2022, the fair value of our fixed rate Convertible Notes was $513.6 million, compared to a carrying value of $525.0 million. Further, as of June 30, 2022 we had $497.1 million of borrowings under our Credit Facility, or 24% of our total debt obligations. The carrying values of the Credit Facility approximates fair value because interest is based on LIBOR that resets at various intervals of less than one year. Additionally, $628.9 million, or 30% of our total debt obligations, relates to Senior Notes having a fixed coupon rate. Our €600 million outstanding principal amount of Senior Notes accrue cash interest at a rate of 1.375% of the principal amount per annum. Based on quoted market prices, as of June 30, 2022, the fair value of our fixed rate Senior Notes was $550.0 million, compared to a carrying value of $628.9 million. An additional $450.0 million, or 21% of our total debt, is related to short-term uncommitted credit agreements. The credit agreements are due within one year and accrue interest at variable rates. The remaining $0.4 million, or less than 1% of our total debt obligations, is related to borrowings by certain subsidiaries to fund, from time to time, working capital requirements. These arrangements generally are due within one year and accrue interest at variable rates. Based on the outstanding borrowings accruing interest at variable rates, a 1% increase in the interest rate would result in a $9.5 million increase or decrease, as applicable, in our annual interest expense.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approximately 74.1% of our revenues were generated in non-U.S. dollar countries and we expect to continue generating a significant portion of our revenues in countries with currencies other than the U.S. dollar.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June 30, 2022, we estimate that a 10% fluctuation in these foreign currency exchange rates would have the combined annualized effect on reported net income and working capital of approximately $105 million to $110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$125 million to $130 million as a result of the change in value of these items during translation to the U.S. dollar. For the fluctuations described above, a strengthening U.S. dollar produces a financial loss, while a weakening U.S. dollar produces a financial gain.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June 30, 2022, we had foreign currency derivative contracts outstanding with a notional value of $304.5 million, primarily in Australian dollars, British pounds, Canadian dollars, euros and Mexican pesos, that were not designated as hedges and mature within a few days.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June 30, 2022, we held foreign currency derivative contracts outstanding with a notional value of $936.8 million, primarily in U.S. dollars, euros, British pounds, Australian dollars and New Zealand dollars, that were not designated as hedges and for which the majority mature within the next twelve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 and liability positions. As of June 30, 2022, we had foreign currency forward contracts outstanding with a notional value of $304.5 million, primarily in euros.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June 30, 2022.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 On March 15, 2022, we completed the acquisition of the Merchant Acquiring Business of Piraeus Bank ("PBMA"). We are currently integrating PBMA into our operations and internal control processes and, pursuant to the Securities and Exchange Commission staff interpretive guidance, the assessment of a recently acquired business may be omitted from the scope of an assessment for a period not to exceed one year from the date of acquisition. The scope of our assessment of our internal controls over financial reporting as of June 30, 2022 does not include PBMA.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Internal Controls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Except for internal controls related to integration activities associated with our acquisition of PBMA, there has been no change in our internal control over financial reporting during the second quarter of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regarding contingencies in Part I, Item 1 — Financial Statements (unaudited), Note 15, Litigation and Contingencies, to the unaudited consolidated financial statements in this report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42424"/>
        </w:rPr>
        <w:t xml:space="preserve">Economic conditions around the world, and in certain </w:t>
      </w:r>
      <w:r>
        <w:rPr>
          <w:rFonts w:ascii="Times New Roman" w:cs="Times New Roman" w:eastAsia="Times New Roman" w:hAnsi="Times New Roman"/>
          <w:sz w:val="18"/>
          <w:szCs w:val="18"/>
          <w:color w:val="000000"/>
        </w:rPr>
        <w:t>markets in which the Company does business, could impact sales price and volume. As a result,</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market uncertainty or an economic downturn driven by inflationary pressures; political tensions; war, including the ongoing conflict between Russia and Ukraine and the related sanctions and export restrictions; terrorism; epidemics; pandemics; or political instability in the geographic regions or industries in which the Company provides services and products could reduce demand and result in decreased sales volume, which could have a negative impact on the Company’s results of operations.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42424"/>
        </w:rPr>
        <w:t>In February 2022, Russia invaded Ukraine resulting in the United States, Canada, the European Union and other countries imposing economic sanctions on Russia. Euronet suspended its operations and product offerings in Russia. This action has not had a material impact on the Company's financial condition or results of operations. However, the fluidity and continuation of the conflict may result in additional economic sanctions and other impacts which could have a negative impact on the Company’s financial condition, results of operations and cash flows. These include decreased sales; potential disruptions in neighboring countries where Euronet has operations; volatility in foreign exchange rates and interest rates; inflationary pressures; and heightened cybersecurity threats.</w:t>
      </w:r>
    </w:p>
    <w:p>
      <w:pPr>
        <w:spacing w:after="0" w:line="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by the Company during the three months ended June 30, 2022.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40" w:type="dxa"/>
            <w:vAlign w:val="bottom"/>
          </w:tcPr>
          <w:p>
            <w:pPr>
              <w:spacing w:after="0"/>
              <w:rPr>
                <w:sz w:val="12"/>
                <w:szCs w:val="12"/>
                <w:color w:val="auto"/>
              </w:rPr>
            </w:pPr>
          </w:p>
        </w:tc>
        <w:tc>
          <w:tcPr>
            <w:tcW w:w="13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600" w:type="dxa"/>
            <w:vAlign w:val="bottom"/>
            <w:gridSpan w:val="2"/>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0" w:type="dxa"/>
            <w:vAlign w:val="bottom"/>
            <w:gridSpan w:val="2"/>
          </w:tcPr>
          <w:p>
            <w:pPr>
              <w:jc w:val="center"/>
              <w:ind w:left="19"/>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Programs</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6"/>
                <w:szCs w:val="16"/>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(1)</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 April 30, 2022</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229,649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1 - May 31, 2022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 June 30, 2022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125,049</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firstLine="8"/>
        <w:spacing w:after="0" w:line="261"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2020, the Company put a repurchase program in place to repurchase up to $250 million in value, but not more than 5.0 million shares of common stock through February 28, 2022. On December 8, 2021, the Company put a repurchase program in place to repurchase up to $300 million in value, but not more than 5.0 million shares of common stock through December 8, 2023. Repurchases may take place in the open market or in privately negotiated transactions, including derivative transactions, and may be made under a Rule 10b5-1 plan.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31"/>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Section 302 — Certification of Chief Executive Officer</w:t>
            </w:r>
          </w:p>
        </w:tc>
        <w:tc>
          <w:tcPr>
            <w:tcW w:w="6080" w:type="dxa"/>
            <w:vAlign w:val="bottom"/>
            <w:tcBorders>
              <w:top w:val="single" w:sz="8" w:color="auto"/>
            </w:tcBorders>
          </w:tcPr>
          <w:p>
            <w:pPr>
              <w:spacing w:after="0"/>
              <w:rPr>
                <w:sz w:val="24"/>
                <w:szCs w:val="24"/>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9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312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9"/>
              </w:rPr>
              <w:t>— Certification of Chief Executive Officer</w:t>
            </w:r>
          </w:p>
        </w:tc>
        <w:tc>
          <w:tcPr>
            <w:tcW w:w="6080" w:type="dxa"/>
            <w:vAlign w:val="bottom"/>
          </w:tcPr>
          <w:p>
            <w:pPr>
              <w:spacing w:after="0"/>
              <w:rPr>
                <w:sz w:val="21"/>
                <w:szCs w:val="21"/>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9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7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Euronet Worldwide, Inc.’s Quarterly Report on Form 10-Q for the quarter ended June 30, 2022, formatted in</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(eXtensible Business Reporting Language): (i) Consolidated Balance Sheets at June 30, 2022 (unaudited) and December 31, 2021,</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(ii) Consolidated Statements of Operations (unaudited) for the six months ended June 30, 2022 and 2021, (iii) Consolidated Statements of</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Comprehensive Income (Loss) (unaudited) for the six months ended June 30, 2022 and 2021, (iv) Consolidated Statements of Changes in</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 (unaudited) for the six months ended June 30, 2022 and 2021 (v) Consolidated Statements of Cash Flows (unaudited) for the</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six months ended June 30, 2022 and 2021, and (vi) Notes to the Unaudited Consolidated Financial Statements.</w:t>
            </w: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Pursuant to Item 601(b)(32) of Regulation S-K, this Exhibit is furnished rather than filed with this Form 10-Q.</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Michael J. Brown</w:t>
      </w:r>
    </w:p>
    <w:p>
      <w:pPr>
        <w:spacing w:after="0" w:line="6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Rick L. Weller</w:t>
      </w:r>
    </w:p>
    <w:p>
      <w:pPr>
        <w:spacing w:after="0" w:line="6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280"/>
          </w:cols>
          <w:pgMar w:left="320" w:top="765" w:right="12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207"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June 30, 2022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June 30, 2022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2022-08-03T16:39:51Z</dcterms:created>
  <dcterms:modified xsi:type="dcterms:W3CDTF">2022-08-03T16:39:51Z</dcterms:modified>
</cp:coreProperties>
</file>